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eastAsia="仿宋_GB2312" w:cs="仿宋_GB2312"/>
          <w:color w:val="auto"/>
          <w:sz w:val="36"/>
          <w:szCs w:val="36"/>
          <w:lang w:bidi="ar-SA"/>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hint="eastAsia" w:ascii="Times New Roman" w:hAnsi="Times New Roman" w:eastAsia="仿宋_GB2312" w:cs="Times New Roman"/>
          <w:color w:val="auto"/>
          <w:sz w:val="36"/>
          <w:szCs w:val="36"/>
          <w:u w:val="single"/>
          <w:lang w:val="en-US" w:eastAsia="zh-CN" w:bidi="ar-SA"/>
        </w:rPr>
      </w:pPr>
      <w:r>
        <w:rPr>
          <w:rFonts w:hint="eastAsia" w:ascii="Times New Roman" w:hAnsi="Times New Roman" w:eastAsia="仿宋_GB2312" w:cs="Times New Roman"/>
          <w:color w:val="auto"/>
          <w:sz w:val="36"/>
          <w:szCs w:val="36"/>
          <w:u w:val="single"/>
          <w:lang w:val="en-US" w:eastAsia="zh-CN" w:bidi="ar-SA"/>
        </w:rPr>
        <w:drawing>
          <wp:inline distT="0" distB="0" distL="114300" distR="114300">
            <wp:extent cx="5609590" cy="7481570"/>
            <wp:effectExtent l="0" t="0" r="10160" b="5080"/>
            <wp:docPr id="41" name="图片 80" descr="0abae06ec26c8d1622244b20eb39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0" descr="0abae06ec26c8d1622244b20eb39a16"/>
                    <pic:cNvPicPr>
                      <a:picLocks noChangeAspect="1"/>
                    </pic:cNvPicPr>
                  </pic:nvPicPr>
                  <pic:blipFill>
                    <a:blip r:embed="rId9"/>
                    <a:stretch>
                      <a:fillRect/>
                    </a:stretch>
                  </pic:blipFill>
                  <pic:spPr>
                    <a:xfrm>
                      <a:off x="0" y="0"/>
                      <a:ext cx="5609590" cy="7481570"/>
                    </a:xfrm>
                    <a:prstGeom prst="rect">
                      <a:avLst/>
                    </a:prstGeom>
                    <a:noFill/>
                    <a:ln>
                      <a:noFill/>
                    </a:ln>
                  </pic:spPr>
                </pic:pic>
              </a:graphicData>
            </a:graphic>
          </wp:inline>
        </w:drawing>
      </w:r>
    </w:p>
    <w:p>
      <w:pPr>
        <w:adjustRightInd w:val="0"/>
        <w:snapToGrid w:val="0"/>
        <w:spacing w:line="288" w:lineRule="auto"/>
        <w:rPr>
          <w:rFonts w:hint="eastAsia" w:ascii="仿宋_GB2312" w:eastAsia="仿宋_GB2312"/>
          <w:color w:val="auto"/>
          <w:sz w:val="36"/>
          <w:szCs w:val="36"/>
          <w:u w:val="single"/>
          <w:lang w:eastAsia="zh-CN"/>
        </w:rPr>
      </w:pPr>
      <w:bookmarkStart w:id="0" w:name="_Hlk57884087"/>
      <w:r>
        <w:rPr>
          <w:rFonts w:hint="eastAsia" w:ascii="仿宋_GB2312" w:eastAsia="仿宋_GB2312"/>
          <w:color w:val="auto"/>
          <w:sz w:val="36"/>
          <w:szCs w:val="36"/>
          <w:u w:val="single"/>
          <w:lang w:eastAsia="zh-CN"/>
        </w:rPr>
        <w:drawing>
          <wp:inline distT="0" distB="0" distL="114300" distR="114300">
            <wp:extent cx="5593715" cy="7412355"/>
            <wp:effectExtent l="0" t="0" r="6985" b="17145"/>
            <wp:docPr id="42" name="图片 82" descr="1200508a7e0c43da39d95b56068e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2" descr="1200508a7e0c43da39d95b56068e9ff"/>
                    <pic:cNvPicPr>
                      <a:picLocks noChangeAspect="1"/>
                    </pic:cNvPicPr>
                  </pic:nvPicPr>
                  <pic:blipFill>
                    <a:blip r:embed="rId10"/>
                    <a:stretch>
                      <a:fillRect/>
                    </a:stretch>
                  </pic:blipFill>
                  <pic:spPr>
                    <a:xfrm>
                      <a:off x="0" y="0"/>
                      <a:ext cx="5593715" cy="7412355"/>
                    </a:xfrm>
                    <a:prstGeom prst="rect">
                      <a:avLst/>
                    </a:prstGeom>
                    <a:noFill/>
                    <a:ln>
                      <a:noFill/>
                    </a:ln>
                  </pic:spPr>
                </pic:pic>
              </a:graphicData>
            </a:graphic>
          </wp:inline>
        </w:drawing>
      </w:r>
    </w:p>
    <w:bookmarkEnd w:id="0"/>
    <w:p>
      <w:pPr>
        <w:jc w:val="both"/>
        <w:rPr>
          <w:rFonts w:hint="eastAsia"/>
          <w:lang w:eastAsia="zh-CN"/>
        </w:rPr>
      </w:pPr>
    </w:p>
    <w:p>
      <w:pPr>
        <w:jc w:val="both"/>
        <w:rPr>
          <w:rFonts w:hint="eastAsia"/>
          <w:lang w:eastAsia="zh-CN"/>
        </w:rPr>
      </w:pPr>
    </w:p>
    <w:p>
      <w:pPr>
        <w:jc w:val="center"/>
        <w:rPr>
          <w:rFonts w:hint="eastAsia"/>
          <w:b/>
          <w:bCs/>
          <w:sz w:val="28"/>
          <w:szCs w:val="28"/>
          <w:lang w:eastAsia="zh-CN"/>
        </w:rPr>
      </w:pPr>
      <w:r>
        <w:rPr>
          <w:rFonts w:hint="eastAsia"/>
          <w:b/>
          <w:bCs/>
          <w:sz w:val="28"/>
          <w:szCs w:val="28"/>
          <w:lang w:eastAsia="zh-CN"/>
        </w:rPr>
        <w:t>现状勘查图</w:t>
      </w:r>
    </w:p>
    <w:p>
      <w:pPr>
        <w:pStyle w:val="16"/>
        <w:rPr>
          <w:rFonts w:hint="eastAsia"/>
          <w:color w:val="auto"/>
        </w:rPr>
      </w:pPr>
    </w:p>
    <w:p>
      <w:pPr>
        <w:adjustRightInd w:val="0"/>
        <w:snapToGrid w:val="0"/>
        <w:spacing w:line="288" w:lineRule="auto"/>
        <w:ind w:firstLine="1040"/>
        <w:rPr>
          <w:rFonts w:hint="eastAsia" w:ascii="仿宋_GB2312" w:eastAsia="仿宋_GB2312"/>
          <w:color w:val="auto"/>
          <w:sz w:val="36"/>
          <w:szCs w:val="36"/>
          <w:lang w:eastAsia="zh-CN"/>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spacing w:line="360" w:lineRule="auto"/>
        <w:jc w:val="center"/>
        <w:outlineLvl w:val="0"/>
        <w:rPr>
          <w:rFonts w:hint="eastAsia" w:ascii="黑体" w:eastAsia="黑体" w:cs="黑体"/>
          <w:color w:val="auto"/>
          <w:sz w:val="30"/>
          <w:szCs w:val="30"/>
          <w:lang w:bidi="ar-SA"/>
        </w:rPr>
      </w:pPr>
      <w:r>
        <w:rPr>
          <w:rFonts w:hint="eastAsia" w:ascii="黑体" w:eastAsia="黑体" w:cs="黑体"/>
          <w:color w:val="auto"/>
          <w:sz w:val="30"/>
          <w:szCs w:val="30"/>
          <w:lang w:bidi="ar-SA"/>
        </w:rPr>
        <w:t>一、建设项目基本情况</w:t>
      </w:r>
    </w:p>
    <w:tbl>
      <w:tblPr>
        <w:tblStyle w:val="31"/>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92"/>
        <w:gridCol w:w="2519"/>
        <w:gridCol w:w="2209"/>
        <w:gridCol w:w="26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842"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建设项目名称</w:t>
            </w:r>
          </w:p>
        </w:tc>
        <w:tc>
          <w:tcPr>
            <w:tcW w:w="4157" w:type="pct"/>
            <w:gridSpan w:val="3"/>
            <w:noWrap w:val="0"/>
            <w:vAlign w:val="center"/>
          </w:tcPr>
          <w:p>
            <w:pPr>
              <w:adjustRightInd w:val="0"/>
              <w:snapToGrid w:val="0"/>
              <w:spacing w:line="240" w:lineRule="auto"/>
              <w:jc w:val="center"/>
              <w:rPr>
                <w:rFonts w:hint="eastAsia" w:ascii="Times New Roman" w:hAnsi="Times New Roman" w:eastAsia="宋体" w:cs="Times New Roman"/>
                <w:color w:val="auto"/>
                <w:sz w:val="24"/>
                <w:szCs w:val="24"/>
                <w:lang w:eastAsia="zh-CN" w:bidi="ar-SA"/>
              </w:rPr>
            </w:pPr>
            <w:r>
              <w:rPr>
                <w:rFonts w:hint="eastAsia" w:ascii="Times New Roman" w:hAnsi="Times New Roman" w:eastAsia="宋体" w:cs="Times New Roman"/>
                <w:color w:val="auto"/>
                <w:sz w:val="24"/>
                <w:szCs w:val="24"/>
                <w:lang w:eastAsia="zh-CN" w:bidi="ar-SA"/>
              </w:rPr>
              <w:t>胡杨河恒誉复合材料有限公司复合材料装备制造研发生产项目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842"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项目代码</w:t>
            </w:r>
          </w:p>
        </w:tc>
        <w:tc>
          <w:tcPr>
            <w:tcW w:w="415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2312-660791-04-01-204139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2"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建设单位联系人</w:t>
            </w:r>
          </w:p>
        </w:tc>
        <w:tc>
          <w:tcPr>
            <w:tcW w:w="1421" w:type="pct"/>
            <w:noWrap w:val="0"/>
            <w:vAlign w:val="center"/>
          </w:tcPr>
          <w:p>
            <w:pPr>
              <w:adjustRightInd w:val="0"/>
              <w:snapToGrid w:val="0"/>
              <w:jc w:val="center"/>
              <w:rPr>
                <w:rFonts w:hint="eastAsia" w:ascii="Times New Roman" w:hAnsi="Times New Roman" w:eastAsia="宋体" w:cs="Times New Roman"/>
                <w:color w:val="auto"/>
                <w:sz w:val="24"/>
                <w:szCs w:val="24"/>
                <w:lang w:eastAsia="zh-CN" w:bidi="ar-SA"/>
              </w:rPr>
            </w:pPr>
            <w:r>
              <w:rPr>
                <w:rFonts w:hint="eastAsia" w:ascii="Times New Roman" w:hAnsi="Times New Roman" w:eastAsia="宋体" w:cs="Times New Roman"/>
                <w:color w:val="auto"/>
                <w:sz w:val="24"/>
                <w:szCs w:val="24"/>
                <w:lang w:eastAsia="zh-CN" w:bidi="ar-SA"/>
              </w:rPr>
              <w:t>马宗耀</w:t>
            </w:r>
          </w:p>
        </w:tc>
        <w:tc>
          <w:tcPr>
            <w:tcW w:w="1246" w:type="pct"/>
            <w:noWrap w:val="0"/>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cs="Times New Roman"/>
                <w:color w:val="auto"/>
                <w:sz w:val="24"/>
                <w:szCs w:val="24"/>
              </w:rPr>
              <w:t>联系方式</w:t>
            </w:r>
          </w:p>
        </w:tc>
        <w:tc>
          <w:tcPr>
            <w:tcW w:w="1489"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15352704213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2"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建设地点</w:t>
            </w:r>
          </w:p>
        </w:tc>
        <w:tc>
          <w:tcPr>
            <w:tcW w:w="4157" w:type="pct"/>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胡杨河经济技术开发区</w:t>
            </w:r>
            <w:r>
              <w:rPr>
                <w:rFonts w:hint="eastAsia" w:ascii="Times New Roman" w:hAnsi="Times New Roman" w:eastAsia="宋体" w:cs="Times New Roman"/>
                <w:color w:val="auto"/>
                <w:spacing w:val="6"/>
                <w:sz w:val="24"/>
                <w:szCs w:val="24"/>
                <w:lang w:eastAsia="zh-CN"/>
              </w:rPr>
              <w:t>南园区</w:t>
            </w:r>
            <w:r>
              <w:rPr>
                <w:rFonts w:hint="eastAsia" w:ascii="Times New Roman" w:hAnsi="Times New Roman" w:eastAsia="宋体" w:cs="Times New Roman"/>
                <w:color w:val="auto"/>
                <w:spacing w:val="6"/>
                <w:sz w:val="24"/>
                <w:szCs w:val="24"/>
                <w:lang w:val="en-US" w:eastAsia="zh-CN"/>
              </w:rPr>
              <w:t>31#厂房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842"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地理坐标</w:t>
            </w:r>
          </w:p>
        </w:tc>
        <w:tc>
          <w:tcPr>
            <w:tcW w:w="4157" w:type="pct"/>
            <w:gridSpan w:val="3"/>
            <w:noWrap w:val="0"/>
            <w:vAlign w:val="center"/>
          </w:tcPr>
          <w:p>
            <w:pPr>
              <w:jc w:val="center"/>
              <w:rPr>
                <w:rFonts w:hint="default" w:ascii="Times New Roman" w:hAnsi="Times New Roman" w:eastAsia="宋体" w:cs="Times New Roman"/>
                <w:color w:val="auto"/>
                <w:sz w:val="24"/>
                <w:szCs w:val="24"/>
                <w:lang w:bidi="ar-SA"/>
              </w:rPr>
            </w:pPr>
            <w:r>
              <w:rPr>
                <w:rFonts w:hint="eastAsia" w:ascii="Times New Roman" w:hAnsi="Times New Roman" w:cs="Times New Roman"/>
                <w:color w:val="auto"/>
                <w:sz w:val="24"/>
                <w:szCs w:val="24"/>
                <w:lang w:val="en-US" w:eastAsia="zh-CN"/>
              </w:rPr>
              <w:t>中心地理坐标</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u w:val="single"/>
                <w:lang w:val="en-US" w:eastAsia="zh-CN"/>
              </w:rPr>
              <w:t>84</w:t>
            </w:r>
            <w:r>
              <w:rPr>
                <w:rFonts w:hint="default" w:ascii="Times New Roman" w:hAnsi="Times New Roman" w:cs="Times New Roman"/>
                <w:color w:val="auto"/>
                <w:sz w:val="24"/>
                <w:szCs w:val="24"/>
              </w:rPr>
              <w:t>度</w:t>
            </w:r>
            <w:r>
              <w:rPr>
                <w:rFonts w:hint="eastAsia" w:ascii="Times New Roman" w:hAnsi="Times New Roman" w:cs="Times New Roman"/>
                <w:color w:val="auto"/>
                <w:sz w:val="24"/>
                <w:szCs w:val="24"/>
                <w:u w:val="single"/>
                <w:lang w:val="en-US" w:eastAsia="zh-CN"/>
              </w:rPr>
              <w:t>56</w:t>
            </w:r>
            <w:r>
              <w:rPr>
                <w:rFonts w:hint="default" w:ascii="Times New Roman" w:hAnsi="Times New Roman" w:cs="Times New Roman"/>
                <w:color w:val="auto"/>
                <w:sz w:val="24"/>
                <w:szCs w:val="24"/>
              </w:rPr>
              <w:t>分</w:t>
            </w:r>
            <w:r>
              <w:rPr>
                <w:rFonts w:hint="eastAsia" w:ascii="Times New Roman" w:hAnsi="Times New Roman" w:cs="Times New Roman"/>
                <w:color w:val="auto"/>
                <w:sz w:val="24"/>
                <w:szCs w:val="24"/>
                <w:u w:val="single"/>
                <w:lang w:val="en-US" w:eastAsia="zh-CN"/>
              </w:rPr>
              <w:t>15.688</w:t>
            </w:r>
            <w:r>
              <w:rPr>
                <w:rFonts w:hint="default" w:ascii="Times New Roman" w:hAnsi="Times New Roman" w:cs="Times New Roman"/>
                <w:color w:val="auto"/>
                <w:sz w:val="24"/>
                <w:szCs w:val="24"/>
              </w:rPr>
              <w:t>秒，</w:t>
            </w:r>
            <w:r>
              <w:rPr>
                <w:rFonts w:hint="eastAsia" w:ascii="Times New Roman" w:hAnsi="Times New Roman" w:cs="Times New Roman"/>
                <w:color w:val="auto"/>
                <w:sz w:val="24"/>
                <w:szCs w:val="24"/>
                <w:u w:val="single"/>
                <w:lang w:val="en-US" w:eastAsia="zh-CN"/>
              </w:rPr>
              <w:t>44</w:t>
            </w:r>
            <w:r>
              <w:rPr>
                <w:rFonts w:hint="default" w:ascii="Times New Roman" w:hAnsi="Times New Roman" w:cs="Times New Roman"/>
                <w:color w:val="auto"/>
                <w:sz w:val="24"/>
                <w:szCs w:val="24"/>
              </w:rPr>
              <w:t>度</w:t>
            </w:r>
            <w:r>
              <w:rPr>
                <w:rFonts w:hint="eastAsia" w:ascii="Times New Roman" w:hAnsi="Times New Roman" w:cs="Times New Roman"/>
                <w:color w:val="auto"/>
                <w:sz w:val="24"/>
                <w:szCs w:val="24"/>
                <w:u w:val="single"/>
                <w:lang w:val="en-US" w:eastAsia="zh-CN"/>
              </w:rPr>
              <w:t>43</w:t>
            </w:r>
            <w:r>
              <w:rPr>
                <w:rFonts w:hint="default" w:ascii="Times New Roman" w:hAnsi="Times New Roman" w:cs="Times New Roman"/>
                <w:color w:val="auto"/>
                <w:sz w:val="24"/>
                <w:szCs w:val="24"/>
              </w:rPr>
              <w:t>分</w:t>
            </w:r>
            <w:r>
              <w:rPr>
                <w:rFonts w:hint="eastAsia" w:ascii="Times New Roman" w:hAnsi="Times New Roman" w:cs="Times New Roman"/>
                <w:color w:val="auto"/>
                <w:sz w:val="24"/>
                <w:szCs w:val="24"/>
                <w:u w:val="single"/>
                <w:lang w:val="en-US" w:eastAsia="zh-CN"/>
              </w:rPr>
              <w:t>59.738</w:t>
            </w:r>
            <w:r>
              <w:rPr>
                <w:rFonts w:hint="default" w:ascii="Times New Roman" w:hAnsi="Times New Roman"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42"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国民经济</w:t>
            </w:r>
          </w:p>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行业类别</w:t>
            </w:r>
          </w:p>
        </w:tc>
        <w:tc>
          <w:tcPr>
            <w:tcW w:w="1421"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C</w:t>
            </w:r>
            <w:r>
              <w:rPr>
                <w:rFonts w:hint="eastAsia" w:cs="Times New Roman"/>
                <w:color w:val="auto"/>
                <w:sz w:val="24"/>
                <w:szCs w:val="24"/>
                <w:lang w:val="en-US" w:eastAsia="zh-CN" w:bidi="ar-SA"/>
              </w:rPr>
              <w:t>3062</w:t>
            </w:r>
            <w:r>
              <w:rPr>
                <w:rFonts w:hint="default" w:ascii="Times New Roman" w:hAnsi="Times New Roman" w:eastAsia="宋体" w:cs="Times New Roman"/>
                <w:color w:val="auto"/>
                <w:sz w:val="24"/>
                <w:szCs w:val="24"/>
                <w:lang w:eastAsia="zh-CN" w:bidi="ar-SA"/>
              </w:rPr>
              <w:t>玻璃纤维增强塑料制品制造</w:t>
            </w:r>
          </w:p>
        </w:tc>
        <w:tc>
          <w:tcPr>
            <w:tcW w:w="1246" w:type="pct"/>
            <w:noWrap w:val="0"/>
            <w:vAlign w:val="center"/>
          </w:tcPr>
          <w:p>
            <w:pPr>
              <w:adjustRightInd w:val="0"/>
              <w:snapToGrid w:val="0"/>
              <w:jc w:val="center"/>
              <w:rPr>
                <w:rFonts w:hint="default" w:ascii="Times New Roman" w:hAnsi="Times New Roman" w:eastAsia="宋体" w:cs="Times New Roman"/>
                <w:color w:val="auto"/>
                <w:sz w:val="24"/>
                <w:szCs w:val="24"/>
                <w:lang w:bidi="ar-SA"/>
              </w:rPr>
            </w:pPr>
            <w:bookmarkStart w:id="1" w:name="_Hlk49843745"/>
            <w:r>
              <w:rPr>
                <w:rFonts w:hint="default" w:ascii="Times New Roman" w:hAnsi="Times New Roman" w:eastAsia="宋体" w:cs="Times New Roman"/>
                <w:color w:val="auto"/>
                <w:sz w:val="24"/>
                <w:szCs w:val="24"/>
                <w:lang w:bidi="ar-SA"/>
              </w:rPr>
              <w:t>建设项目</w:t>
            </w:r>
          </w:p>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行业类别</w:t>
            </w:r>
            <w:bookmarkEnd w:id="1"/>
          </w:p>
        </w:tc>
        <w:tc>
          <w:tcPr>
            <w:tcW w:w="1489" w:type="pct"/>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rPr>
              <w:t>二十七</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非金属矿物制品业30：58玻璃纤维和玻璃纤维增强塑料制品制 造306</w:t>
            </w:r>
            <w:r>
              <w:rPr>
                <w:rFonts w:hint="default" w:ascii="Times New Roman" w:hAnsi="Times New Roman" w:eastAsia="宋体" w:cs="Times New Roman"/>
                <w:color w:val="auto"/>
                <w:sz w:val="24"/>
                <w:szCs w:val="24"/>
                <w:lang w:val="en-US" w:eastAsia="zh-CN"/>
              </w:rPr>
              <w:t>中的</w:t>
            </w:r>
            <w:r>
              <w:rPr>
                <w:rFonts w:hint="eastAsia" w:ascii="Times New Roman" w:hAnsi="Times New Roman" w:eastAsia="宋体" w:cs="Times New Roman"/>
                <w:color w:val="auto"/>
                <w:sz w:val="24"/>
                <w:szCs w:val="24"/>
                <w:lang w:val="en-US" w:eastAsia="zh-CN"/>
              </w:rPr>
              <w:t>“全部”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83" w:hRule="atLeast"/>
          <w:jc w:val="center"/>
        </w:trPr>
        <w:tc>
          <w:tcPr>
            <w:tcW w:w="842"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建设性质</w:t>
            </w:r>
          </w:p>
        </w:tc>
        <w:tc>
          <w:tcPr>
            <w:tcW w:w="1421" w:type="pct"/>
            <w:noWrap w:val="0"/>
            <w:vAlign w:val="center"/>
          </w:tcPr>
          <w:p>
            <w:pPr>
              <w:jc w:val="left"/>
              <w:rPr>
                <w:rFonts w:hint="default" w:ascii="Times New Roman" w:hAnsi="Times New Roman" w:eastAsia="宋体" w:cs="Times New Roman"/>
                <w:color w:val="auto"/>
                <w:sz w:val="24"/>
                <w:szCs w:val="24"/>
                <w:lang w:bidi="ar-SA"/>
              </w:rPr>
            </w:pPr>
            <w:r>
              <w:rPr>
                <w:rFonts w:hint="eastAsia" w:cs="Times New Roman"/>
                <w:color w:val="auto"/>
                <w:sz w:val="24"/>
                <w:szCs w:val="24"/>
                <w:lang w:eastAsia="zh-CN" w:bidi="ar-SA"/>
              </w:rPr>
              <w:t>☑</w:t>
            </w:r>
            <w:r>
              <w:rPr>
                <w:rFonts w:hint="default" w:ascii="Times New Roman" w:hAnsi="Times New Roman" w:eastAsia="宋体" w:cs="Times New Roman"/>
                <w:color w:val="auto"/>
                <w:sz w:val="24"/>
                <w:szCs w:val="24"/>
                <w:lang w:bidi="ar-SA"/>
              </w:rPr>
              <w:t>新建（迁建）</w:t>
            </w:r>
          </w:p>
          <w:p>
            <w:pPr>
              <w:jc w:val="left"/>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eastAsia="zh-CN" w:bidi="ar-SA"/>
              </w:rPr>
              <w:t>□</w:t>
            </w:r>
            <w:r>
              <w:rPr>
                <w:rFonts w:hint="default" w:ascii="Times New Roman" w:hAnsi="Times New Roman" w:eastAsia="宋体" w:cs="Times New Roman"/>
                <w:color w:val="auto"/>
                <w:sz w:val="24"/>
                <w:szCs w:val="24"/>
                <w:lang w:bidi="ar-SA"/>
              </w:rPr>
              <w:t>改建</w:t>
            </w:r>
          </w:p>
          <w:p>
            <w:pPr>
              <w:jc w:val="left"/>
              <w:rPr>
                <w:rFonts w:hint="default" w:ascii="Times New Roman" w:hAnsi="Times New Roman" w:eastAsia="宋体" w:cs="Times New Roman"/>
                <w:color w:val="auto"/>
                <w:sz w:val="24"/>
                <w:szCs w:val="24"/>
                <w:lang w:bidi="ar-SA"/>
              </w:rPr>
            </w:pPr>
            <w:r>
              <w:rPr>
                <w:rFonts w:hint="eastAsia" w:cs="Times New Roman"/>
                <w:color w:val="auto"/>
                <w:sz w:val="24"/>
                <w:szCs w:val="24"/>
                <w:lang w:eastAsia="zh-CN" w:bidi="ar-SA"/>
              </w:rPr>
              <w:t>□</w:t>
            </w:r>
            <w:r>
              <w:rPr>
                <w:rFonts w:hint="default" w:ascii="Times New Roman" w:hAnsi="Times New Roman" w:eastAsia="宋体" w:cs="Times New Roman"/>
                <w:color w:val="auto"/>
                <w:sz w:val="24"/>
                <w:szCs w:val="24"/>
                <w:lang w:bidi="ar-SA"/>
              </w:rPr>
              <w:t>扩建</w:t>
            </w:r>
          </w:p>
          <w:p>
            <w:pPr>
              <w:jc w:val="left"/>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eastAsia="zh-CN" w:bidi="ar-SA"/>
              </w:rPr>
              <w:t>□</w:t>
            </w:r>
            <w:r>
              <w:rPr>
                <w:rFonts w:hint="default" w:ascii="Times New Roman" w:hAnsi="Times New Roman" w:eastAsia="宋体" w:cs="Times New Roman"/>
                <w:color w:val="auto"/>
                <w:sz w:val="24"/>
                <w:szCs w:val="24"/>
                <w:lang w:bidi="ar-SA"/>
              </w:rPr>
              <w:t>技术改造</w:t>
            </w:r>
          </w:p>
        </w:tc>
        <w:tc>
          <w:tcPr>
            <w:tcW w:w="1246" w:type="pct"/>
            <w:noWrap w:val="0"/>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建设项目</w:t>
            </w:r>
          </w:p>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申报情形</w:t>
            </w:r>
          </w:p>
        </w:tc>
        <w:tc>
          <w:tcPr>
            <w:tcW w:w="1489" w:type="pct"/>
            <w:noWrap w:val="0"/>
            <w:vAlign w:val="center"/>
          </w:tcPr>
          <w:p>
            <w:pPr>
              <w:jc w:val="left"/>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eastAsia="zh-CN" w:bidi="ar-SA"/>
              </w:rPr>
              <w:t>☑</w:t>
            </w:r>
            <w:r>
              <w:rPr>
                <w:rFonts w:hint="default" w:ascii="Times New Roman" w:hAnsi="Times New Roman" w:eastAsia="宋体" w:cs="Times New Roman"/>
                <w:color w:val="auto"/>
                <w:sz w:val="24"/>
                <w:szCs w:val="24"/>
                <w:lang w:bidi="ar-SA"/>
              </w:rPr>
              <w:t xml:space="preserve">首次申报项目             </w:t>
            </w:r>
          </w:p>
          <w:p>
            <w:pPr>
              <w:jc w:val="left"/>
              <w:rPr>
                <w:rFonts w:hint="default" w:ascii="Times New Roman" w:hAnsi="Times New Roman" w:eastAsia="宋体" w:cs="Times New Roman"/>
                <w:color w:val="auto"/>
                <w:sz w:val="24"/>
                <w:szCs w:val="24"/>
                <w:lang w:bidi="ar-SA"/>
              </w:rPr>
            </w:pPr>
            <w:r>
              <w:rPr>
                <w:rFonts w:hint="eastAsia" w:cs="Times New Roman"/>
                <w:color w:val="auto"/>
                <w:sz w:val="24"/>
                <w:szCs w:val="24"/>
                <w:lang w:eastAsia="zh-CN" w:bidi="ar-SA"/>
              </w:rPr>
              <w:t>□</w:t>
            </w:r>
            <w:r>
              <w:rPr>
                <w:rFonts w:hint="default" w:ascii="Times New Roman" w:hAnsi="Times New Roman" w:eastAsia="宋体" w:cs="Times New Roman"/>
                <w:color w:val="auto"/>
                <w:sz w:val="24"/>
                <w:szCs w:val="24"/>
                <w:lang w:bidi="ar-SA"/>
              </w:rPr>
              <w:t>不予批准后再次申报项目</w:t>
            </w:r>
          </w:p>
          <w:p>
            <w:pPr>
              <w:jc w:val="left"/>
              <w:rPr>
                <w:rFonts w:hint="default" w:ascii="Times New Roman" w:hAnsi="Times New Roman" w:eastAsia="宋体" w:cs="Times New Roman"/>
                <w:color w:val="auto"/>
                <w:sz w:val="24"/>
                <w:szCs w:val="24"/>
                <w:lang w:bidi="ar-SA"/>
              </w:rPr>
            </w:pPr>
            <w:r>
              <w:rPr>
                <w:rFonts w:hint="eastAsia" w:cs="Times New Roman"/>
                <w:color w:val="auto"/>
                <w:sz w:val="24"/>
                <w:szCs w:val="24"/>
                <w:lang w:eastAsia="zh-CN" w:bidi="ar-SA"/>
              </w:rPr>
              <w:t>□</w:t>
            </w:r>
            <w:r>
              <w:rPr>
                <w:rFonts w:hint="default" w:ascii="Times New Roman" w:hAnsi="Times New Roman" w:eastAsia="宋体" w:cs="Times New Roman"/>
                <w:color w:val="auto"/>
                <w:sz w:val="24"/>
                <w:szCs w:val="24"/>
                <w:lang w:bidi="ar-SA"/>
              </w:rPr>
              <w:t xml:space="preserve">超五年重新审核项目     </w:t>
            </w:r>
          </w:p>
          <w:p>
            <w:pPr>
              <w:jc w:val="left"/>
              <w:rPr>
                <w:rFonts w:hint="default" w:ascii="Times New Roman" w:hAnsi="Times New Roman" w:eastAsia="宋体" w:cs="Times New Roman"/>
                <w:color w:val="auto"/>
                <w:sz w:val="24"/>
                <w:szCs w:val="24"/>
                <w:lang w:bidi="ar-SA"/>
              </w:rPr>
            </w:pPr>
            <w:r>
              <w:rPr>
                <w:rFonts w:hint="eastAsia" w:cs="Times New Roman"/>
                <w:color w:val="auto"/>
                <w:sz w:val="24"/>
                <w:szCs w:val="24"/>
                <w:lang w:eastAsia="zh-CN" w:bidi="ar-SA"/>
              </w:rPr>
              <w:t>□</w:t>
            </w:r>
            <w:r>
              <w:rPr>
                <w:rFonts w:hint="default" w:ascii="Times New Roman" w:hAnsi="Times New Roman" w:eastAsia="宋体" w:cs="Times New Roman"/>
                <w:color w:val="auto"/>
                <w:sz w:val="24"/>
                <w:szCs w:val="24"/>
                <w:lang w:bidi="ar-SA"/>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76" w:hRule="atLeast"/>
          <w:jc w:val="center"/>
        </w:trPr>
        <w:tc>
          <w:tcPr>
            <w:tcW w:w="842"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项目审批（核准/</w:t>
            </w:r>
          </w:p>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备案）部门（选填）</w:t>
            </w:r>
          </w:p>
        </w:tc>
        <w:tc>
          <w:tcPr>
            <w:tcW w:w="1421"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胡杨河经济技术开发区经济发展局</w:t>
            </w:r>
          </w:p>
        </w:tc>
        <w:tc>
          <w:tcPr>
            <w:tcW w:w="1246" w:type="pct"/>
            <w:noWrap w:val="0"/>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项目审批（核准/</w:t>
            </w:r>
          </w:p>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备案）文号（选填）</w:t>
            </w:r>
          </w:p>
        </w:tc>
        <w:tc>
          <w:tcPr>
            <w:tcW w:w="1489" w:type="pct"/>
            <w:noWrap w:val="0"/>
            <w:vAlign w:val="center"/>
          </w:tcPr>
          <w:p>
            <w:pPr>
              <w:adjustRightInd w:val="0"/>
              <w:snapToGrid w:val="0"/>
              <w:jc w:val="center"/>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经发局备〔2023〕064号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2"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总投资（万元）</w:t>
            </w:r>
          </w:p>
        </w:tc>
        <w:tc>
          <w:tcPr>
            <w:tcW w:w="1421"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3000</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环保投资（万元）</w:t>
            </w:r>
          </w:p>
        </w:tc>
        <w:tc>
          <w:tcPr>
            <w:tcW w:w="1489"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42"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环保投资占比（%）</w:t>
            </w:r>
          </w:p>
        </w:tc>
        <w:tc>
          <w:tcPr>
            <w:tcW w:w="1421"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1.93</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cs="Times New Roman"/>
                <w:color w:val="auto"/>
                <w:sz w:val="24"/>
                <w:szCs w:val="24"/>
              </w:rPr>
              <w:t>施工工期</w:t>
            </w:r>
          </w:p>
        </w:tc>
        <w:tc>
          <w:tcPr>
            <w:tcW w:w="1489"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bidi="ar-SA"/>
              </w:rPr>
            </w:pPr>
            <w:r>
              <w:rPr>
                <w:rFonts w:hint="eastAsia" w:ascii="Times New Roman" w:hAnsi="Times New Roman" w:cs="Times New Roman"/>
                <w:color w:val="auto"/>
                <w:sz w:val="24"/>
                <w:szCs w:val="24"/>
                <w:lang w:val="en-US" w:eastAsia="zh-CN"/>
              </w:rPr>
              <w:t>8个月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2"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是否开工建设</w:t>
            </w:r>
          </w:p>
        </w:tc>
        <w:tc>
          <w:tcPr>
            <w:tcW w:w="1421" w:type="pct"/>
            <w:noWrap w:val="0"/>
            <w:vAlign w:val="center"/>
          </w:tcPr>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否</w:t>
            </w:r>
          </w:p>
          <w:p>
            <w:pPr>
              <w:adjustRightInd w:val="0"/>
              <w:snapToGrid w:val="0"/>
              <w:rPr>
                <w:rFonts w:hint="default" w:ascii="Times New Roman" w:hAnsi="Times New Roman" w:eastAsia="宋体" w:cs="Times New Roman"/>
                <w:color w:val="auto"/>
                <w:sz w:val="24"/>
                <w:szCs w:val="24"/>
                <w:lang w:bidi="ar-SA"/>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lang w:bidi="ar-SA"/>
              </w:rPr>
            </w:pPr>
            <w:r>
              <w:rPr>
                <w:rFonts w:hint="default" w:ascii="Times New Roman" w:hAnsi="Times New Roman" w:cs="Times New Roman"/>
                <w:color w:val="auto"/>
                <w:spacing w:val="-6"/>
                <w:sz w:val="24"/>
                <w:szCs w:val="24"/>
              </w:rPr>
              <w:t>用地面积（</w:t>
            </w:r>
            <w:r>
              <w:rPr>
                <w:rFonts w:hint="eastAsia" w:ascii="Times New Roman" w:hAnsi="Times New Roman" w:cs="Times New Roman"/>
                <w:color w:val="auto"/>
                <w:spacing w:val="-6"/>
                <w:sz w:val="24"/>
                <w:szCs w:val="24"/>
                <w:lang w:val="en-US" w:eastAsia="zh-CN"/>
              </w:rPr>
              <w:t>m</w:t>
            </w:r>
            <w:r>
              <w:rPr>
                <w:rFonts w:hint="eastAsia" w:ascii="Times New Roman" w:hAnsi="Times New Roman" w:cs="Times New Roman"/>
                <w:color w:val="auto"/>
                <w:spacing w:val="-6"/>
                <w:sz w:val="24"/>
                <w:szCs w:val="24"/>
                <w:vertAlign w:val="superscript"/>
                <w:lang w:val="en-US" w:eastAsia="zh-CN"/>
              </w:rPr>
              <w:t>2</w:t>
            </w:r>
            <w:r>
              <w:rPr>
                <w:rFonts w:hint="default" w:ascii="Times New Roman" w:hAnsi="Times New Roman" w:cs="Times New Roman"/>
                <w:color w:val="auto"/>
                <w:spacing w:val="-6"/>
                <w:sz w:val="24"/>
                <w:szCs w:val="24"/>
              </w:rPr>
              <w:t>）</w:t>
            </w:r>
          </w:p>
        </w:tc>
        <w:tc>
          <w:tcPr>
            <w:tcW w:w="1489" w:type="pct"/>
            <w:noWrap w:val="0"/>
            <w:vAlign w:val="center"/>
          </w:tcPr>
          <w:p>
            <w:pPr>
              <w:adjustRightInd w:val="0"/>
              <w:snapToGrid w:val="0"/>
              <w:jc w:val="center"/>
              <w:rPr>
                <w:rFonts w:hint="default" w:ascii="Times New Roman" w:hAnsi="Times New Roman" w:eastAsia="宋体" w:cs="Times New Roman"/>
                <w:color w:val="auto"/>
                <w:sz w:val="24"/>
                <w:szCs w:val="24"/>
                <w:lang w:val="en-US" w:bidi="ar-SA"/>
              </w:rPr>
            </w:pPr>
            <w:r>
              <w:rPr>
                <w:rFonts w:hint="eastAsia" w:ascii="Times New Roman" w:hAnsi="Times New Roman" w:eastAsia="宋体" w:cs="Times New Roman"/>
                <w:color w:val="auto"/>
                <w:sz w:val="24"/>
                <w:szCs w:val="24"/>
                <w:vertAlign w:val="baseline"/>
                <w:lang w:val="en-US" w:eastAsia="zh-CN" w:bidi="ar-SA"/>
              </w:rPr>
              <w:t>5000m</w:t>
            </w:r>
            <w:r>
              <w:rPr>
                <w:rFonts w:hint="eastAsia" w:ascii="Times New Roman" w:hAnsi="Times New Roman" w:eastAsia="宋体" w:cs="Times New Roman"/>
                <w:color w:val="auto"/>
                <w:sz w:val="24"/>
                <w:szCs w:val="24"/>
                <w:vertAlign w:val="superscript"/>
                <w:lang w:val="en-US" w:eastAsia="zh-CN" w:bidi="ar-S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8" w:hRule="atLeast"/>
          <w:jc w:val="center"/>
        </w:trPr>
        <w:tc>
          <w:tcPr>
            <w:tcW w:w="842"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bidi="ar-SA"/>
              </w:rPr>
            </w:pPr>
            <w:r>
              <w:rPr>
                <w:rFonts w:hint="default" w:ascii="Times New Roman" w:hAnsi="Times New Roman" w:eastAsia="宋体" w:cs="Times New Roman"/>
                <w:color w:val="auto"/>
                <w:kern w:val="0"/>
                <w:sz w:val="24"/>
                <w:szCs w:val="24"/>
                <w:lang w:bidi="ar-SA"/>
              </w:rPr>
              <w:t>专项评价设置情况</w:t>
            </w:r>
          </w:p>
        </w:tc>
        <w:tc>
          <w:tcPr>
            <w:tcW w:w="4157" w:type="pct"/>
            <w:gridSpan w:val="3"/>
            <w:noWrap w:val="0"/>
            <w:vAlign w:val="center"/>
          </w:tcPr>
          <w:p>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360" w:lineRule="auto"/>
              <w:ind w:leftChars="0" w:firstLine="0" w:firstLineChars="0"/>
              <w:jc w:val="center"/>
              <w:textAlignment w:val="auto"/>
              <w:rPr>
                <w:rFonts w:hint="default" w:ascii="Times New Roman" w:hAnsi="Times New Roman" w:eastAsia="宋体" w:cs="Times New Roman"/>
                <w:color w:val="auto"/>
                <w:kern w:val="0"/>
                <w:sz w:val="24"/>
                <w:szCs w:val="24"/>
                <w:lang w:eastAsia="zh-CN" w:bidi="ar-SA"/>
              </w:rPr>
            </w:pPr>
            <w:r>
              <w:rPr>
                <w:rFonts w:hint="eastAsia" w:ascii="Times New Roman" w:hAnsi="Times New Roman" w:eastAsia="宋体" w:cs="Times New Roman"/>
                <w:color w:val="auto"/>
                <w:kern w:val="0"/>
                <w:sz w:val="24"/>
                <w:szCs w:val="24"/>
                <w:lang w:eastAsia="zh-CN" w:bidi="ar-S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842"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bidi="ar-SA"/>
              </w:rPr>
            </w:pPr>
            <w:r>
              <w:rPr>
                <w:rFonts w:hint="default" w:ascii="Times New Roman" w:hAnsi="Times New Roman" w:eastAsia="宋体" w:cs="Times New Roman"/>
                <w:color w:val="auto"/>
                <w:sz w:val="24"/>
                <w:szCs w:val="24"/>
                <w:lang w:bidi="ar-SA"/>
              </w:rPr>
              <w:t>规划情况</w:t>
            </w:r>
          </w:p>
        </w:tc>
        <w:tc>
          <w:tcPr>
            <w:tcW w:w="4157" w:type="pct"/>
            <w:gridSpan w:val="3"/>
            <w:noWrap w:val="0"/>
            <w:vAlign w:val="center"/>
          </w:tcPr>
          <w:p>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规划名称：</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胡杨河经济技术开发区总体规划（2021-2035）</w:t>
            </w:r>
            <w:r>
              <w:rPr>
                <w:rFonts w:hint="eastAsia" w:ascii="Times New Roman" w:hAnsi="Times New Roman" w:eastAsia="宋体" w:cs="Times New Roman"/>
                <w:color w:val="auto"/>
                <w:kern w:val="0"/>
                <w:sz w:val="24"/>
                <w:szCs w:val="24"/>
                <w:lang w:val="en-US" w:eastAsia="zh-CN" w:bidi="ar-SA"/>
              </w:rPr>
              <w:t>》</w:t>
            </w:r>
          </w:p>
          <w:p>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审批机关：新疆生产建设兵团</w:t>
            </w:r>
          </w:p>
          <w:p>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批复名称：《兵团关于第七师胡杨河市开发区（园区）清理整顿方案的批复》</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新兵函〔2020〕24号</w:t>
            </w:r>
            <w:r>
              <w:rPr>
                <w:rFonts w:hint="eastAsia" w:ascii="Times New Roman" w:hAnsi="Times New Roman" w:eastAsia="宋体" w:cs="Times New Roman"/>
                <w:color w:val="auto"/>
                <w:kern w:val="0"/>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842" w:type="pct"/>
            <w:noWrap w:val="0"/>
            <w:vAlign w:val="center"/>
          </w:tcPr>
          <w:p>
            <w:pPr>
              <w:adjustRightInd w:val="0"/>
              <w:snapToGrid w:val="0"/>
              <w:jc w:val="center"/>
              <w:rPr>
                <w:rFonts w:hint="default" w:ascii="Times New Roman" w:hAnsi="Times New Roman" w:eastAsia="宋体" w:cs="Times New Roman"/>
                <w:color w:val="auto"/>
                <w:kern w:val="0"/>
                <w:sz w:val="24"/>
                <w:szCs w:val="24"/>
                <w:lang w:bidi="ar-SA"/>
              </w:rPr>
            </w:pPr>
            <w:r>
              <w:rPr>
                <w:rFonts w:hint="default" w:ascii="Times New Roman" w:hAnsi="Times New Roman" w:eastAsia="宋体" w:cs="Times New Roman"/>
                <w:color w:val="auto"/>
                <w:sz w:val="24"/>
                <w:szCs w:val="24"/>
                <w:lang w:bidi="ar-SA"/>
              </w:rPr>
              <w:t>规划环境影响评价情况</w:t>
            </w:r>
          </w:p>
        </w:tc>
        <w:tc>
          <w:tcPr>
            <w:tcW w:w="4157" w:type="pct"/>
            <w:gridSpan w:val="3"/>
            <w:noWrap w:val="0"/>
            <w:vAlign w:val="center"/>
          </w:tcPr>
          <w:p>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eastAsia" w:ascii="Times New Roman" w:hAnsi="Times New Roman" w:eastAsia="宋体" w:cs="Times New Roman"/>
                <w:color w:val="auto"/>
                <w:kern w:val="0"/>
                <w:sz w:val="24"/>
                <w:szCs w:val="24"/>
                <w:lang w:eastAsia="zh-CN" w:bidi="ar-SA"/>
              </w:rPr>
            </w:pPr>
            <w:r>
              <w:rPr>
                <w:rFonts w:hint="eastAsia" w:ascii="Times New Roman" w:hAnsi="Times New Roman" w:eastAsia="宋体" w:cs="Times New Roman"/>
                <w:color w:val="auto"/>
                <w:kern w:val="0"/>
                <w:sz w:val="24"/>
                <w:szCs w:val="24"/>
                <w:lang w:eastAsia="zh-CN" w:bidi="ar-SA"/>
              </w:rPr>
              <w:t>规划环评名称：《胡杨河经济技术开发区总体规划（2021-2035年）环境影响报告书》</w:t>
            </w:r>
          </w:p>
          <w:p>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eastAsia" w:ascii="Times New Roman" w:hAnsi="Times New Roman" w:eastAsia="宋体" w:cs="Times New Roman"/>
                <w:color w:val="auto"/>
                <w:kern w:val="0"/>
                <w:sz w:val="24"/>
                <w:szCs w:val="24"/>
                <w:lang w:eastAsia="zh-CN" w:bidi="ar-SA"/>
              </w:rPr>
            </w:pPr>
            <w:r>
              <w:rPr>
                <w:rFonts w:hint="eastAsia" w:ascii="Times New Roman" w:hAnsi="Times New Roman" w:eastAsia="宋体" w:cs="Times New Roman"/>
                <w:color w:val="auto"/>
                <w:kern w:val="0"/>
                <w:sz w:val="24"/>
                <w:szCs w:val="24"/>
                <w:lang w:eastAsia="zh-CN" w:bidi="ar-SA"/>
              </w:rPr>
              <w:t>审批机关：新疆生产建设兵团生态环境局</w:t>
            </w:r>
          </w:p>
          <w:p>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eastAsia" w:ascii="Times New Roman" w:hAnsi="Times New Roman" w:eastAsia="宋体" w:cs="Times New Roman"/>
                <w:color w:val="auto"/>
                <w:kern w:val="0"/>
                <w:sz w:val="24"/>
                <w:szCs w:val="24"/>
                <w:lang w:eastAsia="zh-CN" w:bidi="ar-SA"/>
              </w:rPr>
            </w:pPr>
            <w:r>
              <w:rPr>
                <w:rFonts w:hint="eastAsia" w:ascii="Times New Roman" w:hAnsi="Times New Roman" w:eastAsia="宋体" w:cs="Times New Roman"/>
                <w:color w:val="auto"/>
                <w:kern w:val="0"/>
                <w:sz w:val="24"/>
                <w:szCs w:val="24"/>
                <w:lang w:eastAsia="zh-CN" w:bidi="ar-SA"/>
              </w:rPr>
              <w:t>批复名称：《关于胡杨河经济技术开发区总体规划（2021-2035年）环境影响报告书的审查意见》（兵环审〔2022〕2号）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7" w:hRule="atLeast"/>
          <w:jc w:val="center"/>
        </w:trPr>
        <w:tc>
          <w:tcPr>
            <w:tcW w:w="842"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bidi="ar-SA"/>
              </w:rPr>
            </w:pPr>
            <w:r>
              <w:rPr>
                <w:rFonts w:hint="default" w:ascii="Times New Roman" w:hAnsi="Times New Roman" w:eastAsia="宋体" w:cs="Times New Roman"/>
                <w:color w:val="auto"/>
                <w:kern w:val="0"/>
                <w:sz w:val="24"/>
                <w:szCs w:val="24"/>
                <w:lang w:bidi="ar-SA"/>
              </w:rPr>
              <w:t>规划及规划环境影响评价符合性分析</w:t>
            </w:r>
          </w:p>
        </w:tc>
        <w:tc>
          <w:tcPr>
            <w:tcW w:w="4157"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rPr>
            </w:pPr>
            <w:r>
              <w:rPr>
                <w:rFonts w:hint="eastAsia"/>
                <w:color w:val="auto"/>
                <w:kern w:val="0"/>
                <w:sz w:val="24"/>
              </w:rPr>
              <w:t>胡杨河经济技术开发区总体规划由南园区、北园区、胡杨河纺织工业园区形成</w:t>
            </w:r>
            <w:r>
              <w:rPr>
                <w:rFonts w:hint="eastAsia"/>
                <w:color w:val="auto"/>
                <w:kern w:val="0"/>
                <w:sz w:val="24"/>
                <w:lang w:eastAsia="zh-CN"/>
              </w:rPr>
              <w:t>“</w:t>
            </w:r>
            <w:r>
              <w:rPr>
                <w:rFonts w:hint="eastAsia"/>
                <w:color w:val="auto"/>
                <w:kern w:val="0"/>
                <w:sz w:val="24"/>
              </w:rPr>
              <w:t>一区三园</w:t>
            </w:r>
            <w:r>
              <w:rPr>
                <w:rFonts w:hint="eastAsia"/>
                <w:color w:val="auto"/>
                <w:kern w:val="0"/>
                <w:sz w:val="24"/>
                <w:lang w:eastAsia="zh-CN"/>
              </w:rPr>
              <w:t>”</w:t>
            </w:r>
            <w:r>
              <w:rPr>
                <w:rFonts w:hint="eastAsia"/>
                <w:color w:val="auto"/>
                <w:kern w:val="0"/>
                <w:sz w:val="24"/>
              </w:rPr>
              <w:t>构架。其中，南园区位于129团五五新镇东南侧与胡杨河市东北侧，规划范围北至奎克高速立交</w:t>
            </w:r>
            <w:r>
              <w:rPr>
                <w:rFonts w:hint="eastAsia"/>
                <w:color w:val="auto"/>
                <w:kern w:val="0"/>
                <w:sz w:val="24"/>
                <w:lang w:eastAsia="zh-CN"/>
              </w:rPr>
              <w:t>（</w:t>
            </w:r>
            <w:r>
              <w:rPr>
                <w:rFonts w:hint="eastAsia"/>
                <w:color w:val="auto"/>
                <w:kern w:val="0"/>
                <w:sz w:val="24"/>
              </w:rPr>
              <w:t>奎车公路、奎克高速公路交汇处</w:t>
            </w:r>
            <w:r>
              <w:rPr>
                <w:rFonts w:hint="eastAsia"/>
                <w:color w:val="auto"/>
                <w:kern w:val="0"/>
                <w:sz w:val="24"/>
                <w:lang w:eastAsia="zh-CN"/>
              </w:rPr>
              <w:t>）</w:t>
            </w:r>
            <w:r>
              <w:rPr>
                <w:rFonts w:hint="eastAsia"/>
                <w:color w:val="auto"/>
                <w:kern w:val="0"/>
                <w:sz w:val="24"/>
              </w:rPr>
              <w:t>，南至130团20连耕地，东邻130团公益林，西到奎北铁路，规划面积53.82平方公里。规划产业定位以精细化工、新材料为主导产业，新型建材、仓储物流业为辅助产业，装备制造业、创新科技产业、农产品加工、电子元器件产业作为淮安援疆产城融合发展产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rPr>
            </w:pPr>
            <w:r>
              <w:rPr>
                <w:rFonts w:hint="eastAsia"/>
                <w:color w:val="auto"/>
                <w:kern w:val="0"/>
                <w:sz w:val="24"/>
              </w:rPr>
              <w:t>规划环评中提出，严格控制</w:t>
            </w:r>
            <w:r>
              <w:rPr>
                <w:rFonts w:hint="eastAsia"/>
                <w:color w:val="auto"/>
                <w:kern w:val="0"/>
                <w:sz w:val="24"/>
                <w:lang w:eastAsia="zh-CN"/>
              </w:rPr>
              <w:t>“</w:t>
            </w:r>
            <w:r>
              <w:rPr>
                <w:rFonts w:hint="eastAsia"/>
                <w:color w:val="auto"/>
                <w:kern w:val="0"/>
                <w:sz w:val="24"/>
              </w:rPr>
              <w:t>两高</w:t>
            </w:r>
            <w:r>
              <w:rPr>
                <w:rFonts w:hint="eastAsia"/>
                <w:color w:val="auto"/>
                <w:kern w:val="0"/>
                <w:sz w:val="24"/>
                <w:lang w:eastAsia="zh-CN"/>
              </w:rPr>
              <w:t>”</w:t>
            </w:r>
            <w:r>
              <w:rPr>
                <w:rFonts w:hint="eastAsia"/>
                <w:color w:val="auto"/>
                <w:kern w:val="0"/>
                <w:sz w:val="24"/>
              </w:rPr>
              <w:t>行业发展规模，优化规划布局、产业结构与实施时序。严守生态保护红线，加强空间管控。坚守环境质量底线</w:t>
            </w:r>
            <w:r>
              <w:rPr>
                <w:rFonts w:hint="eastAsia"/>
                <w:color w:val="auto"/>
                <w:kern w:val="0"/>
                <w:sz w:val="24"/>
                <w:lang w:eastAsia="zh-CN"/>
              </w:rPr>
              <w:t>，</w:t>
            </w:r>
            <w:r>
              <w:rPr>
                <w:rFonts w:hint="eastAsia"/>
                <w:color w:val="auto"/>
                <w:kern w:val="0"/>
                <w:sz w:val="24"/>
              </w:rPr>
              <w:t>严格污染物总量管控，各类污染物排放须满足国家及自治区最新污染物排放标准要求。严格能源消费总量和消耗强度</w:t>
            </w:r>
            <w:r>
              <w:rPr>
                <w:rFonts w:hint="eastAsia"/>
                <w:color w:val="auto"/>
                <w:kern w:val="0"/>
                <w:sz w:val="24"/>
                <w:lang w:eastAsia="zh-CN"/>
              </w:rPr>
              <w:t>“</w:t>
            </w:r>
            <w:r>
              <w:rPr>
                <w:rFonts w:hint="eastAsia"/>
                <w:color w:val="auto"/>
                <w:kern w:val="0"/>
                <w:sz w:val="24"/>
              </w:rPr>
              <w:t>双控</w:t>
            </w:r>
            <w:r>
              <w:rPr>
                <w:rFonts w:hint="eastAsia"/>
                <w:color w:val="auto"/>
                <w:kern w:val="0"/>
                <w:sz w:val="24"/>
                <w:lang w:eastAsia="zh-CN"/>
              </w:rPr>
              <w:t>”</w:t>
            </w:r>
            <w:r>
              <w:rPr>
                <w:rFonts w:hint="eastAsia"/>
                <w:color w:val="auto"/>
                <w:kern w:val="0"/>
                <w:sz w:val="24"/>
              </w:rPr>
              <w:t>，坚持</w:t>
            </w:r>
            <w:r>
              <w:rPr>
                <w:rFonts w:hint="eastAsia"/>
                <w:color w:val="auto"/>
                <w:kern w:val="0"/>
                <w:sz w:val="24"/>
                <w:lang w:eastAsia="zh-CN"/>
              </w:rPr>
              <w:t>“</w:t>
            </w:r>
            <w:r>
              <w:rPr>
                <w:rFonts w:hint="eastAsia"/>
                <w:color w:val="auto"/>
                <w:kern w:val="0"/>
                <w:sz w:val="24"/>
              </w:rPr>
              <w:t>以水定产、以水定量</w:t>
            </w:r>
            <w:r>
              <w:rPr>
                <w:rFonts w:hint="eastAsia"/>
                <w:color w:val="auto"/>
                <w:kern w:val="0"/>
                <w:sz w:val="24"/>
                <w:lang w:eastAsia="zh-CN"/>
              </w:rPr>
              <w:t>”</w:t>
            </w:r>
            <w:r>
              <w:rPr>
                <w:rFonts w:hint="eastAsia"/>
                <w:color w:val="auto"/>
                <w:kern w:val="0"/>
                <w:sz w:val="24"/>
              </w:rPr>
              <w:t>，严格入园产业和项目的生态环境准入。严格按照规划产业布局入驻企业，结合区域发展定位、开发布局、生态环境保护目标，实行入园企业环保准入审核制度，不符合产业政策、行业准入条件、生态环境准入清单及自治区党委明令禁止的</w:t>
            </w:r>
            <w:r>
              <w:rPr>
                <w:rFonts w:hint="eastAsia"/>
                <w:color w:val="auto"/>
                <w:kern w:val="0"/>
                <w:sz w:val="24"/>
                <w:lang w:eastAsia="zh-CN"/>
              </w:rPr>
              <w:t>“</w:t>
            </w:r>
            <w:r>
              <w:rPr>
                <w:rFonts w:hint="eastAsia"/>
                <w:color w:val="auto"/>
                <w:kern w:val="0"/>
                <w:sz w:val="24"/>
              </w:rPr>
              <w:t>三高</w:t>
            </w:r>
            <w:r>
              <w:rPr>
                <w:rFonts w:hint="eastAsia"/>
                <w:color w:val="auto"/>
                <w:kern w:val="0"/>
                <w:sz w:val="24"/>
                <w:lang w:eastAsia="zh-CN"/>
              </w:rPr>
              <w:t>”</w:t>
            </w:r>
            <w:r>
              <w:rPr>
                <w:rFonts w:hint="eastAsia"/>
                <w:color w:val="auto"/>
                <w:kern w:val="0"/>
                <w:sz w:val="24"/>
              </w:rPr>
              <w:t>项目一律不得入驻园区。严格按照国家有关规定，依法、依规、合理地贮存、处置和处理危险废物。强化开发区环境风险管理，强化应急响应联动机制，保障城市人居环境安全和生态环境安全。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sz w:val="24"/>
                <w:szCs w:val="20"/>
                <w:lang w:val="zh-CN" w:eastAsia="zh-CN" w:bidi="ar"/>
              </w:rPr>
              <w:t>南园区产业功能规划分区分为：①精细化工、新材料、新型建材产业区；②创新科技、装备制造、农产品加工、电子元器件产业区；③现代仓储物流区，本项目为玻璃纤维增强塑料制品制造</w:t>
            </w:r>
            <w:r>
              <w:rPr>
                <w:rFonts w:hint="eastAsia" w:ascii="Times New Roman" w:hAnsi="Times New Roman" w:eastAsia="宋体" w:cs="Times New Roman"/>
                <w:color w:val="auto"/>
                <w:sz w:val="24"/>
                <w:szCs w:val="24"/>
                <w:lang w:val="en-US" w:eastAsia="zh-CN"/>
              </w:rPr>
              <w:t>，玻璃纤维增强塑料制品是一种耐高温、耐低温、耐腐蚀、耐磨损等高性能装备材料，</w:t>
            </w:r>
            <w:r>
              <w:rPr>
                <w:rFonts w:hint="eastAsia"/>
                <w:color w:val="auto"/>
                <w:kern w:val="0"/>
                <w:sz w:val="24"/>
              </w:rPr>
              <w:t>其选址位于园区的</w:t>
            </w:r>
            <w:r>
              <w:rPr>
                <w:rFonts w:hint="eastAsia"/>
                <w:color w:val="auto"/>
                <w:kern w:val="0"/>
                <w:sz w:val="24"/>
                <w:lang w:eastAsia="zh-CN"/>
              </w:rPr>
              <w:t>“创新科技、装备制造、农产品加工、电子元器件产业区”</w:t>
            </w:r>
            <w:r>
              <w:rPr>
                <w:rFonts w:hint="eastAsia" w:ascii="Times New Roman" w:hAnsi="Times New Roman" w:eastAsia="宋体" w:cs="Times New Roman"/>
                <w:color w:val="auto"/>
                <w:sz w:val="24"/>
                <w:szCs w:val="20"/>
                <w:lang w:val="zh-CN" w:eastAsia="zh-CN" w:bidi="ar"/>
              </w:rPr>
              <w:t>，符合园区产业布局规划（与园区产业布局规划位置图见附图</w:t>
            </w:r>
            <w:r>
              <w:rPr>
                <w:rFonts w:hint="eastAsia" w:ascii="Times New Roman" w:hAnsi="Times New Roman" w:eastAsia="宋体" w:cs="Times New Roman"/>
                <w:color w:val="auto"/>
                <w:sz w:val="24"/>
                <w:szCs w:val="20"/>
                <w:lang w:val="en-US" w:eastAsia="zh-CN" w:bidi="ar"/>
              </w:rPr>
              <w:t>1-1</w:t>
            </w:r>
            <w:r>
              <w:rPr>
                <w:rFonts w:hint="eastAsia" w:ascii="Times New Roman" w:hAnsi="Times New Roman" w:eastAsia="宋体" w:cs="Times New Roman"/>
                <w:color w:val="auto"/>
                <w:sz w:val="24"/>
                <w:szCs w:val="20"/>
                <w:lang w:val="zh-CN" w:eastAsia="zh-CN" w:bidi="ar"/>
              </w:rPr>
              <w:t>）；南园区用地规划为：公共管理服务设施用地、商业服务业设施用地、一、二、三类工业用地、一、二类物流仓储用地、道路与交通设施用地、市政公用设施用地、绿地与广场用地。本项目用地为工业用地，与园区规划用地及布局相符（与园区土地利用规划位置图见附图</w:t>
            </w:r>
            <w:r>
              <w:rPr>
                <w:rFonts w:hint="eastAsia" w:ascii="Times New Roman" w:hAnsi="Times New Roman" w:eastAsia="宋体" w:cs="Times New Roman"/>
                <w:color w:val="auto"/>
                <w:sz w:val="24"/>
                <w:szCs w:val="20"/>
                <w:lang w:val="en-US" w:eastAsia="zh-CN" w:bidi="ar"/>
              </w:rPr>
              <w:t>1-2</w:t>
            </w:r>
            <w:r>
              <w:rPr>
                <w:rFonts w:hint="eastAsia" w:ascii="Times New Roman" w:hAnsi="Times New Roman" w:eastAsia="宋体" w:cs="Times New Roman"/>
                <w:color w:val="auto"/>
                <w:sz w:val="24"/>
                <w:szCs w:val="20"/>
                <w:lang w:val="zh-CN" w:eastAsia="zh-CN" w:bidi="ar"/>
              </w:rPr>
              <w:t>）</w:t>
            </w:r>
            <w:r>
              <w:rPr>
                <w:rFonts w:hint="eastAsia"/>
                <w:color w:val="auto"/>
                <w:kern w:val="0"/>
                <w:sz w:val="24"/>
              </w:rPr>
              <w:t>。</w:t>
            </w:r>
            <w:r>
              <w:rPr>
                <w:rFonts w:hint="eastAsia"/>
                <w:color w:val="auto"/>
                <w:kern w:val="0"/>
                <w:sz w:val="24"/>
                <w:lang w:eastAsia="zh-CN"/>
              </w:rPr>
              <w:t>项目</w:t>
            </w:r>
            <w:r>
              <w:rPr>
                <w:rFonts w:hint="eastAsia"/>
                <w:color w:val="auto"/>
                <w:kern w:val="0"/>
                <w:sz w:val="24"/>
              </w:rPr>
              <w:t>产业定位</w:t>
            </w:r>
            <w:r>
              <w:rPr>
                <w:rFonts w:hint="eastAsia"/>
                <w:color w:val="auto"/>
                <w:kern w:val="0"/>
                <w:sz w:val="24"/>
                <w:lang w:eastAsia="zh-CN"/>
              </w:rPr>
              <w:t>和布局规划</w:t>
            </w:r>
            <w:r>
              <w:rPr>
                <w:rFonts w:hint="eastAsia"/>
                <w:color w:val="auto"/>
                <w:kern w:val="0"/>
                <w:sz w:val="24"/>
              </w:rPr>
              <w:t>符合园区要求，污染物采用高效治理措施并进行总量控制，符合规划及规划环评的要求。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0" w:hRule="atLeast"/>
          <w:jc w:val="center"/>
        </w:trPr>
        <w:tc>
          <w:tcPr>
            <w:tcW w:w="842"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bidi="ar-SA"/>
              </w:rPr>
            </w:pPr>
            <w:r>
              <w:rPr>
                <w:rFonts w:hint="default" w:ascii="Times New Roman" w:hAnsi="Times New Roman" w:eastAsia="宋体" w:cs="Times New Roman"/>
                <w:color w:val="auto"/>
                <w:kern w:val="0"/>
                <w:sz w:val="24"/>
                <w:szCs w:val="24"/>
                <w:lang w:bidi="ar-SA"/>
              </w:rPr>
              <w:t>其他符合性分析</w:t>
            </w:r>
          </w:p>
        </w:tc>
        <w:tc>
          <w:tcPr>
            <w:tcW w:w="4157" w:type="pct"/>
            <w:gridSpan w:val="3"/>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1产业政策</w:t>
            </w:r>
            <w:r>
              <w:rPr>
                <w:rFonts w:hint="eastAsia" w:ascii="Times New Roman" w:hAnsi="Times New Roman" w:eastAsia="宋体" w:cs="Times New Roman"/>
                <w:b/>
                <w:bCs/>
                <w:color w:val="auto"/>
                <w:sz w:val="24"/>
                <w:szCs w:val="24"/>
                <w:lang w:val="en-US" w:eastAsia="zh-CN" w:bidi="ar-SA"/>
              </w:rPr>
              <w:t>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0"/>
                <w:lang w:bidi="ar"/>
              </w:rPr>
            </w:pPr>
            <w:r>
              <w:rPr>
                <w:rFonts w:hint="eastAsia" w:cs="Times New Roman"/>
                <w:color w:val="auto"/>
                <w:sz w:val="24"/>
                <w:szCs w:val="20"/>
                <w:lang w:eastAsia="zh-CN" w:bidi="ar"/>
              </w:rPr>
              <w:t>本项目</w:t>
            </w:r>
            <w:r>
              <w:rPr>
                <w:rFonts w:hint="default" w:ascii="Times New Roman" w:hAnsi="Times New Roman" w:eastAsia="宋体" w:cs="Times New Roman"/>
                <w:color w:val="auto"/>
                <w:sz w:val="24"/>
                <w:szCs w:val="24"/>
                <w:lang w:eastAsia="zh-CN" w:bidi="ar-SA"/>
              </w:rPr>
              <w:t>为玻璃纤维增强塑料制品制造</w:t>
            </w:r>
            <w:r>
              <w:rPr>
                <w:rFonts w:hint="eastAsia" w:ascii="Times New Roman" w:hAnsi="Times New Roman" w:eastAsia="宋体" w:cs="Times New Roman"/>
                <w:color w:val="auto"/>
                <w:sz w:val="24"/>
                <w:szCs w:val="24"/>
                <w:lang w:eastAsia="zh-CN" w:bidi="ar-SA"/>
              </w:rPr>
              <w:t>，</w:t>
            </w:r>
            <w:r>
              <w:rPr>
                <w:rFonts w:hint="default" w:ascii="Times New Roman" w:hAnsi="Times New Roman" w:eastAsia="宋体" w:cs="Times New Roman"/>
                <w:color w:val="auto"/>
                <w:sz w:val="24"/>
                <w:szCs w:val="20"/>
                <w:lang w:bidi="ar"/>
              </w:rPr>
              <w:t>对照《产业结构调整指导目录（</w:t>
            </w:r>
            <w:r>
              <w:rPr>
                <w:rFonts w:hint="eastAsia" w:cs="Times New Roman"/>
                <w:color w:val="auto"/>
                <w:sz w:val="24"/>
                <w:szCs w:val="20"/>
                <w:lang w:val="en-US" w:eastAsia="zh-CN" w:bidi="ar"/>
              </w:rPr>
              <w:t>2024</w:t>
            </w:r>
            <w:r>
              <w:rPr>
                <w:rFonts w:hint="default" w:ascii="Times New Roman" w:hAnsi="Times New Roman" w:eastAsia="宋体" w:cs="Times New Roman"/>
                <w:color w:val="auto"/>
                <w:sz w:val="24"/>
                <w:szCs w:val="20"/>
                <w:lang w:bidi="ar"/>
              </w:rPr>
              <w:t>年本）》中，第一类鼓励类中</w:t>
            </w:r>
            <w:r>
              <w:rPr>
                <w:rFonts w:hint="eastAsia" w:cs="Times New Roman"/>
                <w:color w:val="auto"/>
                <w:sz w:val="24"/>
                <w:szCs w:val="20"/>
                <w:lang w:eastAsia="zh-CN" w:bidi="ar"/>
              </w:rPr>
              <w:t>“</w:t>
            </w:r>
            <w:r>
              <w:rPr>
                <w:rFonts w:hint="default" w:ascii="Times New Roman" w:hAnsi="Times New Roman" w:eastAsia="宋体" w:cs="Times New Roman"/>
                <w:color w:val="auto"/>
                <w:sz w:val="24"/>
                <w:szCs w:val="20"/>
                <w:lang w:bidi="ar"/>
              </w:rPr>
              <w:t>十二、建材中第</w:t>
            </w:r>
            <w:r>
              <w:rPr>
                <w:rFonts w:hint="eastAsia" w:cs="Times New Roman"/>
                <w:color w:val="auto"/>
                <w:sz w:val="24"/>
                <w:szCs w:val="20"/>
                <w:lang w:val="en-US" w:eastAsia="zh-CN" w:bidi="ar"/>
              </w:rPr>
              <w:t>5</w:t>
            </w:r>
            <w:r>
              <w:rPr>
                <w:rFonts w:hint="default" w:ascii="Times New Roman" w:hAnsi="Times New Roman" w:eastAsia="宋体" w:cs="Times New Roman"/>
                <w:color w:val="auto"/>
                <w:sz w:val="24"/>
                <w:szCs w:val="20"/>
                <w:lang w:bidi="ar"/>
              </w:rPr>
              <w:t>条超细（单丝直径≤5微米）、高强、高模、耐碱、低介电、低膨胀、高硅氧、可降解、异形截面、本体彩色、有机纤维复合等高性能及特种玻璃纤维开发与生产</w:t>
            </w:r>
            <w:r>
              <w:rPr>
                <w:rFonts w:hint="eastAsia" w:cs="Times New Roman"/>
                <w:color w:val="auto"/>
                <w:sz w:val="24"/>
                <w:szCs w:val="20"/>
                <w:lang w:eastAsia="zh-CN" w:bidi="ar"/>
              </w:rPr>
              <w:t>”</w:t>
            </w:r>
            <w:r>
              <w:rPr>
                <w:rFonts w:hint="default" w:ascii="Times New Roman" w:hAnsi="Times New Roman" w:eastAsia="宋体" w:cs="Times New Roman"/>
                <w:color w:val="auto"/>
                <w:sz w:val="24"/>
                <w:szCs w:val="20"/>
                <w:lang w:bidi="ar"/>
              </w:rPr>
              <w:t>属于鼓励类建设项目，综上项目符合国家产业政策的要求。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lang w:bidi="ar-SA"/>
              </w:rPr>
            </w:pPr>
            <w:r>
              <w:rPr>
                <w:rFonts w:hint="eastAsia" w:cs="Times New Roman"/>
                <w:b/>
                <w:bCs/>
                <w:color w:val="auto"/>
                <w:sz w:val="24"/>
                <w:szCs w:val="24"/>
                <w:lang w:val="en-US" w:eastAsia="zh-CN" w:bidi="ar-SA"/>
              </w:rPr>
              <w:t>2“</w:t>
            </w:r>
            <w:r>
              <w:rPr>
                <w:rFonts w:hint="default" w:ascii="Times New Roman" w:hAnsi="Times New Roman" w:eastAsia="宋体" w:cs="Times New Roman"/>
                <w:b/>
                <w:bCs/>
                <w:color w:val="auto"/>
                <w:sz w:val="24"/>
                <w:szCs w:val="24"/>
                <w:lang w:bidi="ar-SA"/>
              </w:rPr>
              <w:t>三线一单</w:t>
            </w:r>
            <w:r>
              <w:rPr>
                <w:rFonts w:hint="eastAsia" w:cs="Times New Roman"/>
                <w:b/>
                <w:bCs/>
                <w:color w:val="auto"/>
                <w:sz w:val="24"/>
                <w:szCs w:val="24"/>
                <w:lang w:val="en-US" w:eastAsia="zh-CN" w:bidi="ar-SA"/>
              </w:rPr>
              <w:t>”</w:t>
            </w:r>
            <w:r>
              <w:rPr>
                <w:rFonts w:hint="default" w:ascii="Times New Roman" w:hAnsi="Times New Roman" w:eastAsia="宋体" w:cs="Times New Roman"/>
                <w:b/>
                <w:bCs/>
                <w:color w:val="auto"/>
                <w:sz w:val="24"/>
                <w:szCs w:val="24"/>
                <w:lang w:bidi="ar-SA"/>
              </w:rPr>
              <w:t>符合性分析</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lang w:bidi="ar-SA"/>
              </w:rPr>
            </w:pPr>
            <w:r>
              <w:rPr>
                <w:rFonts w:hint="default" w:ascii="Times New Roman" w:hAnsi="Times New Roman" w:eastAsia="宋体" w:cs="Times New Roman"/>
                <w:color w:val="auto"/>
                <w:sz w:val="24"/>
                <w:szCs w:val="22"/>
                <w:lang w:bidi="ar-SA"/>
              </w:rPr>
              <w:t>依据《兵团第七师胡杨河市</w:t>
            </w:r>
            <w:r>
              <w:rPr>
                <w:rFonts w:hint="eastAsia" w:ascii="Times New Roman" w:hAnsi="Times New Roman" w:eastAsia="宋体" w:cs="Times New Roman"/>
                <w:color w:val="auto"/>
                <w:sz w:val="24"/>
                <w:szCs w:val="22"/>
                <w:lang w:eastAsia="zh-CN" w:bidi="ar-SA"/>
              </w:rPr>
              <w:t>“</w:t>
            </w:r>
            <w:r>
              <w:rPr>
                <w:rFonts w:hint="default" w:ascii="Times New Roman" w:hAnsi="Times New Roman" w:eastAsia="宋体" w:cs="Times New Roman"/>
                <w:color w:val="auto"/>
                <w:sz w:val="24"/>
                <w:szCs w:val="22"/>
                <w:lang w:bidi="ar-SA"/>
              </w:rPr>
              <w:t>三线一单</w:t>
            </w:r>
            <w:r>
              <w:rPr>
                <w:rFonts w:hint="eastAsia" w:ascii="Times New Roman" w:hAnsi="Times New Roman" w:eastAsia="宋体" w:cs="Times New Roman"/>
                <w:color w:val="auto"/>
                <w:sz w:val="24"/>
                <w:szCs w:val="22"/>
                <w:lang w:eastAsia="zh-CN" w:bidi="ar-SA"/>
              </w:rPr>
              <w:t>”</w:t>
            </w:r>
            <w:r>
              <w:rPr>
                <w:rFonts w:hint="default" w:ascii="Times New Roman" w:hAnsi="Times New Roman" w:eastAsia="宋体" w:cs="Times New Roman"/>
                <w:color w:val="auto"/>
                <w:sz w:val="24"/>
                <w:szCs w:val="22"/>
                <w:lang w:bidi="ar-SA"/>
              </w:rPr>
              <w:t>（2018-2035年）》，本项目与</w:t>
            </w:r>
            <w:r>
              <w:rPr>
                <w:rFonts w:hint="eastAsia" w:ascii="Times New Roman" w:hAnsi="Times New Roman" w:eastAsia="宋体" w:cs="Times New Roman"/>
                <w:color w:val="auto"/>
                <w:sz w:val="24"/>
                <w:szCs w:val="22"/>
                <w:lang w:eastAsia="zh-CN" w:bidi="ar-SA"/>
              </w:rPr>
              <w:t>其</w:t>
            </w:r>
            <w:r>
              <w:rPr>
                <w:rFonts w:hint="default" w:ascii="Times New Roman" w:hAnsi="Times New Roman" w:eastAsia="宋体" w:cs="Times New Roman"/>
                <w:color w:val="auto"/>
                <w:sz w:val="24"/>
                <w:szCs w:val="22"/>
                <w:lang w:bidi="ar-SA"/>
              </w:rPr>
              <w:t>符合性</w:t>
            </w:r>
            <w:r>
              <w:rPr>
                <w:rFonts w:hint="eastAsia" w:ascii="Times New Roman" w:hAnsi="Times New Roman" w:eastAsia="宋体" w:cs="Times New Roman"/>
                <w:color w:val="auto"/>
                <w:sz w:val="24"/>
                <w:szCs w:val="22"/>
                <w:lang w:eastAsia="zh-CN" w:bidi="ar-SA"/>
              </w:rPr>
              <w:t>分析</w:t>
            </w:r>
            <w:r>
              <w:rPr>
                <w:rFonts w:hint="default" w:ascii="Times New Roman" w:hAnsi="Times New Roman" w:eastAsia="宋体" w:cs="Times New Roman"/>
                <w:color w:val="auto"/>
                <w:sz w:val="24"/>
                <w:szCs w:val="22"/>
                <w:lang w:bidi="ar-SA"/>
              </w:rPr>
              <w:t>见表1-</w:t>
            </w:r>
            <w:r>
              <w:rPr>
                <w:rFonts w:hint="eastAsia" w:ascii="Times New Roman" w:hAnsi="Times New Roman" w:eastAsia="宋体" w:cs="Times New Roman"/>
                <w:color w:val="auto"/>
                <w:sz w:val="24"/>
                <w:szCs w:val="22"/>
                <w:lang w:val="en-US" w:eastAsia="zh-CN" w:bidi="ar-SA"/>
              </w:rPr>
              <w:t>1</w:t>
            </w:r>
            <w:r>
              <w:rPr>
                <w:rFonts w:hint="default" w:ascii="Times New Roman" w:hAnsi="Times New Roman" w:eastAsia="宋体" w:cs="Times New Roman"/>
                <w:color w:val="auto"/>
                <w:sz w:val="24"/>
                <w:szCs w:val="22"/>
                <w:lang w:bidi="ar-SA"/>
              </w:rPr>
              <w:t>。</w:t>
            </w:r>
          </w:p>
          <w:p>
            <w:pPr>
              <w:bidi w:val="0"/>
              <w:spacing w:line="240" w:lineRule="auto"/>
              <w:jc w:val="center"/>
              <w:rPr>
                <w:rFonts w:hint="default"/>
                <w:b/>
                <w:bCs/>
                <w:color w:val="auto"/>
                <w:highlight w:val="none"/>
                <w:lang w:val="en-US" w:eastAsia="zh-CN"/>
              </w:rPr>
            </w:pPr>
            <w:r>
              <w:rPr>
                <w:rFonts w:hint="default"/>
                <w:b/>
                <w:bCs/>
                <w:color w:val="auto"/>
                <w:highlight w:val="none"/>
                <w:lang w:val="en-US" w:eastAsia="zh-CN"/>
              </w:rPr>
              <w:t>表</w:t>
            </w:r>
            <w:r>
              <w:rPr>
                <w:rFonts w:hint="eastAsia"/>
                <w:b/>
                <w:bCs/>
                <w:color w:val="auto"/>
                <w:highlight w:val="none"/>
                <w:lang w:val="en-US" w:eastAsia="zh-CN"/>
              </w:rPr>
              <w:t xml:space="preserve">1-1 </w:t>
            </w:r>
            <w:r>
              <w:rPr>
                <w:rFonts w:hint="default"/>
                <w:b/>
                <w:bCs/>
                <w:color w:val="auto"/>
                <w:highlight w:val="none"/>
                <w:lang w:val="en-US" w:eastAsia="zh-CN"/>
              </w:rPr>
              <w:t xml:space="preserve"> 与《兵团第七师胡杨河市</w:t>
            </w:r>
            <w:r>
              <w:rPr>
                <w:rFonts w:hint="eastAsia"/>
                <w:b/>
                <w:bCs/>
                <w:color w:val="auto"/>
                <w:highlight w:val="none"/>
                <w:lang w:val="en-US" w:eastAsia="zh-CN"/>
              </w:rPr>
              <w:t>“</w:t>
            </w:r>
            <w:r>
              <w:rPr>
                <w:rFonts w:hint="default"/>
                <w:b/>
                <w:bCs/>
                <w:color w:val="auto"/>
                <w:highlight w:val="none"/>
                <w:lang w:val="en-US" w:eastAsia="zh-CN"/>
              </w:rPr>
              <w:t>三线一单</w:t>
            </w:r>
            <w:r>
              <w:rPr>
                <w:rFonts w:hint="eastAsia"/>
                <w:b/>
                <w:bCs/>
                <w:color w:val="auto"/>
                <w:highlight w:val="none"/>
                <w:lang w:val="en-US" w:eastAsia="zh-CN"/>
              </w:rPr>
              <w:t>”</w:t>
            </w:r>
            <w:r>
              <w:rPr>
                <w:rFonts w:hint="default"/>
                <w:b/>
                <w:bCs/>
                <w:color w:val="auto"/>
                <w:highlight w:val="none"/>
                <w:lang w:val="en-US" w:eastAsia="zh-CN"/>
              </w:rPr>
              <w:t>（2018-2035年）》符合性一览表</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96"/>
              <w:gridCol w:w="3162"/>
              <w:gridCol w:w="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tc>
              <w:tc>
                <w:tcPr>
                  <w:tcW w:w="2151"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符合性分析</w:t>
                  </w:r>
                </w:p>
              </w:tc>
              <w:tc>
                <w:tcPr>
                  <w:tcW w:w="470"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tcBorders>
                    <w:top w:val="single" w:color="auto"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生态保护红线</w:t>
                  </w:r>
                  <w:r>
                    <w:rPr>
                      <w:rFonts w:hint="default" w:ascii="Times New Roman" w:hAnsi="Times New Roman" w:eastAsia="宋体" w:cs="Times New Roman"/>
                      <w:color w:val="auto"/>
                      <w:sz w:val="21"/>
                      <w:szCs w:val="21"/>
                      <w:lang w:eastAsia="zh-CN"/>
                    </w:rPr>
                    <w:t>：按照</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生态功能不降低、面积不减少、性质不改变</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的基本要求，对划定的生态保护红线实施严格管控，保障和维护兵团生态安全底线和生命线</w:t>
                  </w:r>
                  <w:r>
                    <w:rPr>
                      <w:rFonts w:hint="eastAsia" w:eastAsia="宋体" w:cs="Times New Roman"/>
                      <w:color w:val="auto"/>
                      <w:sz w:val="21"/>
                      <w:szCs w:val="21"/>
                      <w:lang w:eastAsia="zh-CN"/>
                    </w:rPr>
                    <w:t>。</w:t>
                  </w:r>
                </w:p>
              </w:tc>
              <w:tc>
                <w:tcPr>
                  <w:tcW w:w="2151" w:type="pct"/>
                  <w:tcBorders>
                    <w:top w:val="single" w:color="auto"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项目位于胡杨河经济技术开发区南</w:t>
                  </w:r>
                  <w:r>
                    <w:rPr>
                      <w:rFonts w:hint="eastAsia" w:cs="Times New Roman"/>
                      <w:color w:val="auto"/>
                      <w:sz w:val="21"/>
                      <w:szCs w:val="21"/>
                      <w:lang w:eastAsia="zh-CN"/>
                    </w:rPr>
                    <w:t>园</w:t>
                  </w:r>
                  <w:r>
                    <w:rPr>
                      <w:rFonts w:hint="default" w:ascii="Times New Roman" w:hAnsi="Times New Roman" w:eastAsia="宋体" w:cs="Times New Roman"/>
                      <w:color w:val="auto"/>
                      <w:sz w:val="21"/>
                      <w:szCs w:val="21"/>
                    </w:rPr>
                    <w:t>区</w:t>
                  </w:r>
                  <w:r>
                    <w:rPr>
                      <w:rFonts w:hint="eastAsia" w:cs="Times New Roman"/>
                      <w:color w:val="auto"/>
                      <w:sz w:val="21"/>
                      <w:szCs w:val="21"/>
                      <w:lang w:val="en-US" w:eastAsia="zh-CN"/>
                    </w:rPr>
                    <w:t>31#厂房</w:t>
                  </w:r>
                  <w:r>
                    <w:rPr>
                      <w:rFonts w:hint="default" w:ascii="Times New Roman" w:hAnsi="Times New Roman" w:eastAsia="宋体" w:cs="Times New Roman"/>
                      <w:color w:val="auto"/>
                      <w:sz w:val="21"/>
                      <w:szCs w:val="21"/>
                    </w:rPr>
                    <w:t>，中心地理坐标为E</w:t>
                  </w:r>
                  <w:r>
                    <w:rPr>
                      <w:rFonts w:hint="default" w:ascii="Times New Roman" w:hAnsi="Times New Roman" w:eastAsia="宋体" w:cs="Times New Roman"/>
                      <w:color w:val="auto"/>
                      <w:sz w:val="21"/>
                      <w:szCs w:val="21"/>
                      <w:lang w:val="en-US" w:eastAsia="zh-CN"/>
                    </w:rPr>
                    <w:t>84°5</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15.688</w:t>
                  </w:r>
                  <w:r>
                    <w:rPr>
                      <w:rFonts w:hint="default" w:ascii="Times New Roman" w:hAnsi="Times New Roman" w:eastAsia="宋体" w:cs="Times New Roman"/>
                      <w:color w:val="auto"/>
                      <w:sz w:val="21"/>
                      <w:szCs w:val="21"/>
                    </w:rPr>
                    <w:t>"，N44°4</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59.738</w:t>
                  </w:r>
                  <w:r>
                    <w:rPr>
                      <w:rFonts w:hint="default" w:ascii="Times New Roman" w:hAnsi="Times New Roman" w:eastAsia="宋体" w:cs="Times New Roman"/>
                      <w:color w:val="auto"/>
                      <w:sz w:val="21"/>
                      <w:szCs w:val="21"/>
                    </w:rPr>
                    <w:t>"，项目周边无自然生态保护区、饮用水源保护区、珍稀濒危野生动植物敏感区等生态</w:t>
                  </w:r>
                  <w:r>
                    <w:rPr>
                      <w:rFonts w:hint="default" w:ascii="Times New Roman" w:hAnsi="Times New Roman" w:eastAsia="宋体" w:cs="Times New Roman"/>
                      <w:color w:val="auto"/>
                      <w:sz w:val="21"/>
                      <w:szCs w:val="21"/>
                      <w:lang w:eastAsia="zh-CN"/>
                    </w:rPr>
                    <w:t>敏感</w:t>
                  </w:r>
                  <w:r>
                    <w:rPr>
                      <w:rFonts w:hint="default" w:ascii="Times New Roman" w:hAnsi="Times New Roman" w:eastAsia="宋体" w:cs="Times New Roman"/>
                      <w:color w:val="auto"/>
                      <w:sz w:val="21"/>
                      <w:szCs w:val="21"/>
                    </w:rPr>
                    <w:t>目标，项目不涉及生态保护红线。</w:t>
                  </w:r>
                </w:p>
              </w:tc>
              <w:tc>
                <w:tcPr>
                  <w:tcW w:w="470" w:type="pct"/>
                  <w:tcBorders>
                    <w:top w:val="single" w:color="auto"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资源利用上线</w:t>
                  </w:r>
                  <w:r>
                    <w:rPr>
                      <w:rFonts w:hint="default" w:ascii="Times New Roman" w:hAnsi="Times New Roman" w:eastAsia="宋体" w:cs="Times New Roman"/>
                      <w:color w:val="auto"/>
                      <w:sz w:val="21"/>
                      <w:szCs w:val="21"/>
                      <w:lang w:eastAsia="zh-CN"/>
                    </w:rPr>
                    <w:t>：强化节约集约利用，持续提升资源能源利用率，水资源、土地资源、能源消耗达到国家、兵团下达的总量和强度控制目标，地下水超采得到严格控制。加快区域低碳发展，积极推动低碳试点城市建设，发挥低碳试点示范引领作用</w:t>
                  </w:r>
                  <w:r>
                    <w:rPr>
                      <w:rFonts w:hint="eastAsia" w:eastAsia="宋体" w:cs="Times New Roman"/>
                      <w:color w:val="auto"/>
                      <w:sz w:val="21"/>
                      <w:szCs w:val="21"/>
                      <w:lang w:eastAsia="zh-CN"/>
                    </w:rPr>
                    <w:t>。</w:t>
                  </w:r>
                </w:p>
              </w:tc>
              <w:tc>
                <w:tcPr>
                  <w:tcW w:w="215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本项目运营期间会消耗一定量的电、水等资源，建设过程中不涉及开采地下水；运营期间水、电均依托</w:t>
                  </w:r>
                  <w:r>
                    <w:rPr>
                      <w:rFonts w:hint="eastAsia" w:cs="Times New Roman"/>
                      <w:color w:val="auto"/>
                      <w:sz w:val="21"/>
                      <w:szCs w:val="21"/>
                      <w:lang w:eastAsia="zh-CN"/>
                    </w:rPr>
                    <w:t>园区</w:t>
                  </w:r>
                  <w:r>
                    <w:rPr>
                      <w:rFonts w:hint="default" w:ascii="Times New Roman" w:hAnsi="Times New Roman" w:eastAsia="宋体" w:cs="Times New Roman"/>
                      <w:color w:val="auto"/>
                      <w:sz w:val="21"/>
                      <w:szCs w:val="21"/>
                    </w:rPr>
                    <w:t>设施供应，用量较少。综上项目消耗资源对于区域资源利用总量较少，符合资源利用上线要求。</w:t>
                  </w:r>
                </w:p>
              </w:tc>
              <w:tc>
                <w:tcPr>
                  <w:tcW w:w="47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环境质量底线</w:t>
                  </w:r>
                  <w:r>
                    <w:rPr>
                      <w:rFonts w:hint="default" w:ascii="Times New Roman" w:hAnsi="Times New Roman" w:eastAsia="宋体" w:cs="Times New Roman"/>
                      <w:color w:val="auto"/>
                      <w:sz w:val="21"/>
                      <w:szCs w:val="21"/>
                      <w:lang w:eastAsia="zh-CN"/>
                    </w:rPr>
                    <w:t>：水环境质量持续改善，受污染地表水体得到有效治理，河流水质优良断面比例保持稳定，饮用水安全保障水平持续提升，地下水水质保持稳定。环境空气质量稳步提升，重污染天数持续</w:t>
                  </w:r>
                  <w:r>
                    <w:rPr>
                      <w:rFonts w:hint="eastAsia" w:cs="Times New Roman"/>
                      <w:color w:val="auto"/>
                      <w:sz w:val="21"/>
                      <w:szCs w:val="21"/>
                      <w:lang w:val="en-US" w:eastAsia="zh-CN"/>
                    </w:rPr>
                    <w:t>减少</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val="en-US" w:eastAsia="zh-CN"/>
                    </w:rPr>
                    <w:t>已</w:t>
                  </w:r>
                  <w:r>
                    <w:rPr>
                      <w:rFonts w:hint="default" w:ascii="Times New Roman" w:hAnsi="Times New Roman" w:eastAsia="宋体" w:cs="Times New Roman"/>
                      <w:color w:val="auto"/>
                      <w:sz w:val="21"/>
                      <w:szCs w:val="21"/>
                      <w:lang w:eastAsia="zh-CN"/>
                    </w:rPr>
                    <w:t>达标城市环境空气质量保持稳定，未达标城市环境空气质量持续改善。土壤环境质量保持稳定，受污染地块安全利用水平稳中求进，土壤环境风险得到进一步管控。</w:t>
                  </w:r>
                </w:p>
              </w:tc>
              <w:tc>
                <w:tcPr>
                  <w:tcW w:w="215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项目区域环境质量能够满足相应标准要求，本项目实施后预测结果表明，项目营运期排放的污染物能够满足相应标准要求，不会改变区域环境功能。</w:t>
                  </w:r>
                </w:p>
              </w:tc>
              <w:tc>
                <w:tcPr>
                  <w:tcW w:w="47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生态环境准入清单</w:t>
                  </w:r>
                  <w:r>
                    <w:rPr>
                      <w:rFonts w:hint="default" w:ascii="Times New Roman" w:hAnsi="Times New Roman" w:eastAsia="宋体" w:cs="Times New Roman"/>
                      <w:color w:val="auto"/>
                      <w:sz w:val="21"/>
                      <w:szCs w:val="21"/>
                      <w:lang w:eastAsia="zh-CN"/>
                    </w:rPr>
                    <w:t>：主要包括</w:t>
                  </w:r>
                  <w:r>
                    <w:rPr>
                      <w:rFonts w:hint="default" w:ascii="Times New Roman" w:hAnsi="Times New Roman" w:eastAsia="宋体" w:cs="Times New Roman"/>
                      <w:color w:val="auto"/>
                      <w:sz w:val="21"/>
                      <w:szCs w:val="21"/>
                    </w:rPr>
                    <w:t>《第七师胡杨河市生态环境准入清单》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《市场准入负面清单》（202</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年版）</w:t>
                  </w:r>
                </w:p>
              </w:tc>
              <w:tc>
                <w:tcPr>
                  <w:tcW w:w="215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w:t>
                  </w:r>
                  <w:r>
                    <w:rPr>
                      <w:rFonts w:hint="default" w:ascii="Times New Roman" w:hAnsi="Times New Roman" w:eastAsia="宋体" w:cs="Times New Roman"/>
                      <w:color w:val="auto"/>
                      <w:sz w:val="21"/>
                      <w:szCs w:val="21"/>
                      <w:lang w:eastAsia="zh-CN"/>
                    </w:rPr>
                    <w:t>胡杨河经济技术开发区</w:t>
                  </w:r>
                  <w:r>
                    <w:rPr>
                      <w:rFonts w:hint="eastAsia" w:cs="Times New Roman"/>
                      <w:color w:val="auto"/>
                      <w:sz w:val="21"/>
                      <w:szCs w:val="21"/>
                      <w:lang w:eastAsia="zh-CN"/>
                    </w:rPr>
                    <w:t>南园区</w:t>
                  </w:r>
                  <w:r>
                    <w:rPr>
                      <w:rFonts w:hint="eastAsia" w:cs="Times New Roman"/>
                      <w:color w:val="auto"/>
                      <w:sz w:val="21"/>
                      <w:szCs w:val="21"/>
                      <w:lang w:val="en-US" w:eastAsia="zh-CN"/>
                    </w:rPr>
                    <w:t>31#厂房</w:t>
                  </w:r>
                  <w:r>
                    <w:rPr>
                      <w:rFonts w:hint="default" w:ascii="Times New Roman" w:hAnsi="Times New Roman" w:eastAsia="宋体" w:cs="Times New Roman"/>
                      <w:color w:val="auto"/>
                      <w:sz w:val="21"/>
                      <w:szCs w:val="21"/>
                    </w:rPr>
                    <w:t>，为玻璃纤维增强塑料制品制造</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不属于《第七师胡杨河市生态环境准入清单》</w:t>
                  </w:r>
                  <w:r>
                    <w:rPr>
                      <w:rFonts w:hint="default" w:ascii="Times New Roman" w:hAnsi="Times New Roman" w:eastAsia="宋体" w:cs="Times New Roman"/>
                      <w:color w:val="auto"/>
                      <w:sz w:val="21"/>
                      <w:szCs w:val="21"/>
                      <w:lang w:eastAsia="zh-CN"/>
                    </w:rPr>
                    <w:t>中禁止类和限制类</w:t>
                  </w:r>
                  <w:r>
                    <w:rPr>
                      <w:rFonts w:hint="default" w:ascii="Times New Roman" w:hAnsi="Times New Roman" w:eastAsia="宋体" w:cs="Times New Roman"/>
                      <w:color w:val="auto"/>
                      <w:sz w:val="21"/>
                      <w:szCs w:val="21"/>
                    </w:rPr>
                    <w:t>；对照《市场准入负面清单》（202</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年版），本项目不属于禁止准入类项目。</w:t>
                  </w:r>
                </w:p>
              </w:tc>
              <w:tc>
                <w:tcPr>
                  <w:tcW w:w="47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widowControl w:val="0"/>
              <w:suppressLineNumbers w:val="0"/>
              <w:spacing w:before="0" w:beforeAutospacing="0" w:after="0" w:afterAutospacing="0" w:line="360" w:lineRule="auto"/>
              <w:ind w:left="0" w:right="0"/>
              <w:jc w:val="left"/>
              <w:rPr>
                <w:rFonts w:hint="eastAsia" w:cs="Times New Roman"/>
                <w:b/>
                <w:color w:val="auto"/>
                <w:sz w:val="24"/>
                <w:szCs w:val="24"/>
                <w:lang w:val="en-US" w:eastAsia="zh-CN" w:bidi="ar-SA"/>
              </w:rPr>
            </w:pPr>
            <w:r>
              <w:rPr>
                <w:rFonts w:hint="eastAsia" w:cs="Times New Roman"/>
                <w:b/>
                <w:color w:val="auto"/>
                <w:sz w:val="24"/>
                <w:szCs w:val="24"/>
                <w:lang w:val="en-US" w:eastAsia="zh-CN" w:bidi="ar-SA"/>
              </w:rPr>
              <w:t>3与《第七师胡杨河市“三线一单”生态环境分区管控方案》符合性分析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根据《第七师胡杨河市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三线一单</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生态环境分区管控方案》，自治州共划定管控单元66个，优先保护单元23个，重点管控单元31个，一般管控单元12个。本工程位于胡杨河经济技术开发区</w:t>
            </w:r>
            <w:r>
              <w:rPr>
                <w:rFonts w:hint="eastAsia" w:cs="Times New Roman"/>
                <w:color w:val="auto"/>
                <w:sz w:val="24"/>
                <w:szCs w:val="24"/>
                <w:lang w:val="en-US" w:eastAsia="zh-CN"/>
              </w:rPr>
              <w:t>南园区</w:t>
            </w:r>
            <w:r>
              <w:rPr>
                <w:rFonts w:hint="default" w:ascii="Times New Roman" w:hAnsi="Times New Roman" w:eastAsia="宋体" w:cs="Times New Roman"/>
                <w:color w:val="auto"/>
                <w:sz w:val="24"/>
                <w:szCs w:val="24"/>
                <w:lang w:val="en-US" w:eastAsia="zh-CN"/>
              </w:rPr>
              <w:t>内，属于重点管控单元</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环境管控单元编码：ZH65771220001</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，该环境管控单元生态环境准入清单及符合性分析见表</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w:t>
            </w:r>
          </w:p>
          <w:p>
            <w:pPr>
              <w:pStyle w:val="6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snapToGrid w:val="0"/>
                <w:color w:val="auto"/>
                <w:sz w:val="21"/>
                <w:szCs w:val="21"/>
              </w:rPr>
            </w:pPr>
            <w:r>
              <w:rPr>
                <w:rFonts w:ascii="Times New Roman" w:hAnsi="Times New Roman"/>
                <w:b/>
                <w:bCs/>
                <w:snapToGrid w:val="0"/>
                <w:color w:val="auto"/>
                <w:sz w:val="21"/>
                <w:szCs w:val="21"/>
              </w:rPr>
              <w:t>表1-</w:t>
            </w:r>
            <w:r>
              <w:rPr>
                <w:rFonts w:hint="eastAsia" w:ascii="Times New Roman" w:hAnsi="Times New Roman"/>
                <w:b/>
                <w:bCs/>
                <w:snapToGrid w:val="0"/>
                <w:color w:val="auto"/>
                <w:sz w:val="21"/>
                <w:szCs w:val="21"/>
                <w:lang w:val="en-US" w:eastAsia="zh-CN"/>
              </w:rPr>
              <w:t>2</w:t>
            </w:r>
            <w:r>
              <w:rPr>
                <w:rFonts w:hint="eastAsia" w:ascii="Times New Roman" w:hAnsi="Times New Roman" w:eastAsia="宋体" w:cs="Times New Roman"/>
                <w:b/>
                <w:bCs/>
                <w:snapToGrid w:val="0"/>
                <w:color w:val="auto"/>
                <w:sz w:val="21"/>
                <w:szCs w:val="21"/>
                <w:lang w:val="en-US" w:eastAsia="zh-CN" w:bidi="ar-SA"/>
              </w:rPr>
              <w:t xml:space="preserve">  管控要求</w:t>
            </w:r>
            <w:r>
              <w:rPr>
                <w:rFonts w:ascii="Times New Roman" w:hAnsi="Times New Roman" w:eastAsia="宋体" w:cs="Times New Roman"/>
                <w:b/>
                <w:bCs/>
                <w:snapToGrid w:val="0"/>
                <w:color w:val="auto"/>
                <w:sz w:val="21"/>
                <w:szCs w:val="21"/>
                <w:lang w:bidi="ar-SA"/>
              </w:rPr>
              <w:t>符</w:t>
            </w:r>
            <w:r>
              <w:rPr>
                <w:rFonts w:ascii="Times New Roman" w:hAnsi="Times New Roman"/>
                <w:b/>
                <w:bCs/>
                <w:snapToGrid w:val="0"/>
                <w:color w:val="auto"/>
                <w:sz w:val="21"/>
                <w:szCs w:val="21"/>
              </w:rPr>
              <w:t>合性分析一览表</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3787"/>
              <w:gridCol w:w="2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管控类别</w:t>
                  </w:r>
                </w:p>
              </w:tc>
              <w:tc>
                <w:tcPr>
                  <w:tcW w:w="2575"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管控要求</w:t>
                  </w:r>
                </w:p>
              </w:tc>
              <w:tc>
                <w:tcPr>
                  <w:tcW w:w="1956"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项目</w:t>
                  </w:r>
                  <w:r>
                    <w:rPr>
                      <w:rFonts w:hint="default" w:ascii="Times New Roman" w:hAnsi="Times New Roman" w:eastAsia="宋体" w:cs="Times New Roman"/>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12" w:space="0"/>
                    <w:tl2br w:val="nil"/>
                    <w:tr2bl w:val="nil"/>
                  </w:tcBorders>
                  <w:noWrap w:val="0"/>
                  <w:vAlign w:val="center"/>
                </w:tcPr>
                <w:p>
                  <w:pPr>
                    <w:spacing w:line="240" w:lineRule="auto"/>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val="en-US" w:eastAsia="zh-CN"/>
                    </w:rPr>
                    <w:t>空间布局约束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0" w:hRule="atLeast"/>
                <w:jc w:val="center"/>
              </w:trPr>
              <w:tc>
                <w:tcPr>
                  <w:tcW w:w="46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重点</w:t>
                  </w:r>
                  <w:r>
                    <w:rPr>
                      <w:rFonts w:hint="default" w:ascii="Times New Roman" w:hAnsi="Times New Roman" w:eastAsia="宋体" w:cs="Times New Roman"/>
                      <w:color w:val="auto"/>
                      <w:sz w:val="21"/>
                      <w:szCs w:val="21"/>
                      <w:lang w:eastAsia="zh-CN"/>
                    </w:rPr>
                    <w:t>管控单元</w:t>
                  </w:r>
                  <w:r>
                    <w:rPr>
                      <w:rFonts w:hint="eastAsia" w:cs="Times New Roman"/>
                      <w:color w:val="auto"/>
                      <w:sz w:val="21"/>
                      <w:szCs w:val="21"/>
                      <w:lang w:val="en-US" w:eastAsia="zh-CN"/>
                    </w:rPr>
                    <w:t>01</w:t>
                  </w:r>
                </w:p>
              </w:tc>
              <w:tc>
                <w:tcPr>
                  <w:tcW w:w="3787" w:type="dxa"/>
                  <w:tcBorders>
                    <w:tl2br w:val="nil"/>
                    <w:tr2bl w:val="nil"/>
                  </w:tcBorders>
                  <w:noWrap w:val="0"/>
                  <w:vAlign w:val="center"/>
                </w:tcPr>
                <w:p>
                  <w:pPr>
                    <w:numPr>
                      <w:ilvl w:val="0"/>
                      <w:numId w:val="0"/>
                    </w:numPr>
                    <w:ind w:leftChars="0"/>
                    <w:rPr>
                      <w:rFonts w:hint="eastAsia"/>
                      <w:color w:val="auto"/>
                      <w:szCs w:val="21"/>
                    </w:rPr>
                  </w:pPr>
                  <w:r>
                    <w:rPr>
                      <w:rFonts w:hint="eastAsia"/>
                      <w:color w:val="auto"/>
                      <w:szCs w:val="21"/>
                    </w:rPr>
                    <w:t>（1）园区主导产业是：化工、新材料、纺织，园区以主导产业及其下游产业链为主要方向发展产业，准入产业需符合《产业结构调整指导目录（2019年本）》相关要求。</w:t>
                  </w:r>
                </w:p>
                <w:p>
                  <w:pPr>
                    <w:numPr>
                      <w:ilvl w:val="0"/>
                      <w:numId w:val="0"/>
                    </w:numPr>
                    <w:ind w:leftChars="0"/>
                    <w:rPr>
                      <w:rFonts w:hint="eastAsia"/>
                      <w:color w:val="auto"/>
                      <w:szCs w:val="21"/>
                    </w:rPr>
                  </w:pPr>
                  <w:r>
                    <w:rPr>
                      <w:rFonts w:hint="eastAsia"/>
                      <w:color w:val="auto"/>
                      <w:szCs w:val="21"/>
                    </w:rPr>
                    <w:t>【禁止类】</w:t>
                  </w:r>
                </w:p>
                <w:p>
                  <w:pPr>
                    <w:numPr>
                      <w:ilvl w:val="0"/>
                      <w:numId w:val="0"/>
                    </w:numPr>
                    <w:ind w:leftChars="0"/>
                    <w:rPr>
                      <w:rFonts w:hint="eastAsia"/>
                      <w:color w:val="auto"/>
                      <w:szCs w:val="21"/>
                    </w:rPr>
                  </w:pPr>
                  <w:r>
                    <w:rPr>
                      <w:rFonts w:hint="eastAsia"/>
                      <w:color w:val="auto"/>
                      <w:szCs w:val="21"/>
                    </w:rPr>
                    <w:t>（1.1.1）严格治理园区现有化工项目，提高化工项目入驻标准，重点发展精细化工、新材料等新兴产业。禁止类产业有：《指导目录》中的淘汰类和《清单草案》中的禁止准入类，以及不具备区域资源禀赋条件、不符合所处重点生态功能区开发管制原则的限制类、允许类、鼓励类产业。</w:t>
                  </w:r>
                </w:p>
                <w:p>
                  <w:pPr>
                    <w:numPr>
                      <w:ilvl w:val="0"/>
                      <w:numId w:val="0"/>
                    </w:numPr>
                    <w:ind w:leftChars="0"/>
                    <w:rPr>
                      <w:rFonts w:hint="eastAsia"/>
                      <w:color w:val="auto"/>
                      <w:szCs w:val="21"/>
                    </w:rPr>
                  </w:pPr>
                  <w:r>
                    <w:rPr>
                      <w:rFonts w:hint="eastAsia"/>
                      <w:color w:val="auto"/>
                      <w:szCs w:val="21"/>
                    </w:rPr>
                    <w:t>（1.1.2）禁止新建或扩建棉浆粕生产项目；禁止在《关于促进新疆纺织服装产业健康可持续发展的指导意见》（新政发[2017]155号）布局要求以外建设印染项目；禁止新建使用禁用的直接染料（冰染色基包括C.I.冰染色基11、C.I.冰染色基48、C.I.冰染色基112、C.I冰染色基113等）进行棉印染精加工的印染项目。</w:t>
                  </w:r>
                </w:p>
                <w:p>
                  <w:pPr>
                    <w:numPr>
                      <w:ilvl w:val="0"/>
                      <w:numId w:val="0"/>
                    </w:numPr>
                    <w:ind w:leftChars="0"/>
                    <w:rPr>
                      <w:rFonts w:hint="eastAsia"/>
                      <w:color w:val="auto"/>
                      <w:szCs w:val="21"/>
                    </w:rPr>
                  </w:pPr>
                  <w:r>
                    <w:rPr>
                      <w:rFonts w:hint="eastAsia"/>
                      <w:color w:val="auto"/>
                      <w:szCs w:val="21"/>
                    </w:rPr>
                    <w:t>（1.1.3）劳动力密集型的非化工企业不得与化工企业混建在同一园区内。</w:t>
                  </w:r>
                </w:p>
                <w:p>
                  <w:pPr>
                    <w:numPr>
                      <w:ilvl w:val="0"/>
                      <w:numId w:val="0"/>
                    </w:numPr>
                    <w:ind w:leftChars="0"/>
                    <w:rPr>
                      <w:rFonts w:hint="eastAsia"/>
                      <w:color w:val="auto"/>
                      <w:szCs w:val="21"/>
                    </w:rPr>
                  </w:pPr>
                  <w:r>
                    <w:rPr>
                      <w:rFonts w:hint="eastAsia"/>
                      <w:color w:val="auto"/>
                      <w:szCs w:val="21"/>
                    </w:rPr>
                    <w:t>（1.1.4）在城市规划区边界外2千米（现有城市居民供气项目和钢铁生产企业厂区内配套项目除外）以内，主要河流两岸、高速公路两旁和其他严防污染的食品、药品等企业周边1千米以内禁止建设焦化项目，已在上述区域内投产运营的焦化企业，要根据该区域规划要求，在一定期限内，通过</w:t>
                  </w:r>
                  <w:r>
                    <w:rPr>
                      <w:rFonts w:hint="eastAsia"/>
                      <w:color w:val="auto"/>
                      <w:szCs w:val="21"/>
                      <w:lang w:eastAsia="zh-CN"/>
                    </w:rPr>
                    <w:t>“</w:t>
                  </w:r>
                  <w:r>
                    <w:rPr>
                      <w:rFonts w:hint="eastAsia"/>
                      <w:color w:val="auto"/>
                      <w:szCs w:val="21"/>
                    </w:rPr>
                    <w:t>搬迁、转产</w:t>
                  </w:r>
                  <w:r>
                    <w:rPr>
                      <w:rFonts w:hint="eastAsia"/>
                      <w:color w:val="auto"/>
                      <w:szCs w:val="21"/>
                      <w:lang w:eastAsia="zh-CN"/>
                    </w:rPr>
                    <w:t>”</w:t>
                  </w:r>
                  <w:r>
                    <w:rPr>
                      <w:rFonts w:hint="eastAsia"/>
                      <w:color w:val="auto"/>
                      <w:szCs w:val="21"/>
                    </w:rPr>
                    <w:t>等方式逐步退出。</w:t>
                  </w:r>
                </w:p>
                <w:p>
                  <w:pPr>
                    <w:numPr>
                      <w:ilvl w:val="0"/>
                      <w:numId w:val="0"/>
                    </w:numPr>
                    <w:ind w:leftChars="0"/>
                    <w:rPr>
                      <w:rFonts w:hint="eastAsia"/>
                      <w:color w:val="auto"/>
                      <w:szCs w:val="21"/>
                    </w:rPr>
                  </w:pPr>
                  <w:r>
                    <w:rPr>
                      <w:rFonts w:hint="eastAsia"/>
                      <w:color w:val="auto"/>
                      <w:szCs w:val="21"/>
                    </w:rPr>
                    <w:t>（1.1.5）兰炭产能过剩地区不得批准新建兰炭项目，除了在原有基础上进行技改以及煤化工配套的兰炭项目以外，对新建没有后续产业的兰炭项目原则上一律不予审批，另外自治区划定的大气污染联防联控区内严禁建设任何性质焦化项目。</w:t>
                  </w:r>
                </w:p>
                <w:p>
                  <w:pPr>
                    <w:numPr>
                      <w:ilvl w:val="0"/>
                      <w:numId w:val="0"/>
                    </w:numPr>
                    <w:ind w:leftChars="0"/>
                    <w:rPr>
                      <w:rFonts w:hint="eastAsia"/>
                      <w:color w:val="auto"/>
                      <w:szCs w:val="21"/>
                    </w:rPr>
                  </w:pPr>
                  <w:r>
                    <w:rPr>
                      <w:rFonts w:hint="eastAsia"/>
                      <w:color w:val="auto"/>
                      <w:szCs w:val="21"/>
                    </w:rPr>
                    <w:t>（1.1.6）城市规划区边界外2千米以内，主要河流两岸、公路、铁路、水路干线两侧和其它严防污染的食品、药品、精密制造产品等企业周边1千米以内及大气污染防治重点控制区内，禁止新增电石生产装置、电石法聚氯乙烯和烧碱生产装置。</w:t>
                  </w:r>
                </w:p>
                <w:p>
                  <w:pPr>
                    <w:numPr>
                      <w:ilvl w:val="0"/>
                      <w:numId w:val="0"/>
                    </w:numPr>
                    <w:ind w:leftChars="0"/>
                    <w:rPr>
                      <w:rFonts w:hint="eastAsia"/>
                      <w:color w:val="auto"/>
                      <w:szCs w:val="21"/>
                    </w:rPr>
                  </w:pPr>
                  <w:r>
                    <w:rPr>
                      <w:rFonts w:hint="eastAsia"/>
                      <w:color w:val="auto"/>
                      <w:szCs w:val="21"/>
                    </w:rPr>
                    <w:t>【限制类】</w:t>
                  </w:r>
                </w:p>
                <w:p>
                  <w:pPr>
                    <w:numPr>
                      <w:ilvl w:val="0"/>
                      <w:numId w:val="0"/>
                    </w:numPr>
                    <w:ind w:leftChars="0"/>
                    <w:rPr>
                      <w:rFonts w:hint="eastAsia"/>
                      <w:color w:val="auto"/>
                      <w:szCs w:val="21"/>
                    </w:rPr>
                  </w:pPr>
                  <w:r>
                    <w:rPr>
                      <w:rFonts w:hint="eastAsia"/>
                      <w:color w:val="auto"/>
                      <w:szCs w:val="21"/>
                    </w:rPr>
                    <w:t>（1.2.1）限制类产业有：《指导目录》中的限制类和《清单草案》中的限制准入类（已列入清单禁止类的产业除外），以及与所处重点生态功能区发展方向和开发管制原则不相符合的允许类、鼓励类产业。</w:t>
                  </w:r>
                </w:p>
                <w:p>
                  <w:pPr>
                    <w:numPr>
                      <w:ilvl w:val="0"/>
                      <w:numId w:val="0"/>
                    </w:numPr>
                    <w:ind w:leftChars="0"/>
                    <w:rPr>
                      <w:rFonts w:hint="eastAsia"/>
                      <w:color w:val="auto"/>
                      <w:szCs w:val="21"/>
                    </w:rPr>
                  </w:pPr>
                  <w:r>
                    <w:rPr>
                      <w:rFonts w:hint="eastAsia"/>
                      <w:color w:val="auto"/>
                      <w:szCs w:val="21"/>
                    </w:rPr>
                    <w:t>（1.2.2）对于高耗能项目，必须实行能源及环境评估，其指标不得高于同行业能耗标准值。</w:t>
                  </w:r>
                </w:p>
                <w:p>
                  <w:pPr>
                    <w:numPr>
                      <w:ilvl w:val="0"/>
                      <w:numId w:val="0"/>
                    </w:numPr>
                    <w:ind w:leftChars="0"/>
                    <w:rPr>
                      <w:rFonts w:hint="eastAsia"/>
                      <w:color w:val="auto"/>
                      <w:szCs w:val="21"/>
                    </w:rPr>
                  </w:pPr>
                  <w:r>
                    <w:rPr>
                      <w:rFonts w:hint="eastAsia"/>
                      <w:color w:val="auto"/>
                      <w:szCs w:val="21"/>
                    </w:rPr>
                    <w:t>（1.2.3）劳动力密集型的非化工企业与化工企业应分区建设。</w:t>
                  </w:r>
                </w:p>
                <w:p>
                  <w:pPr>
                    <w:numPr>
                      <w:ilvl w:val="0"/>
                      <w:numId w:val="0"/>
                    </w:numPr>
                    <w:ind w:leftChars="0"/>
                    <w:rPr>
                      <w:rFonts w:hint="eastAsia"/>
                      <w:color w:val="auto"/>
                      <w:szCs w:val="21"/>
                    </w:rPr>
                  </w:pPr>
                  <w:r>
                    <w:rPr>
                      <w:rFonts w:hint="eastAsia"/>
                      <w:color w:val="auto"/>
                      <w:szCs w:val="21"/>
                    </w:rPr>
                    <w:t>（1.2.4）合理产业布局，优化资源配置，将污染相对较大的工业项目布局在北区，远离胡杨河市。</w:t>
                  </w:r>
                </w:p>
                <w:p>
                  <w:pPr>
                    <w:numPr>
                      <w:ilvl w:val="0"/>
                      <w:numId w:val="0"/>
                    </w:numPr>
                    <w:ind w:leftChars="0"/>
                    <w:rPr>
                      <w:rFonts w:hint="eastAsia"/>
                      <w:color w:val="auto"/>
                      <w:szCs w:val="21"/>
                    </w:rPr>
                  </w:pPr>
                  <w:r>
                    <w:rPr>
                      <w:rFonts w:hint="eastAsia"/>
                      <w:color w:val="auto"/>
                      <w:szCs w:val="21"/>
                    </w:rPr>
                    <w:t>（1.2.5）棉浆粕、粘胶纤维项目卫生防护距离通过环境影响评价计算确定，棉纺、印染项目卫生防护距离执行《纺织业卫生防护距离第1部分：棉、化纤纺织及印染精加工业》（GB18080.1）。项目卫生防护距离内不得规划、建设居民区、学校、医院等环境敏感目标，对于已存在的环境敏感目标要采取合理措施加以保护。</w:t>
                  </w:r>
                </w:p>
                <w:p>
                  <w:pPr>
                    <w:numPr>
                      <w:ilvl w:val="0"/>
                      <w:numId w:val="0"/>
                    </w:numPr>
                    <w:ind w:leftChars="0"/>
                    <w:rPr>
                      <w:rFonts w:hint="eastAsia"/>
                      <w:color w:val="auto"/>
                      <w:szCs w:val="21"/>
                    </w:rPr>
                  </w:pPr>
                  <w:r>
                    <w:rPr>
                      <w:rFonts w:hint="eastAsia"/>
                      <w:color w:val="auto"/>
                      <w:szCs w:val="21"/>
                    </w:rPr>
                    <w:t>【鼓励类】</w:t>
                  </w:r>
                </w:p>
                <w:p>
                  <w:pPr>
                    <w:numPr>
                      <w:ilvl w:val="0"/>
                      <w:numId w:val="0"/>
                    </w:numPr>
                    <w:ind w:leftChars="0"/>
                    <w:rPr>
                      <w:rFonts w:hint="eastAsia"/>
                      <w:color w:val="auto"/>
                      <w:szCs w:val="21"/>
                    </w:rPr>
                  </w:pPr>
                  <w:r>
                    <w:rPr>
                      <w:rFonts w:hint="eastAsia"/>
                      <w:color w:val="auto"/>
                      <w:szCs w:val="21"/>
                    </w:rPr>
                    <w:t>（1.3.1）围绕交通运输、轻工纺织、化学建材、电子信息产业等行业积极开发化工新材料；发展精细化工产业。</w:t>
                  </w:r>
                </w:p>
                <w:p>
                  <w:pPr>
                    <w:numPr>
                      <w:ilvl w:val="0"/>
                      <w:numId w:val="0"/>
                    </w:numPr>
                    <w:ind w:leftChars="0"/>
                    <w:rPr>
                      <w:rFonts w:hint="eastAsia"/>
                      <w:color w:val="auto"/>
                      <w:szCs w:val="21"/>
                    </w:rPr>
                  </w:pPr>
                  <w:r>
                    <w:rPr>
                      <w:rFonts w:hint="eastAsia"/>
                      <w:color w:val="auto"/>
                      <w:szCs w:val="21"/>
                    </w:rPr>
                    <w:t>（1.3.2）加快发展合成纤维。积极发展多功能纤维和生物质纤维。全力发展服装、家纺、针织产业，加快培育产业用纺织品产业。</w:t>
                  </w:r>
                </w:p>
                <w:p>
                  <w:pPr>
                    <w:numPr>
                      <w:ilvl w:val="0"/>
                      <w:numId w:val="0"/>
                    </w:numPr>
                    <w:ind w:leftChars="0"/>
                    <w:rPr>
                      <w:rFonts w:hint="eastAsia"/>
                      <w:color w:val="auto"/>
                      <w:szCs w:val="21"/>
                    </w:rPr>
                  </w:pPr>
                  <w:r>
                    <w:rPr>
                      <w:rFonts w:hint="eastAsia"/>
                      <w:color w:val="auto"/>
                      <w:szCs w:val="21"/>
                    </w:rPr>
                    <w:t>（1.3.3）鼓励七师胡杨河市发展煤化工及氯碱化工深加工项目、纺织服装深加工项目和碳、铝、硅基新材料项目。</w:t>
                  </w:r>
                </w:p>
                <w:p>
                  <w:pPr>
                    <w:numPr>
                      <w:ilvl w:val="0"/>
                      <w:numId w:val="0"/>
                    </w:numPr>
                    <w:ind w:leftChars="0"/>
                    <w:rPr>
                      <w:rFonts w:hint="eastAsia"/>
                      <w:color w:val="auto"/>
                      <w:szCs w:val="21"/>
                    </w:rPr>
                  </w:pPr>
                  <w:r>
                    <w:rPr>
                      <w:rFonts w:hint="eastAsia"/>
                      <w:color w:val="auto"/>
                      <w:szCs w:val="21"/>
                    </w:rPr>
                    <w:t>（1.3.4）支持企业充分利用新疆石油、煤炭和盐3大优势资源向下游产业发展。延伸烯烃、芳烃产业链，围绕交通运输、轻工纺织、化学建材、电子信息产业等行业积极开发化工新材料；发展精细化工产业。有序发展煤制燃料、煤制烯烃、煤制乙二醇、煤制芳烃（甲醇制芳烃）、煤炭提质转化、煤炭综合利用等现代煤化工项目；推进油煤共炼工艺技术的产业化应用。</w:t>
                  </w:r>
                </w:p>
                <w:p>
                  <w:pPr>
                    <w:numPr>
                      <w:ilvl w:val="0"/>
                      <w:numId w:val="0"/>
                    </w:numPr>
                    <w:ind w:leftChars="0"/>
                    <w:rPr>
                      <w:rFonts w:hint="default" w:ascii="Times New Roman" w:hAnsi="Times New Roman" w:eastAsia="宋体" w:cs="Times New Roman"/>
                      <w:color w:val="auto"/>
                      <w:sz w:val="21"/>
                      <w:szCs w:val="21"/>
                      <w:lang w:val="en-US" w:eastAsia="zh-CN"/>
                    </w:rPr>
                  </w:pPr>
                  <w:r>
                    <w:rPr>
                      <w:rFonts w:hint="eastAsia"/>
                      <w:color w:val="auto"/>
                      <w:szCs w:val="21"/>
                    </w:rPr>
                    <w:t>（1.4）化工园区内凡存在重大事故隐患、生产工艺技术落后、不具备安全生产条件的企业，责令停产整顿，整改无望的或整改后仍不能达到要求的企业，应依法予以关闭</w:t>
                  </w:r>
                  <w:r>
                    <w:rPr>
                      <w:color w:val="auto"/>
                      <w:szCs w:val="21"/>
                    </w:rPr>
                    <w:t>。</w:t>
                  </w:r>
                </w:p>
              </w:tc>
              <w:tc>
                <w:tcPr>
                  <w:tcW w:w="2879" w:type="dxa"/>
                  <w:tcBorders>
                    <w:tl2br w:val="nil"/>
                    <w:tr2bl w:val="nil"/>
                  </w:tcBorders>
                  <w:noWrap w:val="0"/>
                  <w:vAlign w:val="center"/>
                </w:tcPr>
                <w:p>
                  <w:pPr>
                    <w:rPr>
                      <w:rFonts w:hint="default" w:ascii="Times New Roman" w:hAnsi="Times New Roman" w:eastAsia="宋体" w:cs="Times New Roman"/>
                      <w:color w:val="auto"/>
                      <w:sz w:val="21"/>
                      <w:szCs w:val="21"/>
                      <w:lang w:val="en-US" w:eastAsia="zh-CN"/>
                    </w:rPr>
                  </w:pPr>
                  <w:r>
                    <w:rPr>
                      <w:rFonts w:hint="eastAsia"/>
                      <w:color w:val="auto"/>
                      <w:szCs w:val="21"/>
                      <w:lang w:eastAsia="zh-CN"/>
                    </w:rPr>
                    <w:t>符合。</w:t>
                  </w:r>
                  <w:r>
                    <w:rPr>
                      <w:rFonts w:hint="eastAsia"/>
                      <w:color w:val="auto"/>
                      <w:szCs w:val="21"/>
                    </w:rPr>
                    <w:t>本项目为玻璃纤维增强塑料制品制造</w:t>
                  </w:r>
                  <w:r>
                    <w:rPr>
                      <w:rFonts w:hint="eastAsia"/>
                      <w:color w:val="auto"/>
                      <w:szCs w:val="21"/>
                      <w:lang w:eastAsia="zh-CN"/>
                    </w:rPr>
                    <w:t>，玻璃纤维增强塑料制品是一种耐高温、耐低温、耐腐蚀、耐磨损等高性能装备材料，其选址位于胡杨河经济技术开发区南园区</w:t>
                  </w:r>
                  <w:r>
                    <w:rPr>
                      <w:rFonts w:hint="eastAsia"/>
                      <w:color w:val="auto"/>
                      <w:szCs w:val="21"/>
                      <w:lang w:val="en-US" w:eastAsia="zh-CN"/>
                    </w:rPr>
                    <w:t>31#厂房，属于</w:t>
                  </w:r>
                  <w:r>
                    <w:rPr>
                      <w:rFonts w:hint="eastAsia"/>
                      <w:color w:val="auto"/>
                      <w:szCs w:val="21"/>
                      <w:lang w:eastAsia="zh-CN"/>
                    </w:rPr>
                    <w:t>园区的“创新科技、装备制造、农产品加工、电子元器件产业区”，项目已取得投资项目备案证，不涉及禁止类、限制类行业，能够满足要求</w:t>
                  </w: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5000" w:type="pct"/>
                  <w:gridSpan w:val="3"/>
                  <w:tcBorders>
                    <w:tl2br w:val="nil"/>
                    <w:tr2bl w:val="nil"/>
                  </w:tcBorders>
                  <w:noWrap w:val="0"/>
                  <w:vAlign w:val="center"/>
                </w:tcPr>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污染物排放管控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重点</w:t>
                  </w:r>
                  <w:r>
                    <w:rPr>
                      <w:rFonts w:hint="default" w:ascii="Times New Roman" w:hAnsi="Times New Roman" w:eastAsia="宋体" w:cs="Times New Roman"/>
                      <w:color w:val="auto"/>
                      <w:sz w:val="21"/>
                      <w:szCs w:val="21"/>
                      <w:lang w:eastAsia="zh-CN"/>
                    </w:rPr>
                    <w:t>管控单元</w:t>
                  </w:r>
                  <w:r>
                    <w:rPr>
                      <w:rFonts w:hint="eastAsia" w:cs="Times New Roman"/>
                      <w:color w:val="auto"/>
                      <w:sz w:val="21"/>
                      <w:szCs w:val="21"/>
                      <w:lang w:val="en-US" w:eastAsia="zh-CN"/>
                    </w:rPr>
                    <w:t>01</w:t>
                  </w:r>
                </w:p>
              </w:tc>
              <w:tc>
                <w:tcPr>
                  <w:tcW w:w="3787" w:type="dxa"/>
                  <w:tcBorders>
                    <w:tl2br w:val="nil"/>
                    <w:tr2bl w:val="nil"/>
                  </w:tcBorders>
                  <w:noWrap w:val="0"/>
                  <w:vAlign w:val="center"/>
                </w:tcPr>
                <w:p>
                  <w:pPr>
                    <w:numPr>
                      <w:ilvl w:val="0"/>
                      <w:numId w:val="0"/>
                    </w:numPr>
                    <w:rPr>
                      <w:rFonts w:hint="eastAsia"/>
                      <w:color w:val="auto"/>
                      <w:szCs w:val="21"/>
                    </w:rPr>
                  </w:pPr>
                  <w:r>
                    <w:rPr>
                      <w:rFonts w:hint="eastAsia"/>
                      <w:color w:val="auto"/>
                      <w:szCs w:val="21"/>
                    </w:rPr>
                    <w:t>（2.1）废水处理：</w:t>
                  </w:r>
                </w:p>
                <w:p>
                  <w:pPr>
                    <w:numPr>
                      <w:ilvl w:val="0"/>
                      <w:numId w:val="0"/>
                    </w:numPr>
                    <w:rPr>
                      <w:rFonts w:hint="eastAsia"/>
                      <w:color w:val="auto"/>
                      <w:szCs w:val="21"/>
                    </w:rPr>
                  </w:pPr>
                  <w:r>
                    <w:rPr>
                      <w:rFonts w:hint="eastAsia"/>
                      <w:color w:val="auto"/>
                      <w:szCs w:val="21"/>
                    </w:rPr>
                    <w:t>（2.1.1）企业预处理达标废水经园区污水处理厂和中水厂处理满足中水回用标准，用于企业循环冷却、园区绿化、洒水降尘等。</w:t>
                  </w:r>
                </w:p>
                <w:p>
                  <w:pPr>
                    <w:numPr>
                      <w:ilvl w:val="0"/>
                      <w:numId w:val="0"/>
                    </w:numPr>
                    <w:rPr>
                      <w:rFonts w:hint="eastAsia"/>
                      <w:color w:val="auto"/>
                      <w:szCs w:val="21"/>
                    </w:rPr>
                  </w:pPr>
                  <w:r>
                    <w:rPr>
                      <w:rFonts w:hint="eastAsia"/>
                      <w:color w:val="auto"/>
                      <w:szCs w:val="21"/>
                    </w:rPr>
                    <w:t>（2.1.2）各企业按清污分流原则建立完善的排水系统和事故池，严禁将高浓度废水稀释排放。选择节水工艺，鼓励一水多用，减少废水排放。</w:t>
                  </w:r>
                </w:p>
                <w:p>
                  <w:pPr>
                    <w:numPr>
                      <w:ilvl w:val="0"/>
                      <w:numId w:val="0"/>
                    </w:numPr>
                    <w:rPr>
                      <w:rFonts w:hint="eastAsia"/>
                      <w:color w:val="auto"/>
                      <w:szCs w:val="21"/>
                    </w:rPr>
                  </w:pPr>
                  <w:r>
                    <w:rPr>
                      <w:rFonts w:hint="eastAsia"/>
                      <w:color w:val="auto"/>
                      <w:szCs w:val="21"/>
                    </w:rPr>
                    <w:t>（2.1.3）园区废水集中收集，分质处理。强化高盐污水处理处置，制定中水回用及处置去向。污水处理装置具体规模的设置应根据园区建设的进程予以协调，设置中水回用装置，减少外排水量。</w:t>
                  </w:r>
                </w:p>
                <w:p>
                  <w:pPr>
                    <w:numPr>
                      <w:ilvl w:val="0"/>
                      <w:numId w:val="0"/>
                    </w:numPr>
                    <w:rPr>
                      <w:rFonts w:hint="eastAsia"/>
                      <w:color w:val="auto"/>
                      <w:szCs w:val="21"/>
                    </w:rPr>
                  </w:pPr>
                  <w:r>
                    <w:rPr>
                      <w:rFonts w:hint="eastAsia"/>
                      <w:color w:val="auto"/>
                      <w:szCs w:val="21"/>
                    </w:rPr>
                    <w:t>（2.1.4）新入驻企业场内必须设置污水处理及中水回用及消防设施装置。</w:t>
                  </w:r>
                </w:p>
                <w:p>
                  <w:pPr>
                    <w:numPr>
                      <w:ilvl w:val="0"/>
                      <w:numId w:val="0"/>
                    </w:numPr>
                    <w:rPr>
                      <w:rFonts w:hint="eastAsia"/>
                      <w:color w:val="auto"/>
                      <w:szCs w:val="21"/>
                    </w:rPr>
                  </w:pPr>
                  <w:r>
                    <w:rPr>
                      <w:rFonts w:hint="eastAsia"/>
                      <w:color w:val="auto"/>
                      <w:szCs w:val="21"/>
                    </w:rPr>
                    <w:t>（2.2）废气处理：</w:t>
                  </w:r>
                </w:p>
                <w:p>
                  <w:pPr>
                    <w:numPr>
                      <w:ilvl w:val="0"/>
                      <w:numId w:val="0"/>
                    </w:numPr>
                    <w:rPr>
                      <w:rFonts w:hint="eastAsia"/>
                      <w:color w:val="auto"/>
                      <w:szCs w:val="21"/>
                    </w:rPr>
                  </w:pPr>
                  <w:r>
                    <w:rPr>
                      <w:rFonts w:hint="eastAsia"/>
                      <w:color w:val="auto"/>
                      <w:szCs w:val="21"/>
                    </w:rPr>
                    <w:t>（2.2.1）严格控制有毒和有害气体的排放，并对有毒和有害气体排放实施在线自动检测仪监控。各装置反应尾气排放气、紧急事故排放气、罐区低压排放气等视其情况或送入各装置的火炬系统、焚烧炉或进入燃料气系统回收利用。煤化工项目采用高效的除尘设备。</w:t>
                  </w:r>
                </w:p>
                <w:p>
                  <w:pPr>
                    <w:numPr>
                      <w:ilvl w:val="0"/>
                      <w:numId w:val="0"/>
                    </w:numPr>
                    <w:rPr>
                      <w:rFonts w:hint="eastAsia"/>
                      <w:color w:val="auto"/>
                      <w:szCs w:val="21"/>
                    </w:rPr>
                  </w:pPr>
                  <w:r>
                    <w:rPr>
                      <w:rFonts w:hint="eastAsia"/>
                      <w:color w:val="auto"/>
                      <w:szCs w:val="21"/>
                    </w:rPr>
                    <w:t>（2.2.2）加强对企业的粉尘、烟尘污染治理。开展金属制品业酸雾等工艺废气污染控制与治理，提升行业装备水平，完善废气收集系统，减少无组织排放，做到工艺废气排放浓度和厂界浓度双达标。</w:t>
                  </w:r>
                </w:p>
                <w:p>
                  <w:pPr>
                    <w:numPr>
                      <w:ilvl w:val="0"/>
                      <w:numId w:val="0"/>
                    </w:numPr>
                    <w:rPr>
                      <w:rFonts w:hint="eastAsia"/>
                      <w:color w:val="auto"/>
                      <w:szCs w:val="21"/>
                    </w:rPr>
                  </w:pPr>
                  <w:r>
                    <w:rPr>
                      <w:rFonts w:hint="eastAsia"/>
                      <w:color w:val="auto"/>
                      <w:szCs w:val="21"/>
                    </w:rPr>
                    <w:t>（2.2.3）含尘炉气或利用后的再生气必须经除尘处理后达标排放，捕集后的粉尘不能造成二次污染。</w:t>
                  </w:r>
                </w:p>
                <w:p>
                  <w:pPr>
                    <w:numPr>
                      <w:ilvl w:val="0"/>
                      <w:numId w:val="0"/>
                    </w:numPr>
                    <w:rPr>
                      <w:rFonts w:hint="eastAsia"/>
                      <w:color w:val="auto"/>
                      <w:szCs w:val="21"/>
                    </w:rPr>
                  </w:pPr>
                  <w:r>
                    <w:rPr>
                      <w:rFonts w:hint="eastAsia"/>
                      <w:color w:val="auto"/>
                      <w:szCs w:val="21"/>
                    </w:rPr>
                    <w:t>（2.3）固废处理：</w:t>
                  </w:r>
                </w:p>
                <w:p>
                  <w:pPr>
                    <w:numPr>
                      <w:ilvl w:val="0"/>
                      <w:numId w:val="0"/>
                    </w:numPr>
                    <w:rPr>
                      <w:rFonts w:hint="eastAsia"/>
                      <w:color w:val="auto"/>
                      <w:szCs w:val="21"/>
                    </w:rPr>
                  </w:pPr>
                  <w:r>
                    <w:rPr>
                      <w:rFonts w:hint="eastAsia"/>
                      <w:color w:val="auto"/>
                      <w:szCs w:val="21"/>
                    </w:rPr>
                    <w:t>（2.3.1）工业园区的生活垃圾近期依托五五新镇生活垃圾填埋场进行处理。园区内产生的生活垃圾用专门容器收集后通过专用垃圾车运送市政生活垃圾处置设施进行处置。生活垃圾分类处理，无害化资源化处理。推广垃圾袋装化，对垃圾中有用的物质（如废纸、金属、玻璃等）回收。</w:t>
                  </w:r>
                </w:p>
                <w:p>
                  <w:pPr>
                    <w:numPr>
                      <w:ilvl w:val="0"/>
                      <w:numId w:val="0"/>
                    </w:numPr>
                    <w:rPr>
                      <w:rFonts w:hint="eastAsia"/>
                      <w:color w:val="auto"/>
                      <w:szCs w:val="21"/>
                    </w:rPr>
                  </w:pPr>
                  <w:r>
                    <w:rPr>
                      <w:rFonts w:hint="eastAsia"/>
                      <w:color w:val="auto"/>
                      <w:szCs w:val="21"/>
                    </w:rPr>
                    <w:t>（2.3.2）一般固体废物实行综合利用，对不可综合利用的一般固体废物，应送往一般工业固体废物处理处置场所，进行安全填埋处置。园区产生的危险固体废弃物主要包括少量废旧催化剂、高沸物，污水处理装置产生的污泥，外送委托有相关危险废物处理资质的企业进行安全处置。在园区内建设危险废物临时贮存库，并进行防渗和排水设计。按照国家有关规定办理危险废物申报转移的</w:t>
                  </w:r>
                  <w:r>
                    <w:rPr>
                      <w:rFonts w:hint="eastAsia"/>
                      <w:color w:val="auto"/>
                      <w:szCs w:val="21"/>
                      <w:lang w:eastAsia="zh-CN"/>
                    </w:rPr>
                    <w:t>“</w:t>
                  </w:r>
                  <w:r>
                    <w:rPr>
                      <w:rFonts w:hint="eastAsia"/>
                      <w:color w:val="auto"/>
                      <w:szCs w:val="21"/>
                    </w:rPr>
                    <w:t>五联单</w:t>
                  </w:r>
                  <w:r>
                    <w:rPr>
                      <w:rFonts w:hint="eastAsia"/>
                      <w:color w:val="auto"/>
                      <w:szCs w:val="21"/>
                      <w:lang w:eastAsia="zh-CN"/>
                    </w:rPr>
                    <w:t>”</w:t>
                  </w:r>
                  <w:r>
                    <w:rPr>
                      <w:rFonts w:hint="eastAsia"/>
                      <w:color w:val="auto"/>
                      <w:szCs w:val="21"/>
                    </w:rPr>
                    <w:t>手续，并在贮运过程中严格执行危险化学品贮存、运输和监管的有关规定。</w:t>
                  </w:r>
                </w:p>
                <w:p>
                  <w:pPr>
                    <w:numPr>
                      <w:ilvl w:val="0"/>
                      <w:numId w:val="0"/>
                    </w:numPr>
                    <w:rPr>
                      <w:rFonts w:hint="eastAsia"/>
                      <w:color w:val="auto"/>
                      <w:szCs w:val="21"/>
                    </w:rPr>
                  </w:pPr>
                  <w:r>
                    <w:rPr>
                      <w:rFonts w:hint="eastAsia"/>
                      <w:color w:val="auto"/>
                      <w:szCs w:val="21"/>
                    </w:rPr>
                    <w:t>（2.3.3）大力推进一般工业固体废物的减量化、资源化和无害化工作。园区一般固体废物综合利用率不低于60%，对于无法综合利用的固体废物，在区外建设灰渣填埋场填埋。</w:t>
                  </w:r>
                </w:p>
                <w:p>
                  <w:pPr>
                    <w:numPr>
                      <w:ilvl w:val="0"/>
                      <w:numId w:val="0"/>
                    </w:numPr>
                    <w:rPr>
                      <w:rFonts w:hint="default" w:ascii="Times New Roman" w:hAnsi="Times New Roman" w:eastAsia="宋体" w:cs="Times New Roman"/>
                      <w:color w:val="auto"/>
                      <w:sz w:val="21"/>
                      <w:szCs w:val="21"/>
                      <w:lang w:val="en-US" w:eastAsia="zh-CN"/>
                    </w:rPr>
                  </w:pPr>
                  <w:r>
                    <w:rPr>
                      <w:rFonts w:hint="eastAsia"/>
                      <w:color w:val="auto"/>
                      <w:szCs w:val="21"/>
                    </w:rPr>
                    <w:t>（2.4）园区开展规划环评，需重点分析园区主要污染物排放对胡杨河市影响，确保胡杨河市环境空气质量稳定达标</w:t>
                  </w:r>
                  <w:r>
                    <w:rPr>
                      <w:color w:val="auto"/>
                      <w:szCs w:val="21"/>
                    </w:rPr>
                    <w:t>。</w:t>
                  </w:r>
                </w:p>
              </w:tc>
              <w:tc>
                <w:tcPr>
                  <w:tcW w:w="2879" w:type="dxa"/>
                  <w:tcBorders>
                    <w:tl2br w:val="nil"/>
                    <w:tr2bl w:val="nil"/>
                  </w:tcBorders>
                  <w:noWrap w:val="0"/>
                  <w:vAlign w:val="center"/>
                </w:tcPr>
                <w:p>
                  <w:pPr>
                    <w:rPr>
                      <w:rFonts w:hint="eastAsia" w:ascii="Times New Roman" w:hAnsi="Times New Roman" w:eastAsia="宋体" w:cs="Times New Roman"/>
                      <w:color w:val="auto"/>
                      <w:sz w:val="21"/>
                      <w:szCs w:val="21"/>
                      <w:lang w:val="en-US" w:eastAsia="zh-CN"/>
                    </w:rPr>
                  </w:pPr>
                  <w:r>
                    <w:rPr>
                      <w:rFonts w:hint="eastAsia"/>
                      <w:color w:val="auto"/>
                      <w:szCs w:val="21"/>
                      <w:lang w:eastAsia="zh-CN"/>
                    </w:rPr>
                    <w:t>符合。项目未新建锅炉；运营期无生产废水产生，生活污水排入</w:t>
                  </w:r>
                  <w:r>
                    <w:rPr>
                      <w:color w:val="auto"/>
                      <w:szCs w:val="21"/>
                    </w:rPr>
                    <w:t>排水管网</w:t>
                  </w:r>
                  <w:r>
                    <w:rPr>
                      <w:rFonts w:hint="eastAsia"/>
                      <w:color w:val="auto"/>
                      <w:szCs w:val="21"/>
                      <w:lang w:eastAsia="zh-CN"/>
                    </w:rPr>
                    <w:t>最终进入胡杨河经济技术开发区南园区污水处理厂</w:t>
                  </w:r>
                  <w:r>
                    <w:rPr>
                      <w:rFonts w:hint="eastAsia"/>
                      <w:color w:val="auto"/>
                      <w:szCs w:val="21"/>
                    </w:rPr>
                    <w:t>集中处理</w:t>
                  </w:r>
                  <w:r>
                    <w:rPr>
                      <w:rFonts w:hint="eastAsia"/>
                      <w:color w:val="auto"/>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000" w:type="pct"/>
                  <w:gridSpan w:val="3"/>
                  <w:tcBorders>
                    <w:tl2br w:val="nil"/>
                    <w:tr2bl w:val="nil"/>
                  </w:tcBorders>
                  <w:noWrap w:val="0"/>
                  <w:vAlign w:val="center"/>
                </w:tcPr>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环境风险防控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重点</w:t>
                  </w:r>
                  <w:r>
                    <w:rPr>
                      <w:rFonts w:hint="default" w:ascii="Times New Roman" w:hAnsi="Times New Roman" w:eastAsia="宋体" w:cs="Times New Roman"/>
                      <w:color w:val="auto"/>
                      <w:sz w:val="21"/>
                      <w:szCs w:val="21"/>
                      <w:lang w:eastAsia="zh-CN"/>
                    </w:rPr>
                    <w:t>管控单元</w:t>
                  </w:r>
                  <w:r>
                    <w:rPr>
                      <w:rFonts w:hint="eastAsia" w:cs="Times New Roman"/>
                      <w:color w:val="auto"/>
                      <w:sz w:val="21"/>
                      <w:szCs w:val="21"/>
                      <w:lang w:val="en-US" w:eastAsia="zh-CN"/>
                    </w:rPr>
                    <w:t>01</w:t>
                  </w:r>
                </w:p>
              </w:tc>
              <w:tc>
                <w:tcPr>
                  <w:tcW w:w="3787" w:type="dxa"/>
                  <w:tcBorders>
                    <w:tl2br w:val="nil"/>
                    <w:tr2bl w:val="nil"/>
                  </w:tcBorders>
                  <w:noWrap w:val="0"/>
                  <w:vAlign w:val="center"/>
                </w:tcPr>
                <w:p>
                  <w:pPr>
                    <w:numPr>
                      <w:ilvl w:val="0"/>
                      <w:numId w:val="0"/>
                    </w:numPr>
                    <w:ind w:leftChars="0"/>
                    <w:rPr>
                      <w:rFonts w:hint="eastAsia"/>
                      <w:color w:val="auto"/>
                      <w:szCs w:val="21"/>
                    </w:rPr>
                  </w:pPr>
                  <w:r>
                    <w:rPr>
                      <w:rFonts w:hint="eastAsia"/>
                      <w:color w:val="auto"/>
                      <w:szCs w:val="21"/>
                    </w:rPr>
                    <w:t>园区自身：</w:t>
                  </w:r>
                </w:p>
                <w:p>
                  <w:pPr>
                    <w:numPr>
                      <w:ilvl w:val="0"/>
                      <w:numId w:val="0"/>
                    </w:numPr>
                    <w:ind w:leftChars="0"/>
                    <w:rPr>
                      <w:rFonts w:hint="eastAsia"/>
                      <w:color w:val="auto"/>
                      <w:szCs w:val="21"/>
                    </w:rPr>
                  </w:pPr>
                  <w:r>
                    <w:rPr>
                      <w:rFonts w:hint="eastAsia"/>
                      <w:color w:val="auto"/>
                      <w:szCs w:val="21"/>
                    </w:rPr>
                    <w:t>（3.1）加强对风险概率高环节的定期检查、维护工作；定期对消防、消防报警和自控系统、防雷、防爆、防静电、防洪及管道</w:t>
                  </w:r>
                  <w:r>
                    <w:rPr>
                      <w:rFonts w:hint="eastAsia"/>
                      <w:color w:val="auto"/>
                      <w:szCs w:val="21"/>
                      <w:lang w:val="en-US" w:eastAsia="zh-CN"/>
                    </w:rPr>
                    <w:t>泄漏</w:t>
                  </w:r>
                  <w:r>
                    <w:rPr>
                      <w:rFonts w:hint="eastAsia"/>
                      <w:color w:val="auto"/>
                      <w:szCs w:val="21"/>
                    </w:rPr>
                    <w:t>等安全措施和自动检测报警系统等全技术设施进行检修。化工园区安全生产管理机构应至少每五年开展一次化工园区整体性安全风险评估，评估安全风险，提出消除、降低、管控安全风险的对策措施。</w:t>
                  </w:r>
                </w:p>
                <w:p>
                  <w:pPr>
                    <w:numPr>
                      <w:ilvl w:val="0"/>
                      <w:numId w:val="0"/>
                    </w:numPr>
                    <w:ind w:leftChars="0"/>
                    <w:rPr>
                      <w:rFonts w:hint="eastAsia"/>
                      <w:color w:val="auto"/>
                      <w:szCs w:val="21"/>
                    </w:rPr>
                  </w:pPr>
                  <w:r>
                    <w:rPr>
                      <w:rFonts w:hint="eastAsia"/>
                      <w:color w:val="auto"/>
                      <w:szCs w:val="21"/>
                    </w:rPr>
                    <w:t>（3.2）严格把控行业安全发展准入条件，进一步加强化工行业管理，进一步提升行业装备水平，完善并落实危险化学品安全生产责任制，严格化工从业人员准入、提高从业人员素质，强化化学品事故应急救援体系建设，建设化工行业安全发展信息化平台。</w:t>
                  </w:r>
                </w:p>
                <w:p>
                  <w:pPr>
                    <w:numPr>
                      <w:ilvl w:val="0"/>
                      <w:numId w:val="0"/>
                    </w:numPr>
                    <w:ind w:leftChars="0"/>
                    <w:rPr>
                      <w:rFonts w:hint="eastAsia"/>
                      <w:color w:val="auto"/>
                      <w:szCs w:val="21"/>
                    </w:rPr>
                  </w:pPr>
                  <w:r>
                    <w:rPr>
                      <w:rFonts w:hint="eastAsia"/>
                      <w:color w:val="auto"/>
                      <w:szCs w:val="21"/>
                    </w:rPr>
                    <w:t>（3.3）建设安全监管和应急救援信息平台，构建基础信息库和风险隐患数据库，至少应接入企业重大危险源（储罐区和库区）实时在线监测监控相关数据，并且化工园区应将接入数据上传至省、市级应急管理部门。</w:t>
                  </w:r>
                </w:p>
                <w:p>
                  <w:pPr>
                    <w:numPr>
                      <w:ilvl w:val="0"/>
                      <w:numId w:val="0"/>
                    </w:numPr>
                    <w:ind w:leftChars="0"/>
                    <w:rPr>
                      <w:rFonts w:hint="eastAsia"/>
                      <w:color w:val="auto"/>
                      <w:szCs w:val="21"/>
                    </w:rPr>
                  </w:pPr>
                  <w:r>
                    <w:rPr>
                      <w:rFonts w:hint="eastAsia"/>
                      <w:color w:val="auto"/>
                      <w:szCs w:val="21"/>
                    </w:rPr>
                    <w:t>（3.4）处于高安全风险等级的园区，要责令其限期整改提升，整改完成前将实行项目限批，原则上不得新、改、扩建危险化学品建设项目，有效降低安全风险。</w:t>
                  </w:r>
                </w:p>
                <w:p>
                  <w:pPr>
                    <w:numPr>
                      <w:ilvl w:val="0"/>
                      <w:numId w:val="0"/>
                    </w:numPr>
                    <w:ind w:leftChars="0"/>
                    <w:rPr>
                      <w:rFonts w:hint="eastAsia"/>
                      <w:color w:val="auto"/>
                      <w:szCs w:val="21"/>
                    </w:rPr>
                  </w:pPr>
                  <w:r>
                    <w:rPr>
                      <w:rFonts w:hint="eastAsia"/>
                      <w:color w:val="auto"/>
                      <w:szCs w:val="21"/>
                    </w:rPr>
                    <w:t>（3.5）组织实施精准化安全风险排查评估，分类建立完善安全风险数据库和信息管理系统，区分</w:t>
                  </w:r>
                  <w:r>
                    <w:rPr>
                      <w:rFonts w:hint="eastAsia"/>
                      <w:color w:val="auto"/>
                      <w:szCs w:val="21"/>
                      <w:lang w:eastAsia="zh-CN"/>
                    </w:rPr>
                    <w:t>“</w:t>
                  </w:r>
                  <w:r>
                    <w:rPr>
                      <w:rFonts w:hint="eastAsia"/>
                      <w:color w:val="auto"/>
                      <w:szCs w:val="21"/>
                    </w:rPr>
                    <w:t>红、橙、黄、蓝</w:t>
                  </w:r>
                  <w:r>
                    <w:rPr>
                      <w:rFonts w:hint="eastAsia"/>
                      <w:color w:val="auto"/>
                      <w:szCs w:val="21"/>
                      <w:lang w:eastAsia="zh-CN"/>
                    </w:rPr>
                    <w:t>”</w:t>
                  </w:r>
                  <w:r>
                    <w:rPr>
                      <w:rFonts w:hint="eastAsia"/>
                      <w:color w:val="auto"/>
                      <w:szCs w:val="21"/>
                    </w:rPr>
                    <w:t>四级安全风险，突出一、二级重大危险源和有毒有害、易燃易爆化工企业，按照</w:t>
                  </w:r>
                  <w:r>
                    <w:rPr>
                      <w:rFonts w:hint="eastAsia"/>
                      <w:color w:val="auto"/>
                      <w:szCs w:val="21"/>
                      <w:lang w:eastAsia="zh-CN"/>
                    </w:rPr>
                    <w:t>“</w:t>
                  </w:r>
                  <w:r>
                    <w:rPr>
                      <w:rFonts w:hint="eastAsia"/>
                      <w:color w:val="auto"/>
                      <w:szCs w:val="21"/>
                    </w:rPr>
                    <w:t>一企一策</w:t>
                  </w:r>
                  <w:r>
                    <w:rPr>
                      <w:rFonts w:hint="eastAsia"/>
                      <w:color w:val="auto"/>
                      <w:szCs w:val="21"/>
                      <w:lang w:eastAsia="zh-CN"/>
                    </w:rPr>
                    <w:t>”</w:t>
                  </w:r>
                  <w:r>
                    <w:rPr>
                      <w:rFonts w:hint="eastAsia"/>
                      <w:color w:val="auto"/>
                      <w:szCs w:val="21"/>
                    </w:rPr>
                    <w:t>、</w:t>
                  </w:r>
                  <w:r>
                    <w:rPr>
                      <w:rFonts w:hint="eastAsia"/>
                      <w:color w:val="auto"/>
                      <w:szCs w:val="21"/>
                      <w:lang w:eastAsia="zh-CN"/>
                    </w:rPr>
                    <w:t>“</w:t>
                  </w:r>
                  <w:r>
                    <w:rPr>
                      <w:rFonts w:hint="eastAsia"/>
                      <w:color w:val="auto"/>
                      <w:szCs w:val="21"/>
                    </w:rPr>
                    <w:t>一园一策</w:t>
                  </w:r>
                  <w:r>
                    <w:rPr>
                      <w:rFonts w:hint="eastAsia"/>
                      <w:color w:val="auto"/>
                      <w:szCs w:val="21"/>
                      <w:lang w:eastAsia="zh-CN"/>
                    </w:rPr>
                    <w:t>”</w:t>
                  </w:r>
                  <w:r>
                    <w:rPr>
                      <w:rFonts w:hint="eastAsia"/>
                      <w:color w:val="auto"/>
                      <w:szCs w:val="21"/>
                    </w:rPr>
                    <w:t>原则，实施最严格的治理整顿。</w:t>
                  </w:r>
                </w:p>
                <w:p>
                  <w:pPr>
                    <w:numPr>
                      <w:ilvl w:val="0"/>
                      <w:numId w:val="0"/>
                    </w:numPr>
                    <w:ind w:leftChars="0"/>
                    <w:rPr>
                      <w:rFonts w:hint="eastAsia"/>
                      <w:color w:val="auto"/>
                      <w:szCs w:val="21"/>
                    </w:rPr>
                  </w:pPr>
                  <w:r>
                    <w:rPr>
                      <w:rFonts w:hint="eastAsia"/>
                      <w:color w:val="auto"/>
                      <w:szCs w:val="21"/>
                    </w:rPr>
                    <w:t>（3.6）加强地下水跟踪监测工作，观察地下水的污染动态，好提出适时提出保护措施。一旦发生地下水污染，立即启动地下水污染应急预案，采取有效的措施，保证在最短的时间内解决污染事故。</w:t>
                  </w:r>
                </w:p>
                <w:p>
                  <w:pPr>
                    <w:numPr>
                      <w:ilvl w:val="0"/>
                      <w:numId w:val="0"/>
                    </w:numPr>
                    <w:ind w:leftChars="0"/>
                    <w:rPr>
                      <w:rFonts w:hint="eastAsia"/>
                      <w:color w:val="auto"/>
                      <w:szCs w:val="21"/>
                    </w:rPr>
                  </w:pPr>
                  <w:r>
                    <w:rPr>
                      <w:rFonts w:hint="eastAsia"/>
                      <w:color w:val="auto"/>
                      <w:szCs w:val="21"/>
                    </w:rPr>
                    <w:t>行业企业：</w:t>
                  </w:r>
                </w:p>
                <w:p>
                  <w:pPr>
                    <w:numPr>
                      <w:ilvl w:val="0"/>
                      <w:numId w:val="0"/>
                    </w:numPr>
                    <w:ind w:leftChars="0"/>
                    <w:rPr>
                      <w:rFonts w:hint="eastAsia"/>
                      <w:color w:val="auto"/>
                      <w:szCs w:val="21"/>
                    </w:rPr>
                  </w:pPr>
                  <w:r>
                    <w:rPr>
                      <w:rFonts w:hint="eastAsia"/>
                      <w:color w:val="auto"/>
                      <w:szCs w:val="21"/>
                    </w:rPr>
                    <w:t>（3.7）易燃易爆的企业，自身要做好防护工作。</w:t>
                  </w:r>
                </w:p>
                <w:p>
                  <w:pPr>
                    <w:numPr>
                      <w:ilvl w:val="0"/>
                      <w:numId w:val="0"/>
                    </w:numPr>
                    <w:ind w:leftChars="0"/>
                    <w:rPr>
                      <w:rFonts w:hint="default" w:ascii="Times New Roman" w:hAnsi="Times New Roman" w:eastAsia="宋体" w:cs="Times New Roman"/>
                      <w:color w:val="auto"/>
                      <w:sz w:val="21"/>
                      <w:szCs w:val="21"/>
                      <w:lang w:val="en-US" w:eastAsia="zh-CN"/>
                    </w:rPr>
                  </w:pPr>
                  <w:r>
                    <w:rPr>
                      <w:rFonts w:hint="eastAsia"/>
                      <w:color w:val="auto"/>
                      <w:szCs w:val="21"/>
                    </w:rPr>
                    <w:t>（3.8）企业存在重大安全隐患的，必须立即消除，消除前或消除过程中无法保证安全的，属地应急管理部门应依法责令暂时停产停业或者停止使用相关设施、设备</w:t>
                  </w:r>
                  <w:r>
                    <w:rPr>
                      <w:color w:val="auto"/>
                      <w:szCs w:val="21"/>
                    </w:rPr>
                    <w:t>。</w:t>
                  </w:r>
                </w:p>
              </w:tc>
              <w:tc>
                <w:tcPr>
                  <w:tcW w:w="2879" w:type="dxa"/>
                  <w:tcBorders>
                    <w:tl2br w:val="nil"/>
                    <w:tr2bl w:val="nil"/>
                  </w:tcBorders>
                  <w:noWrap w:val="0"/>
                  <w:vAlign w:val="center"/>
                </w:tcPr>
                <w:p>
                  <w:pPr>
                    <w:rPr>
                      <w:rFonts w:hint="default" w:ascii="Times New Roman" w:hAnsi="Times New Roman" w:eastAsia="宋体" w:cs="Times New Roman"/>
                      <w:color w:val="auto"/>
                      <w:sz w:val="21"/>
                      <w:szCs w:val="21"/>
                      <w:lang w:val="en-US" w:eastAsia="zh-CN"/>
                    </w:rPr>
                  </w:pPr>
                  <w:r>
                    <w:rPr>
                      <w:rFonts w:hint="eastAsia"/>
                      <w:color w:val="auto"/>
                      <w:szCs w:val="21"/>
                      <w:lang w:eastAsia="zh-CN"/>
                    </w:rPr>
                    <w:t>符合。</w:t>
                  </w:r>
                  <w:r>
                    <w:rPr>
                      <w:rFonts w:hint="eastAsia"/>
                      <w:color w:val="auto"/>
                      <w:szCs w:val="21"/>
                    </w:rPr>
                    <w:t>企业生产涉及危险物质为不饱和树脂、促进剂、固化剂、危险废物，建成后及时编制应急预案并备案，配备相应应急物资及人员</w:t>
                  </w: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00" w:type="pct"/>
                  <w:gridSpan w:val="3"/>
                  <w:tcBorders>
                    <w:tl2br w:val="nil"/>
                    <w:tr2bl w:val="nil"/>
                  </w:tcBorders>
                  <w:noWrap w:val="0"/>
                  <w:vAlign w:val="center"/>
                </w:tcPr>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资源利用效率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重点</w:t>
                  </w:r>
                  <w:r>
                    <w:rPr>
                      <w:rFonts w:hint="default" w:ascii="Times New Roman" w:hAnsi="Times New Roman" w:eastAsia="宋体" w:cs="Times New Roman"/>
                      <w:color w:val="auto"/>
                      <w:sz w:val="21"/>
                      <w:szCs w:val="21"/>
                      <w:lang w:eastAsia="zh-CN"/>
                    </w:rPr>
                    <w:t>管控单元</w:t>
                  </w:r>
                  <w:r>
                    <w:rPr>
                      <w:rFonts w:hint="eastAsia" w:cs="Times New Roman"/>
                      <w:color w:val="auto"/>
                      <w:sz w:val="21"/>
                      <w:szCs w:val="21"/>
                      <w:lang w:val="en-US" w:eastAsia="zh-CN"/>
                    </w:rPr>
                    <w:t>01</w:t>
                  </w:r>
                </w:p>
              </w:tc>
              <w:tc>
                <w:tcPr>
                  <w:tcW w:w="3787" w:type="dxa"/>
                  <w:tcBorders>
                    <w:tl2br w:val="nil"/>
                    <w:tr2bl w:val="nil"/>
                  </w:tcBorders>
                  <w:noWrap w:val="0"/>
                  <w:vAlign w:val="center"/>
                </w:tcPr>
                <w:p>
                  <w:pPr>
                    <w:numPr>
                      <w:ilvl w:val="0"/>
                      <w:numId w:val="0"/>
                    </w:numPr>
                    <w:rPr>
                      <w:rFonts w:hint="eastAsia"/>
                      <w:color w:val="auto"/>
                      <w:szCs w:val="21"/>
                    </w:rPr>
                  </w:pPr>
                  <w:r>
                    <w:rPr>
                      <w:rFonts w:hint="eastAsia"/>
                      <w:color w:val="auto"/>
                      <w:szCs w:val="21"/>
                    </w:rPr>
                    <w:t>（4.1）到2025年，工业固体废物综合利用率达到95%，工业用水重复利用率75%。</w:t>
                  </w:r>
                </w:p>
                <w:p>
                  <w:pPr>
                    <w:numPr>
                      <w:ilvl w:val="0"/>
                      <w:numId w:val="0"/>
                    </w:numPr>
                    <w:rPr>
                      <w:rFonts w:hint="eastAsia"/>
                      <w:color w:val="auto"/>
                      <w:szCs w:val="21"/>
                    </w:rPr>
                  </w:pPr>
                  <w:r>
                    <w:rPr>
                      <w:rFonts w:hint="eastAsia"/>
                      <w:color w:val="auto"/>
                      <w:szCs w:val="21"/>
                    </w:rPr>
                    <w:t>（4.2）合理利用土地，提高土地使用效率。</w:t>
                  </w:r>
                </w:p>
                <w:p>
                  <w:pPr>
                    <w:numPr>
                      <w:ilvl w:val="0"/>
                      <w:numId w:val="0"/>
                    </w:numPr>
                    <w:rPr>
                      <w:rFonts w:hint="default" w:ascii="Times New Roman" w:hAnsi="Times New Roman" w:eastAsia="宋体" w:cs="Times New Roman"/>
                      <w:color w:val="auto"/>
                      <w:sz w:val="21"/>
                      <w:szCs w:val="21"/>
                      <w:lang w:val="en-US" w:eastAsia="zh-CN"/>
                    </w:rPr>
                  </w:pPr>
                  <w:r>
                    <w:rPr>
                      <w:rFonts w:hint="eastAsia"/>
                      <w:color w:val="auto"/>
                      <w:szCs w:val="21"/>
                    </w:rPr>
                    <w:t>（4.3）加大环境保护政策实施力度，到2035年使园区工业用水循环利用率达到80%</w:t>
                  </w:r>
                  <w:r>
                    <w:rPr>
                      <w:color w:val="auto"/>
                      <w:szCs w:val="21"/>
                    </w:rPr>
                    <w:t>。</w:t>
                  </w:r>
                </w:p>
              </w:tc>
              <w:tc>
                <w:tcPr>
                  <w:tcW w:w="2879" w:type="dxa"/>
                  <w:tcBorders>
                    <w:tl2br w:val="nil"/>
                    <w:tr2bl w:val="nil"/>
                  </w:tcBorders>
                  <w:noWrap w:val="0"/>
                  <w:vAlign w:val="center"/>
                </w:tcPr>
                <w:p>
                  <w:pPr>
                    <w:rPr>
                      <w:rFonts w:hint="default" w:ascii="Times New Roman" w:hAnsi="Times New Roman" w:eastAsia="宋体" w:cs="Times New Roman"/>
                      <w:color w:val="auto"/>
                      <w:sz w:val="21"/>
                      <w:szCs w:val="21"/>
                      <w:lang w:val="en-US" w:eastAsia="zh-CN"/>
                    </w:rPr>
                  </w:pPr>
                  <w:r>
                    <w:rPr>
                      <w:rFonts w:hint="eastAsia"/>
                      <w:color w:val="auto"/>
                      <w:szCs w:val="21"/>
                      <w:lang w:eastAsia="zh-CN"/>
                    </w:rPr>
                    <w:t>符合。</w:t>
                  </w:r>
                  <w:r>
                    <w:rPr>
                      <w:rFonts w:hint="eastAsia"/>
                      <w:color w:val="auto"/>
                      <w:szCs w:val="21"/>
                    </w:rPr>
                    <w:t>企业生产利用资源主要为电力、水资源，符合能利用要求</w:t>
                  </w:r>
                  <w:r>
                    <w:rPr>
                      <w:color w:val="auto"/>
                      <w:szCs w:val="21"/>
                    </w:rPr>
                    <w:t>。</w:t>
                  </w:r>
                </w:p>
              </w:tc>
            </w:tr>
          </w:tbl>
          <w:p>
            <w:pPr>
              <w:keepNext w:val="0"/>
              <w:keepLines w:val="0"/>
              <w:widowControl w:val="0"/>
              <w:suppressLineNumbers w:val="0"/>
              <w:spacing w:before="0" w:beforeAutospacing="0" w:after="0" w:afterAutospacing="0" w:line="360" w:lineRule="auto"/>
              <w:ind w:left="0" w:right="0"/>
              <w:jc w:val="left"/>
              <w:rPr>
                <w:rFonts w:hint="eastAsia" w:cs="Times New Roman"/>
                <w:b/>
                <w:color w:val="auto"/>
                <w:sz w:val="24"/>
                <w:szCs w:val="24"/>
                <w:lang w:val="en-US" w:eastAsia="zh-CN" w:bidi="ar-SA"/>
              </w:rPr>
            </w:pPr>
            <w:r>
              <w:rPr>
                <w:rFonts w:hint="eastAsia" w:cs="Times New Roman"/>
                <w:b/>
                <w:color w:val="auto"/>
                <w:sz w:val="24"/>
                <w:szCs w:val="24"/>
                <w:lang w:val="en-US" w:eastAsia="zh-CN" w:bidi="ar-SA"/>
              </w:rPr>
              <w:t>4与《新疆生产建设兵团“十四五”生态环境保护规划》（新兵发〔2021〕36号）符合性分析</w:t>
            </w:r>
          </w:p>
          <w:p>
            <w:pPr>
              <w:autoSpaceDE w:val="0"/>
              <w:autoSpaceDN w:val="0"/>
              <w:adjustRightIn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本项目与《新疆生产建设兵团“十四五”生态环境保护规划》（新兵发〔2021〕36号）相关符合性分析见表1-3。</w:t>
            </w:r>
          </w:p>
          <w:p>
            <w:pPr>
              <w:pStyle w:val="6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表1</w:t>
            </w:r>
            <w:r>
              <w:rPr>
                <w:rFonts w:hint="default" w:ascii="Times New Roman" w:hAnsi="Times New Roman" w:eastAsia="宋体" w:cs="Times New Roman"/>
                <w:b/>
                <w:bCs w:val="0"/>
                <w:color w:val="auto"/>
                <w:sz w:val="21"/>
                <w:szCs w:val="21"/>
                <w:lang w:val="en-US" w:eastAsia="zh-CN"/>
              </w:rPr>
              <w:t>-</w:t>
            </w:r>
            <w:r>
              <w:rPr>
                <w:rFonts w:hint="eastAsia" w:ascii="Times New Roman"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rPr>
              <w:t xml:space="preserve"> </w:t>
            </w:r>
            <w:r>
              <w:rPr>
                <w:rFonts w:hint="default"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rPr>
              <w:t>与《新疆生产建设兵团</w:t>
            </w:r>
            <w:r>
              <w:rPr>
                <w:rFonts w:hint="eastAsia" w:ascii="Times New Roman" w:cs="Times New Roman"/>
                <w:b/>
                <w:bCs w:val="0"/>
                <w:color w:val="auto"/>
                <w:sz w:val="21"/>
                <w:szCs w:val="21"/>
                <w:lang w:eastAsia="zh-CN"/>
              </w:rPr>
              <w:t>“</w:t>
            </w:r>
            <w:r>
              <w:rPr>
                <w:rFonts w:hint="default" w:ascii="Times New Roman" w:hAnsi="Times New Roman" w:eastAsia="宋体" w:cs="Times New Roman"/>
                <w:b/>
                <w:bCs w:val="0"/>
                <w:color w:val="auto"/>
                <w:sz w:val="21"/>
                <w:szCs w:val="21"/>
              </w:rPr>
              <w:t>十四五</w:t>
            </w:r>
            <w:r>
              <w:rPr>
                <w:rFonts w:hint="eastAsia" w:ascii="Times New Roman" w:cs="Times New Roman"/>
                <w:b/>
                <w:bCs w:val="0"/>
                <w:color w:val="auto"/>
                <w:sz w:val="21"/>
                <w:szCs w:val="21"/>
                <w:lang w:eastAsia="zh-CN"/>
              </w:rPr>
              <w:t>”</w:t>
            </w:r>
            <w:r>
              <w:rPr>
                <w:rFonts w:hint="default" w:ascii="Times New Roman" w:hAnsi="Times New Roman" w:eastAsia="宋体" w:cs="Times New Roman"/>
                <w:b/>
                <w:bCs w:val="0"/>
                <w:color w:val="auto"/>
                <w:sz w:val="21"/>
                <w:szCs w:val="21"/>
              </w:rPr>
              <w:t>生态环境保护规划》（新兵发〔2021〕36号）符合性分析</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8"/>
              <w:gridCol w:w="1441"/>
              <w:gridCol w:w="4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3692" w:type="pct"/>
                  <w:tcBorders>
                    <w:bottom w:val="single" w:color="auto" w:sz="12" w:space="0"/>
                  </w:tcBorders>
                  <w:noWrap w:val="0"/>
                  <w:vAlign w:val="center"/>
                </w:tcPr>
                <w:p>
                  <w:pPr>
                    <w:autoSpaceDE w:val="0"/>
                    <w:autoSpaceDN w:val="0"/>
                    <w:adjustRightInd w:val="0"/>
                    <w:snapToGrid w:val="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要求</w:t>
                  </w:r>
                </w:p>
              </w:tc>
              <w:tc>
                <w:tcPr>
                  <w:tcW w:w="980" w:type="pct"/>
                  <w:tcBorders>
                    <w:bottom w:val="single" w:color="auto" w:sz="12" w:space="0"/>
                  </w:tcBorders>
                  <w:noWrap w:val="0"/>
                  <w:vAlign w:val="center"/>
                </w:tcPr>
                <w:p>
                  <w:pPr>
                    <w:autoSpaceDE w:val="0"/>
                    <w:autoSpaceDN w:val="0"/>
                    <w:adjustRightInd w:val="0"/>
                    <w:snapToGrid w:val="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本项目情况</w:t>
                  </w:r>
                </w:p>
              </w:tc>
              <w:tc>
                <w:tcPr>
                  <w:tcW w:w="327" w:type="pct"/>
                  <w:tcBorders>
                    <w:bottom w:val="single" w:color="auto" w:sz="12" w:space="0"/>
                  </w:tcBorders>
                  <w:noWrap w:val="0"/>
                  <w:vAlign w:val="center"/>
                </w:tcPr>
                <w:p>
                  <w:pPr>
                    <w:autoSpaceDE w:val="0"/>
                    <w:autoSpaceDN w:val="0"/>
                    <w:adjustRightInd w:val="0"/>
                    <w:snapToGrid w:val="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2" w:type="pct"/>
                  <w:tcBorders>
                    <w:top w:val="single" w:color="auto" w:sz="12" w:space="0"/>
                    <w:tl2br w:val="nil"/>
                    <w:tr2bl w:val="nil"/>
                  </w:tcBorders>
                  <w:noWrap w:val="0"/>
                  <w:vAlign w:val="center"/>
                </w:tcPr>
                <w:p>
                  <w:p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第五章 协同治理改善大气环境质量</w:t>
                  </w:r>
                </w:p>
                <w:p>
                  <w:p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第二节 持续推进多污染源治理</w:t>
                  </w:r>
                </w:p>
                <w:p>
                  <w:pPr>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加大燃煤锅炉、工业炉窑综合整治力度。严把锅炉市场准入，进一步提高新建燃煤锅炉准入门槛。新建燃煤锅炉效率不低于85%，燃气锅炉效率不低于95%，</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乌</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昌</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石</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奎</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独</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乌</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区域内师市淘汰每小时35蒸吨及以下燃煤锅炉，每小时65蒸吨及以上燃煤锅炉完成节能和超低排放改造，燃气锅炉完成低氮燃烧改造。供热供气管网不能覆盖的地区，改用电、新能源或洁净煤，推广应用高效节能环保型锅炉。深化工业炉窑大气污染综合治理，推进工业炉窑全面达标排放，加强无组织排放管理，开展升级改造、清洁能源替代燃煤等工作。</w:t>
                  </w:r>
                </w:p>
              </w:tc>
              <w:tc>
                <w:tcPr>
                  <w:tcW w:w="980" w:type="pct"/>
                  <w:tcBorders>
                    <w:top w:val="single" w:color="auto" w:sz="12"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项目未建设锅炉。</w:t>
                  </w:r>
                </w:p>
              </w:tc>
              <w:tc>
                <w:tcPr>
                  <w:tcW w:w="327" w:type="pct"/>
                  <w:tcBorders>
                    <w:top w:val="single" w:color="auto" w:sz="12"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6" w:hRule="atLeast"/>
                <w:jc w:val="center"/>
              </w:trPr>
              <w:tc>
                <w:tcPr>
                  <w:tcW w:w="3692" w:type="pct"/>
                  <w:tcBorders>
                    <w:tl2br w:val="nil"/>
                    <w:tr2bl w:val="nil"/>
                  </w:tcBorders>
                  <w:noWrap w:val="0"/>
                  <w:vAlign w:val="center"/>
                </w:tcPr>
                <w:p>
                  <w:p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第六章 系统治理稳步提升水环境质量</w:t>
                  </w:r>
                </w:p>
                <w:p>
                  <w:p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第一节 加强水资源管理和节约保护</w:t>
                  </w:r>
                </w:p>
                <w:p>
                  <w:pPr>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面提高用水效率。严格控制煤化工、纺织印染、石油炼化、造纸等高污染行业发展，精细化工、基本化工原料制造等重点企业强化源头治理，构建节能节水式经济发展模式。推进工业园区企业水资源循环利用和分质使用。在第六师五家渠市、第七师胡杨河市、第八师石河子市等城市区域打造节水示范区，实现公共建筑节水器具全覆盖。优化调整农业种植结构与种植方式，逐步调减高耗水农作物的种植比例，建设与农作物相适应的高效节水灌溉工程。</w:t>
                  </w:r>
                </w:p>
                <w:p>
                  <w:pPr>
                    <w:numPr>
                      <w:ilvl w:val="0"/>
                      <w:numId w:val="0"/>
                    </w:num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第二节 深化重点领域水污染防治</w:t>
                  </w:r>
                </w:p>
                <w:p>
                  <w:pPr>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持续推进工业源污染治理。以工业集聚区和煤化工等企业为重点，严格落实工业污染源全面达标排放，逐一排查工业企业排污情况，确保稳定达标。完善与落实水污染物排放总量控制制度。加强化学工业、农副食品加工业、印染、酒与饮料制造业等企业专项治理，实施清洁化改造。加快兵团级及以上经济开发区配套管网及中水回用，其中第一师阿拉尔市、第六师五家渠市、第七师胡杨河市、第八师石河子市中水回用率达到80%以上。</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项目运营期无生产废水产生，生活污水排入排水管网最终进入胡杨河经济技术开发区南园区污水处理厂集中处理。</w:t>
                  </w:r>
                </w:p>
              </w:tc>
              <w:tc>
                <w:tcPr>
                  <w:tcW w:w="327"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pPr>
              <w:keepNext w:val="0"/>
              <w:keepLines w:val="0"/>
              <w:widowControl w:val="0"/>
              <w:suppressLineNumbers w:val="0"/>
              <w:spacing w:before="0" w:beforeAutospacing="0" w:after="0" w:afterAutospacing="0" w:line="360" w:lineRule="auto"/>
              <w:ind w:left="0" w:right="0"/>
              <w:jc w:val="left"/>
              <w:rPr>
                <w:rFonts w:hint="eastAsia" w:cs="Times New Roman"/>
                <w:b/>
                <w:color w:val="auto"/>
                <w:sz w:val="24"/>
                <w:szCs w:val="24"/>
                <w:lang w:val="en-US" w:eastAsia="zh-CN" w:bidi="ar-SA"/>
              </w:rPr>
            </w:pPr>
            <w:r>
              <w:rPr>
                <w:rFonts w:hint="eastAsia" w:cs="Times New Roman"/>
                <w:b/>
                <w:color w:val="auto"/>
                <w:sz w:val="24"/>
                <w:szCs w:val="24"/>
                <w:lang w:val="en-US" w:eastAsia="zh-CN" w:bidi="ar-SA"/>
              </w:rPr>
              <w:t>5与《2020年挥发性有机物治理攻坚方案》（环大气[2020]33号）的符合性分析</w:t>
            </w:r>
          </w:p>
          <w:p>
            <w:pPr>
              <w:widowControl/>
              <w:topLinePunct/>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本项目与《2020年挥发性有机物治理攻坚方案》（环大气[2020]33号）相关符合性分析见表1-4。</w:t>
            </w:r>
          </w:p>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1-4</w:t>
            </w:r>
            <w:r>
              <w:rPr>
                <w:rFonts w:hint="default" w:ascii="Times New Roman" w:hAnsi="Times New Roman" w:eastAsia="宋体" w:cs="Times New Roman"/>
                <w:b/>
                <w:bCs/>
                <w:color w:val="auto"/>
                <w:sz w:val="21"/>
                <w:szCs w:val="21"/>
              </w:rPr>
              <w:t xml:space="preserve">  与《2020年挥发性有机物治理攻坚方案》（环大气[2020]33号）符合性一览表</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3781"/>
              <w:gridCol w:w="2441"/>
              <w:gridCol w:w="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8" w:type="pct"/>
                  <w:tcBorders>
                    <w:bottom w:val="single" w:color="auto" w:sz="12" w:space="0"/>
                  </w:tcBorders>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序号</w:t>
                  </w:r>
                </w:p>
              </w:tc>
              <w:tc>
                <w:tcPr>
                  <w:tcW w:w="2572"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政策要求</w:t>
                  </w:r>
                </w:p>
              </w:tc>
              <w:tc>
                <w:tcPr>
                  <w:tcW w:w="1660"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459"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tcBorders>
                    <w:top w:val="single" w:color="auto" w:sz="12" w:space="0"/>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2572" w:type="pct"/>
                  <w:tcBorders>
                    <w:top w:val="single" w:color="auto" w:sz="12"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一、大力推进源头替代，有效减少VOCs产生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大力推进低（无）VOCs含量原辅材料替代。将全面使用符合国家要求的低VOCs含量原辅材料的企业纳入正面清单和政府绿色采购清单。</w:t>
                  </w:r>
                </w:p>
              </w:tc>
              <w:tc>
                <w:tcPr>
                  <w:tcW w:w="1660" w:type="pct"/>
                  <w:tcBorders>
                    <w:top w:val="single" w:color="auto" w:sz="12" w:space="0"/>
                    <w:bottom w:val="single" w:color="auto" w:sz="4" w:space="0"/>
                  </w:tcBorders>
                  <w:noWrap w:val="0"/>
                  <w:vAlign w:val="center"/>
                </w:tcPr>
                <w:p>
                  <w:pPr>
                    <w:spacing w:line="240" w:lineRule="auto"/>
                    <w:jc w:val="center"/>
                    <w:rPr>
                      <w:rFonts w:hint="eastAsia" w:ascii="Times New Roman" w:hAnsi="Times New Roman" w:eastAsia="宋体" w:cs="宋体"/>
                      <w:b w:val="0"/>
                      <w:bCs/>
                      <w:color w:val="auto"/>
                      <w:kern w:val="0"/>
                      <w:sz w:val="21"/>
                      <w:szCs w:val="16"/>
                      <w:vertAlign w:val="baseline"/>
                      <w:lang w:val="en-US" w:eastAsia="zh-CN" w:bidi="ar-SA"/>
                    </w:rPr>
                  </w:pPr>
                  <w:r>
                    <w:rPr>
                      <w:rFonts w:hint="eastAsia" w:ascii="Times New Roman" w:hAnsi="Times New Roman" w:eastAsia="宋体" w:cs="宋体"/>
                      <w:b w:val="0"/>
                      <w:bCs/>
                      <w:color w:val="auto"/>
                      <w:kern w:val="0"/>
                      <w:sz w:val="21"/>
                      <w:szCs w:val="16"/>
                      <w:vertAlign w:val="baseline"/>
                      <w:lang w:val="en-US" w:eastAsia="zh-CN" w:bidi="ar-SA"/>
                    </w:rPr>
                    <w:t>本项目采用的原料均为低VOCs含量的原料。</w:t>
                  </w:r>
                </w:p>
              </w:tc>
              <w:tc>
                <w:tcPr>
                  <w:tcW w:w="459" w:type="pct"/>
                  <w:tcBorders>
                    <w:top w:val="single" w:color="auto" w:sz="12"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2572"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二、全面落实标准要求，强化无组织排放控制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2020年7月1日起，全面执行《挥发性有机物无组织排放控制标准》，重点区域应落实无组织排放特别控制要求。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w:t>
                  </w:r>
                  <w:r>
                    <w:rPr>
                      <w:rFonts w:hint="eastAsia" w:ascii="Times New Roman" w:hAnsi="Times New Roman" w:eastAsia="宋体" w:cs="Times New Roman"/>
                      <w:color w:val="auto"/>
                      <w:sz w:val="21"/>
                      <w:szCs w:val="21"/>
                      <w:lang w:eastAsia="zh-CN"/>
                    </w:rPr>
                    <w:t>。</w:t>
                  </w:r>
                </w:p>
              </w:tc>
              <w:tc>
                <w:tcPr>
                  <w:tcW w:w="1660"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本项目生产线均设置在封闭的车间内，有机废气经</w:t>
                  </w: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lang w:eastAsia="zh-CN"/>
                    </w:rPr>
                    <w:t>个半封闭式集气罩+1套活性炭吸附脱附+催化燃烧装置+15m高排气筒（DA002）排放。</w:t>
                  </w:r>
                </w:p>
              </w:tc>
              <w:tc>
                <w:tcPr>
                  <w:tcW w:w="459"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2572"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三、聚焦治污设施</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三率</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，提升综合治理效率</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织企业对现有VOCs废气收集率、治理设施同步运行率和去除率开展自查，重点关注单一采用光氧化、光催化、低温等离子、一次性光氧化+活性炭吸附、喷淋吸收等工艺的治理设施，7月15日前完成。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660"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本项目有机废气经</w:t>
                  </w: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lang w:eastAsia="zh-CN"/>
                    </w:rPr>
                    <w:t>个半封闭式集气罩+1套活性炭吸附脱附+催化燃烧装置+15m高排气筒（DA002）排放</w:t>
                  </w:r>
                  <w:r>
                    <w:rPr>
                      <w:rFonts w:hint="eastAsia" w:ascii="Times New Roman" w:hAnsi="Times New Roman"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eastAsia="zh-CN"/>
                    </w:rPr>
                    <w:t>排放执行《合成树脂工业污染物排放标准》（GB31572-2015）中表5大气污染物特别排放标准（非甲烷总烃：60mg/m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，苯乙烯：20mg/m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，单位产品非甲烷总烃排放量：0.3kg/t产品）</w:t>
                  </w:r>
                  <w:r>
                    <w:rPr>
                      <w:rFonts w:hint="eastAsia" w:ascii="Times New Roman" w:hAnsi="Times New Roman" w:eastAsia="宋体" w:cs="Times New Roman"/>
                      <w:color w:val="auto"/>
                      <w:sz w:val="21"/>
                      <w:szCs w:val="21"/>
                      <w:lang w:eastAsia="zh-CN"/>
                    </w:rPr>
                    <w:t>、《恶臭污染物排放标准》（GB14554-93）中表2排放标准限值（苯乙烯：</w:t>
                  </w:r>
                  <w:r>
                    <w:rPr>
                      <w:rFonts w:hint="eastAsia" w:ascii="Times New Roman" w:hAnsi="Times New Roman" w:eastAsia="宋体" w:cs="Times New Roman"/>
                      <w:color w:val="auto"/>
                      <w:sz w:val="21"/>
                      <w:szCs w:val="21"/>
                      <w:lang w:val="en-US" w:eastAsia="zh-CN"/>
                    </w:rPr>
                    <w:t>6.5kg/h，臭气浓度：2000无量纲</w:t>
                  </w:r>
                  <w:r>
                    <w:rPr>
                      <w:rFonts w:hint="eastAsia" w:ascii="Times New Roman" w:hAnsi="Times New Roman" w:eastAsia="宋体" w:cs="Times New Roman"/>
                      <w:color w:val="auto"/>
                      <w:sz w:val="21"/>
                      <w:szCs w:val="21"/>
                      <w:lang w:eastAsia="zh-CN"/>
                    </w:rPr>
                    <w:t>）。</w:t>
                  </w:r>
                </w:p>
              </w:tc>
              <w:tc>
                <w:tcPr>
                  <w:tcW w:w="459"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tcBorders>
                    <w:top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572" w:type="pct"/>
                  <w:tcBorders>
                    <w:top w:val="single" w:color="auto" w:sz="4" w:space="0"/>
                  </w:tcBorders>
                  <w:noWrap w:val="0"/>
                  <w:vAlign w:val="center"/>
                </w:tcPr>
                <w:p>
                  <w:pPr>
                    <w:pStyle w:val="76"/>
                    <w:spacing w:before="53" w:line="227" w:lineRule="auto"/>
                    <w:ind w:left="226"/>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五、完善监测监控体系，提高精准治理水平</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加快完善环境空气VOCs监测网。加强大气VOCs组分观测，完善光化学监测网建设，提高数据质量，建立数据共享机制。已开展VOCs监测的城市，要进一步规范采样和监测方法，加强设备运维和数据质控，确保数据真实、准确、可靠。尚未开展VOCs监测的城市，要参照《2020年国家生态环境监测方案》《关于加强挥发性有机物监测工作的通知》，抓紧加强能力建设，开展相关监测工作。VOCs排放量较大、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污染较重的城市，应优先开展VOCs自动监测，并实现与中国环境监测总站数据直联；开展手工监测的城市，按照中国环境监测总站统一安排的日期开展手工采样，O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污染过程要加密监测频次，探索主要VOCs物质浓度变化及传输规律。</w:t>
                  </w:r>
                </w:p>
              </w:tc>
              <w:tc>
                <w:tcPr>
                  <w:tcW w:w="1660" w:type="pct"/>
                  <w:tcBorders>
                    <w:top w:val="single" w:color="auto" w:sz="4" w:space="0"/>
                  </w:tcBorders>
                  <w:noWrap w:val="0"/>
                  <w:vAlign w:val="center"/>
                </w:tcPr>
                <w:p>
                  <w:pPr>
                    <w:spacing w:line="240" w:lineRule="auto"/>
                    <w:jc w:val="center"/>
                    <w:rPr>
                      <w:color w:val="auto"/>
                      <w:spacing w:val="11"/>
                      <w:sz w:val="20"/>
                      <w:szCs w:val="20"/>
                    </w:rPr>
                  </w:pPr>
                  <w:r>
                    <w:rPr>
                      <w:rFonts w:hint="eastAsia" w:ascii="Times New Roman" w:hAnsi="Times New Roman" w:eastAsia="宋体" w:cs="Times New Roman"/>
                      <w:color w:val="auto"/>
                      <w:sz w:val="21"/>
                      <w:szCs w:val="21"/>
                      <w:lang w:eastAsia="zh-CN"/>
                    </w:rPr>
                    <w:t>本项目按照排污许可管理要求，落实了对VOCs源头削减、过程控制和末端治理措施要求，且对有组织、无组织VOCs进行季度性监测，加强了对污染源达标排放及环境质量监控。</w:t>
                  </w:r>
                </w:p>
              </w:tc>
              <w:tc>
                <w:tcPr>
                  <w:tcW w:w="459" w:type="pct"/>
                  <w:tcBorders>
                    <w:top w:val="single" w:color="auto" w:sz="4" w:space="0"/>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bl>
          <w:p>
            <w:pPr>
              <w:keepNext w:val="0"/>
              <w:keepLines w:val="0"/>
              <w:widowControl w:val="0"/>
              <w:suppressLineNumbers w:val="0"/>
              <w:spacing w:before="0" w:beforeAutospacing="0" w:after="0" w:afterAutospacing="0" w:line="360" w:lineRule="auto"/>
              <w:ind w:left="0" w:right="0" w:firstLine="480" w:firstLineChars="200"/>
              <w:jc w:val="left"/>
              <w:rPr>
                <w:rFonts w:hint="eastAsia" w:cs="Times New Roman"/>
                <w:b/>
                <w:color w:val="auto"/>
                <w:sz w:val="24"/>
                <w:szCs w:val="24"/>
                <w:lang w:val="en-US" w:eastAsia="zh-CN" w:bidi="ar-SA"/>
              </w:rPr>
            </w:pPr>
            <w:r>
              <w:rPr>
                <w:rFonts w:hint="eastAsia" w:ascii="Times New Roman" w:hAnsi="Times New Roman" w:eastAsia="宋体" w:cs="Times New Roman"/>
                <w:bCs/>
                <w:color w:val="auto"/>
                <w:sz w:val="24"/>
                <w:lang w:val="en-US" w:eastAsia="zh-CN"/>
              </w:rPr>
              <w:t>综上，拟建项目符合</w:t>
            </w:r>
            <w:r>
              <w:rPr>
                <w:rFonts w:hint="eastAsia" w:ascii="Times New Roman" w:hAnsi="Times New Roman" w:eastAsia="宋体" w:cs="Times New Roman"/>
                <w:color w:val="auto"/>
                <w:sz w:val="24"/>
                <w:highlight w:val="none"/>
                <w:lang w:val="en-US" w:eastAsia="zh-CN"/>
              </w:rPr>
              <w:t>《2020年挥发性有机物治理攻坚方案》（环大气[2020]33号）</w:t>
            </w:r>
            <w:r>
              <w:rPr>
                <w:rFonts w:hint="eastAsia" w:ascii="Times New Roman" w:hAnsi="Times New Roman" w:eastAsia="宋体" w:cs="Times New Roman"/>
                <w:bCs/>
                <w:color w:val="auto"/>
                <w:sz w:val="24"/>
                <w:lang w:val="en-US" w:eastAsia="zh-CN"/>
              </w:rPr>
              <w:t>要求。</w:t>
            </w:r>
          </w:p>
          <w:p>
            <w:pPr>
              <w:keepNext w:val="0"/>
              <w:keepLines w:val="0"/>
              <w:widowControl w:val="0"/>
              <w:suppressLineNumbers w:val="0"/>
              <w:spacing w:before="0" w:beforeAutospacing="0" w:after="0" w:afterAutospacing="0" w:line="360" w:lineRule="auto"/>
              <w:ind w:left="0" w:right="0"/>
              <w:jc w:val="left"/>
              <w:rPr>
                <w:rFonts w:hint="eastAsia" w:cs="Times New Roman"/>
                <w:b/>
                <w:color w:val="auto"/>
                <w:sz w:val="24"/>
                <w:szCs w:val="24"/>
                <w:lang w:val="en-US" w:eastAsia="zh-CN" w:bidi="ar-SA"/>
              </w:rPr>
            </w:pPr>
            <w:r>
              <w:rPr>
                <w:rFonts w:hint="eastAsia" w:cs="Times New Roman"/>
                <w:b/>
                <w:color w:val="auto"/>
                <w:sz w:val="24"/>
                <w:szCs w:val="24"/>
                <w:lang w:val="en-US" w:eastAsia="zh-CN" w:bidi="ar-SA"/>
              </w:rPr>
              <w:t>6与《挥发性有机物治理突出问题排查整治工作要求》的符合性分析</w:t>
            </w:r>
          </w:p>
          <w:p>
            <w:pPr>
              <w:widowControl/>
              <w:topLinePunct/>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本项目与生态环境发布《关于加快解决当前挥发性有机物治理突出问题的通知》（环大气〔2021〕65号）附件“挥发性有机物治理突出问题排查整治工作要求”相关符合性分析见表1-4。</w:t>
            </w:r>
          </w:p>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1-4</w:t>
            </w:r>
            <w:r>
              <w:rPr>
                <w:rFonts w:hint="default" w:ascii="Times New Roman" w:hAnsi="Times New Roman" w:eastAsia="宋体" w:cs="Times New Roman"/>
                <w:b/>
                <w:bCs/>
                <w:color w:val="auto"/>
                <w:sz w:val="21"/>
                <w:szCs w:val="21"/>
              </w:rPr>
              <w:t xml:space="preserve">  与</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挥发性有机物治理突出问题排查整治工作要求</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符合性一览表</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3781"/>
              <w:gridCol w:w="2441"/>
              <w:gridCol w:w="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8" w:type="pct"/>
                  <w:tcBorders>
                    <w:bottom w:val="single" w:color="auto" w:sz="12" w:space="0"/>
                  </w:tcBorders>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序号</w:t>
                  </w:r>
                </w:p>
              </w:tc>
              <w:tc>
                <w:tcPr>
                  <w:tcW w:w="2572"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政策要求</w:t>
                  </w:r>
                </w:p>
              </w:tc>
              <w:tc>
                <w:tcPr>
                  <w:tcW w:w="1660"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459"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tcBorders>
                    <w:top w:val="single" w:color="auto" w:sz="12" w:space="0"/>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2572" w:type="pct"/>
                  <w:tcBorders>
                    <w:top w:val="single" w:color="auto" w:sz="12"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废气收集设施-治理要求。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炼制、石油化工企业用于集输、储存、处理含VOCs废水的设施应密闭；农药原药、农药中间体、化学原料药、兽药原料药、医药中间体企业废水应密闭输送，储存、处理设施应在曝气池及其之前加盖密闭；其他行业根据标准要求检测敞开液面上方VOCs浓度，确定是否采取密闭收集措施。通过采取密闭管道等措施逐步替代地漏、沟、渠、井等敞开式集输方式，减少集水井、含油污水池数量；含油污水应密闭输送并鼓励设置水封，集水井、提升池或无移动部件的含油污水池可通过安装浮动顶盖或整体密闭等方式减少废气排放。池体密闭后保持微负压状态，可采用U型管或密封膜现场检测方法排查池体内部负压情况，密封效果差的加快整治。污水处理场集水井（池）、调节池、隔油池、气浮池、混入含油浮渣的浓缩池等产生的高浓度VOCs废气宜单独收集治理，采用预处理+催化氧化、焚烧等高效处理工艺。低浓度VOCs废气收集处理，确保达标排放。污水均质罐、污油罐、浮渣罐及酸性水罐、氨水罐有机废气鼓励收集处理。焦化行业优先采用干熄焦；采用湿熄焦工艺的，禁止使用未经处理或处理不达标的废水熄焦。对开式循环冷却水系统，每6个月对流经换热器进口和出口的循环冷却水中的总有机碳（TOC）浓度进行检测，若出口浓度大于进口浓度10%，要溯源泄漏点并及时修复。</w:t>
                  </w:r>
                </w:p>
              </w:tc>
              <w:tc>
                <w:tcPr>
                  <w:tcW w:w="1660" w:type="pct"/>
                  <w:tcBorders>
                    <w:top w:val="single" w:color="auto" w:sz="12" w:space="0"/>
                    <w:bottom w:val="single" w:color="auto" w:sz="4" w:space="0"/>
                  </w:tcBorders>
                  <w:noWrap w:val="0"/>
                  <w:vAlign w:val="center"/>
                </w:tcPr>
                <w:p>
                  <w:pPr>
                    <w:spacing w:line="240" w:lineRule="auto"/>
                    <w:jc w:val="center"/>
                    <w:rPr>
                      <w:rFonts w:hint="eastAsia" w:ascii="Times New Roman" w:hAnsi="Times New Roman" w:eastAsia="宋体" w:cs="宋体"/>
                      <w:b w:val="0"/>
                      <w:bCs/>
                      <w:color w:val="auto"/>
                      <w:kern w:val="0"/>
                      <w:sz w:val="21"/>
                      <w:szCs w:val="16"/>
                      <w:vertAlign w:val="baseline"/>
                      <w:lang w:val="en-US" w:eastAsia="zh-CN" w:bidi="ar-SA"/>
                    </w:rPr>
                  </w:pPr>
                  <w:r>
                    <w:rPr>
                      <w:rFonts w:hint="eastAsia" w:ascii="Times New Roman" w:hAnsi="Times New Roman" w:eastAsia="宋体" w:cs="宋体"/>
                      <w:b w:val="0"/>
                      <w:bCs/>
                      <w:color w:val="auto"/>
                      <w:kern w:val="0"/>
                      <w:sz w:val="21"/>
                      <w:szCs w:val="16"/>
                      <w:vertAlign w:val="baseline"/>
                      <w:lang w:val="en-US" w:eastAsia="zh-CN" w:bidi="ar-SA"/>
                    </w:rPr>
                    <w:t>项目生产线全部位于密闭车间内，不饱和树脂、促进剂、固化剂通过液体泵和管道直接从原料桶内送入密闭搅拌罐内混合，此过程在密闭环境内进行；项目生产无需用水，因此无生产废水产生。</w:t>
                  </w:r>
                </w:p>
              </w:tc>
              <w:tc>
                <w:tcPr>
                  <w:tcW w:w="459" w:type="pct"/>
                  <w:tcBorders>
                    <w:top w:val="single" w:color="auto" w:sz="12"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2572"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废气收集设施-治理要求。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焦化行业加强焦炉密封性检查，对于变形炉门、炉顶炉盖及时修复更换；加强焦炉工况监督，对焦炉墙串漏及时修缮。制药、农药、涂料、油墨、胶粘剂等间歇性生产工序较多的行业应对进出料、物料输送、搅拌、固液分离、干燥、灌装、取样等过程采取密闭化措施，提升工艺装备水平；含VOCs物料输送原则上采用重力流或泵送方式；有机液体进料鼓励采用底部、浸入管给料方式；固体物料投加逐步推进采用密闭式投料装置。工业涂装行业建设密闭喷漆房，对于大型构件（船舶、钢结构）实施分段涂装，废气进行收集治理；对于确需露天涂装的，应采用符合国家或地方标准要求的低（无）VOCs含量涂料，或使用移动式废气收集治理设施。包装印刷行业的印刷、复合、涂布工序实施密闭化改造，全面采用VOCs质量占比小于10%的原辅材料的除外。</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鼓励石油炼制企业开展冷焦水、切焦水等废气收集治理。使用VOCs质量占比大于等于10%的涂料、油墨、胶粘剂、稀释剂、清洗剂等物料存储、调配、转移、输送等环节应密闭。</w:t>
                  </w:r>
                </w:p>
              </w:tc>
              <w:tc>
                <w:tcPr>
                  <w:tcW w:w="1660"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宋体"/>
                      <w:b w:val="0"/>
                      <w:bCs/>
                      <w:color w:val="auto"/>
                      <w:kern w:val="0"/>
                      <w:sz w:val="21"/>
                      <w:szCs w:val="16"/>
                      <w:vertAlign w:val="baseline"/>
                      <w:lang w:val="en-US" w:eastAsia="zh-CN" w:bidi="ar-SA"/>
                    </w:rPr>
                  </w:pPr>
                  <w:r>
                    <w:rPr>
                      <w:rFonts w:hint="eastAsia" w:ascii="Times New Roman" w:hAnsi="Times New Roman" w:eastAsia="宋体" w:cs="宋体"/>
                      <w:b w:val="0"/>
                      <w:bCs/>
                      <w:color w:val="auto"/>
                      <w:kern w:val="0"/>
                      <w:sz w:val="21"/>
                      <w:szCs w:val="16"/>
                      <w:vertAlign w:val="baseline"/>
                      <w:lang w:val="en-US" w:eastAsia="zh-CN" w:bidi="ar-SA"/>
                    </w:rPr>
                    <w:t>本项目产生VOCs的生产工序为浸胶、缠绕、自然固化，废气经8个半封闭式集气罩+1套活性炭吸附脱附+催化燃烧装置+15m高排气筒（DA002）排放</w:t>
                  </w:r>
                  <w:r>
                    <w:rPr>
                      <w:rFonts w:hint="eastAsia" w:ascii="Times New Roman" w:hAnsi="Times New Roman" w:eastAsia="宋体" w:cs="Times New Roman"/>
                      <w:color w:val="auto"/>
                      <w:sz w:val="21"/>
                      <w:szCs w:val="21"/>
                      <w:lang w:eastAsia="zh-CN"/>
                    </w:rPr>
                    <w:t>；本项目采用的半封闭集气罩符合《排风罩分类及技术条件》（GB/T16758</w:t>
                  </w:r>
                  <w:r>
                    <w:rPr>
                      <w:rFonts w:hint="eastAsia" w:ascii="Times New Roman" w:hAnsi="Times New Roman" w:eastAsia="宋体" w:cs="Times New Roman"/>
                      <w:color w:val="auto"/>
                      <w:sz w:val="21"/>
                      <w:szCs w:val="21"/>
                      <w:lang w:val="en-US" w:eastAsia="zh-CN"/>
                    </w:rPr>
                    <w:t>-2008</w:t>
                  </w:r>
                  <w:r>
                    <w:rPr>
                      <w:rFonts w:hint="eastAsia" w:ascii="Times New Roman" w:hAnsi="Times New Roman" w:eastAsia="宋体" w:cs="Times New Roman"/>
                      <w:color w:val="auto"/>
                      <w:sz w:val="21"/>
                      <w:szCs w:val="21"/>
                      <w:lang w:eastAsia="zh-CN"/>
                    </w:rPr>
                    <w:t>）的要求，并按《局部排风设施控制风速检测与评估技术规范》（AQ/T4274-2016）规定的方法测量控制风速，测量点应选取在距排风罩开口面最远处的VOCs无组织排放位置，控制风速不应低于0.3m/s；项目</w:t>
                  </w:r>
                  <w:r>
                    <w:rPr>
                      <w:rFonts w:hint="eastAsia" w:ascii="Times New Roman" w:hAnsi="Times New Roman" w:eastAsia="宋体" w:cs="宋体"/>
                      <w:b w:val="0"/>
                      <w:bCs/>
                      <w:color w:val="auto"/>
                      <w:kern w:val="0"/>
                      <w:sz w:val="21"/>
                      <w:szCs w:val="16"/>
                      <w:vertAlign w:val="baseline"/>
                      <w:lang w:val="en-US" w:eastAsia="zh-CN" w:bidi="ar-SA"/>
                    </w:rPr>
                    <w:t>不饱和树脂、促进剂、固化剂通过液体泵和管道直接从原料桶内送入密闭搅拌罐内混合</w:t>
                  </w:r>
                  <w:r>
                    <w:rPr>
                      <w:rFonts w:hint="eastAsia" w:ascii="Times New Roman" w:hAnsi="Times New Roman" w:eastAsia="宋体" w:cs="Times New Roman"/>
                      <w:color w:val="auto"/>
                      <w:sz w:val="21"/>
                      <w:szCs w:val="21"/>
                      <w:lang w:val="en-US" w:eastAsia="zh-CN"/>
                    </w:rPr>
                    <w:t>。</w:t>
                  </w:r>
                </w:p>
              </w:tc>
              <w:tc>
                <w:tcPr>
                  <w:tcW w:w="459"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2572"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有机废气治理设施-治理要求。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加强运行维护管理，做到治理设施较生产设备</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先启后停</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/g（BET法）。一次性活性炭吸附工艺宜采用颗粒活性炭作为吸附剂。活性炭、活性炭纤维产品销售时应提供产品质量证明材料。</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采用催化燃烧工艺的企业应使用合格的催化剂并足额添加，催化剂床层的设计空速宜低于40000h</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采用非连续吸脱附治理工艺的，应按设计要求及时解吸吸附的VOCs，解吸气体应保证采用高效处理工艺处理后达标排放。蓄热式燃烧装置（RTO）燃烧温度一般不低于760℃，催化燃烧装置（CO）燃烧温度一般不低于300℃，相关温度参数应自动记录存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有条件的工业园区和企业集群鼓励建设集中涂装中心，分散吸附、集中脱附模式的活性炭集中再生中心，溶剂回收中心等涉VOCs</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绿岛</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项目，实现VOCs集中高效处理。</w:t>
                  </w:r>
                </w:p>
              </w:tc>
              <w:tc>
                <w:tcPr>
                  <w:tcW w:w="1660"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宋体"/>
                      <w:b w:val="0"/>
                      <w:bCs/>
                      <w:color w:val="auto"/>
                      <w:kern w:val="0"/>
                      <w:sz w:val="21"/>
                      <w:szCs w:val="16"/>
                      <w:vertAlign w:val="baseline"/>
                      <w:lang w:val="en-US" w:eastAsia="zh-CN" w:bidi="ar-SA"/>
                    </w:rPr>
                  </w:pPr>
                  <w:r>
                    <w:rPr>
                      <w:rFonts w:hint="eastAsia" w:ascii="Times New Roman" w:hAnsi="Times New Roman" w:eastAsia="宋体" w:cs="宋体"/>
                      <w:b w:val="0"/>
                      <w:bCs/>
                      <w:color w:val="auto"/>
                      <w:kern w:val="0"/>
                      <w:sz w:val="21"/>
                      <w:szCs w:val="16"/>
                      <w:vertAlign w:val="baseline"/>
                      <w:lang w:val="en-US" w:eastAsia="zh-CN" w:bidi="ar-SA"/>
                    </w:rPr>
                    <w:t>根据《催化燃烧法工业有机废气治理工程技术规范》（HJ2027-2013）和《吸附法工业有机废气治理工程技术规范》（HJ2026-2013）：低浓度、大风量废气，宜采用沸石转轮吸附、活性炭吸附、减风增浓等浓缩技术，根据本项目废气低浓度、大风量等特性，本项目有机废气治理设施选用活性炭吸附脱附+催化燃烧装置的处置方式，处理后经15m排气筒排放，可达标排放；本环评已对企业要求VOCs废气收集处理系统应与生产工艺设备同步运行，VOCs废气收集处理系统发生故障或检修时，对应的生产工艺设备应停止运行，待检修完毕后同步投入使用；本环评已对企业要求选择碘值不低于800mg/g的活性炭进行吸附，并按设计要求足量添加、及时更换；本环评已对催化燃烧装置提出以下要求：①催化剂的工作温度应低于700℃，并能承受900℃短时间高温冲击。设计工况下催化剂使用寿命应大于8500h；②废气在燃烧室的停留时间一般不宜低于0.75s，燃烧室燃烧温度一般应高于760℃，相关温度参数应自动储存记录；③应使用合格的催化剂并足额添加，催化燃烧装置的设计空速宜大于10000h</w:t>
                  </w:r>
                  <w:r>
                    <w:rPr>
                      <w:rFonts w:hint="eastAsia" w:ascii="Times New Roman" w:hAnsi="Times New Roman" w:eastAsia="宋体" w:cs="宋体"/>
                      <w:b w:val="0"/>
                      <w:bCs/>
                      <w:color w:val="auto"/>
                      <w:kern w:val="0"/>
                      <w:sz w:val="21"/>
                      <w:szCs w:val="16"/>
                      <w:vertAlign w:val="superscript"/>
                      <w:lang w:val="en-US" w:eastAsia="zh-CN" w:bidi="ar-SA"/>
                    </w:rPr>
                    <w:t>-1</w:t>
                  </w:r>
                  <w:r>
                    <w:rPr>
                      <w:rFonts w:hint="eastAsia" w:ascii="Times New Roman" w:hAnsi="Times New Roman" w:eastAsia="宋体" w:cs="宋体"/>
                      <w:b w:val="0"/>
                      <w:bCs/>
                      <w:color w:val="auto"/>
                      <w:kern w:val="0"/>
                      <w:sz w:val="21"/>
                      <w:szCs w:val="16"/>
                      <w:vertAlign w:val="baseline"/>
                      <w:lang w:val="en-US" w:eastAsia="zh-CN" w:bidi="ar-SA"/>
                    </w:rPr>
                    <w:t>，但不应高于40000h</w:t>
                  </w:r>
                  <w:r>
                    <w:rPr>
                      <w:rFonts w:hint="eastAsia" w:ascii="Times New Roman" w:hAnsi="Times New Roman" w:eastAsia="宋体" w:cs="宋体"/>
                      <w:b w:val="0"/>
                      <w:bCs/>
                      <w:color w:val="auto"/>
                      <w:kern w:val="0"/>
                      <w:sz w:val="21"/>
                      <w:szCs w:val="16"/>
                      <w:vertAlign w:val="superscript"/>
                      <w:lang w:val="en-US" w:eastAsia="zh-CN" w:bidi="ar-SA"/>
                    </w:rPr>
                    <w:t>-1</w:t>
                  </w:r>
                  <w:r>
                    <w:rPr>
                      <w:rFonts w:hint="eastAsia" w:ascii="Times New Roman" w:hAnsi="Times New Roman" w:eastAsia="宋体" w:cs="宋体"/>
                      <w:b w:val="0"/>
                      <w:bCs/>
                      <w:color w:val="auto"/>
                      <w:kern w:val="0"/>
                      <w:sz w:val="21"/>
                      <w:szCs w:val="16"/>
                      <w:vertAlign w:val="baseline"/>
                      <w:lang w:val="en-US" w:eastAsia="zh-CN" w:bidi="ar-SA"/>
                    </w:rPr>
                    <w:t>。</w:t>
                  </w:r>
                </w:p>
              </w:tc>
              <w:tc>
                <w:tcPr>
                  <w:tcW w:w="459"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bl>
          <w:p>
            <w:pPr>
              <w:keepNext w:val="0"/>
              <w:keepLines w:val="0"/>
              <w:widowControl w:val="0"/>
              <w:suppressLineNumbers w:val="0"/>
              <w:spacing w:before="0" w:beforeAutospacing="0" w:after="0" w:afterAutospacing="0" w:line="360" w:lineRule="auto"/>
              <w:ind w:left="0" w:right="0" w:firstLine="480" w:firstLineChars="200"/>
              <w:jc w:val="left"/>
              <w:rPr>
                <w:rFonts w:hint="eastAsia" w:cs="Times New Roman"/>
                <w:b/>
                <w:color w:val="auto"/>
                <w:sz w:val="24"/>
                <w:szCs w:val="24"/>
                <w:lang w:val="en-US" w:eastAsia="zh-CN" w:bidi="ar-SA"/>
              </w:rPr>
            </w:pPr>
            <w:r>
              <w:rPr>
                <w:rFonts w:hint="eastAsia" w:ascii="Times New Roman" w:hAnsi="Times New Roman" w:eastAsia="宋体" w:cs="Times New Roman"/>
                <w:bCs/>
                <w:color w:val="auto"/>
                <w:sz w:val="24"/>
                <w:lang w:val="en-US" w:eastAsia="zh-CN"/>
              </w:rPr>
              <w:t>综上，拟建项目符合《关于加快解决当前挥发性有机物治理突出问题的通知》（环大气〔2021〕65号）附件“挥发性有机物治理突出问题排查整治工作要求”。</w:t>
            </w: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b/>
                <w:color w:val="auto"/>
                <w:sz w:val="24"/>
                <w:szCs w:val="24"/>
                <w:lang w:bidi="ar-SA"/>
              </w:rPr>
            </w:pPr>
            <w:r>
              <w:rPr>
                <w:rFonts w:hint="eastAsia" w:cs="Times New Roman"/>
                <w:b/>
                <w:color w:val="auto"/>
                <w:sz w:val="24"/>
                <w:szCs w:val="24"/>
                <w:lang w:val="en-US" w:eastAsia="zh-CN" w:bidi="ar-SA"/>
              </w:rPr>
              <w:t>7</w:t>
            </w:r>
            <w:r>
              <w:rPr>
                <w:rFonts w:hint="default" w:ascii="Times New Roman" w:hAnsi="Times New Roman" w:eastAsia="宋体" w:cs="Times New Roman"/>
                <w:b/>
                <w:color w:val="auto"/>
                <w:sz w:val="24"/>
                <w:szCs w:val="24"/>
                <w:lang w:bidi="ar-SA"/>
              </w:rPr>
              <w:t>选址合理性分析</w:t>
            </w:r>
          </w:p>
          <w:p>
            <w:pPr>
              <w:widowControl/>
              <w:topLinePunct/>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选址合理性分析</w:t>
            </w:r>
          </w:p>
          <w:p>
            <w:pPr>
              <w:widowControl/>
              <w:topLinePunct/>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val="en-US" w:eastAsia="zh-CN" w:bidi="ar-SA"/>
              </w:rPr>
            </w:pPr>
            <w:r>
              <w:rPr>
                <w:rFonts w:hint="eastAsia" w:ascii="Times New Roman" w:hAnsi="Times New Roman" w:eastAsia="宋体" w:cs="Times New Roman"/>
                <w:color w:val="auto"/>
                <w:sz w:val="24"/>
                <w:highlight w:val="none"/>
                <w:lang w:eastAsia="zh-CN"/>
              </w:rPr>
              <w:t>①</w:t>
            </w:r>
            <w:r>
              <w:rPr>
                <w:rFonts w:hint="eastAsia" w:ascii="Times New Roman" w:hAnsi="Times New Roman" w:eastAsia="宋体" w:cs="Times New Roman"/>
                <w:color w:val="auto"/>
                <w:sz w:val="24"/>
                <w:highlight w:val="none"/>
              </w:rPr>
              <w:t>本项目位于胡杨河经济技术开发区</w:t>
            </w:r>
            <w:r>
              <w:rPr>
                <w:rFonts w:hint="eastAsia" w:ascii="Times New Roman" w:hAnsi="Times New Roman" w:eastAsia="宋体" w:cs="Times New Roman"/>
                <w:color w:val="auto"/>
                <w:sz w:val="24"/>
                <w:szCs w:val="22"/>
                <w:lang w:eastAsia="zh-CN" w:bidi="ar-SA"/>
              </w:rPr>
              <w:t>南园区</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租用园区标准化厂房（31#）</w:t>
            </w:r>
            <w:r>
              <w:rPr>
                <w:color w:val="auto"/>
                <w:kern w:val="0"/>
                <w:sz w:val="24"/>
              </w:rPr>
              <w:t>总</w:t>
            </w:r>
            <w:r>
              <w:rPr>
                <w:rFonts w:hint="eastAsia"/>
                <w:color w:val="auto"/>
                <w:kern w:val="0"/>
                <w:sz w:val="24"/>
                <w:lang w:eastAsia="zh-CN"/>
              </w:rPr>
              <w:t>面积为</w:t>
            </w:r>
            <w:r>
              <w:rPr>
                <w:rFonts w:hint="eastAsia"/>
                <w:color w:val="auto"/>
                <w:kern w:val="0"/>
                <w:sz w:val="24"/>
                <w:lang w:val="en-US" w:eastAsia="zh-CN"/>
              </w:rPr>
              <w:t>5000</w:t>
            </w:r>
            <w:r>
              <w:rPr>
                <w:color w:val="auto"/>
                <w:kern w:val="0"/>
                <w:sz w:val="24"/>
              </w:rPr>
              <w:t>m</w:t>
            </w:r>
            <w:r>
              <w:rPr>
                <w:color w:val="auto"/>
                <w:kern w:val="0"/>
                <w:sz w:val="24"/>
                <w:vertAlign w:val="superscript"/>
              </w:rPr>
              <w:t>2</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szCs w:val="24"/>
                <w:lang w:val="en-US" w:eastAsia="zh-CN" w:bidi="ar-SA"/>
              </w:rPr>
              <w:t>项目厂房</w:t>
            </w:r>
            <w:r>
              <w:rPr>
                <w:rFonts w:hint="eastAsia" w:cs="Times New Roman"/>
                <w:color w:val="auto"/>
                <w:sz w:val="24"/>
                <w:szCs w:val="24"/>
                <w:lang w:val="en-US" w:eastAsia="zh-CN" w:bidi="ar-SA"/>
              </w:rPr>
              <w:t>北侧、南侧、西侧均为园区内部道路，北侧隔路为标准化厂房29#，西侧隔路为标准化厂房30#，南侧隔路为标准化厂房32#，东侧为空地</w:t>
            </w:r>
            <w:r>
              <w:rPr>
                <w:rFonts w:hint="eastAsia" w:ascii="Times New Roman" w:hAnsi="Times New Roman" w:eastAsia="宋体" w:cs="Times New Roman"/>
                <w:color w:val="auto"/>
                <w:sz w:val="24"/>
                <w:highlight w:val="none"/>
              </w:rPr>
              <w:t>。</w:t>
            </w:r>
            <w:r>
              <w:rPr>
                <w:rFonts w:hint="eastAsia"/>
                <w:color w:val="auto"/>
                <w:kern w:val="0"/>
                <w:sz w:val="24"/>
              </w:rPr>
              <w:t>根据《</w:t>
            </w:r>
            <w:r>
              <w:rPr>
                <w:rFonts w:hint="default" w:ascii="Times New Roman" w:hAnsi="Times New Roman" w:eastAsia="宋体" w:cs="Times New Roman"/>
                <w:color w:val="auto"/>
                <w:kern w:val="0"/>
                <w:sz w:val="24"/>
                <w:szCs w:val="24"/>
                <w:lang w:val="en-US" w:eastAsia="zh-CN" w:bidi="ar-SA"/>
              </w:rPr>
              <w:t>胡杨河经济技术开发区总体规划（2021-2035）</w:t>
            </w:r>
            <w:r>
              <w:rPr>
                <w:rFonts w:hint="eastAsia"/>
                <w:color w:val="auto"/>
                <w:kern w:val="0"/>
                <w:sz w:val="24"/>
              </w:rPr>
              <w:t>》，</w:t>
            </w:r>
            <w:r>
              <w:rPr>
                <w:rFonts w:hint="eastAsia" w:ascii="Times New Roman" w:hAnsi="Times New Roman" w:eastAsia="宋体" w:cs="Times New Roman"/>
                <w:color w:val="auto"/>
                <w:sz w:val="24"/>
                <w:szCs w:val="24"/>
                <w:lang w:val="en-US" w:eastAsia="zh-CN" w:bidi="ar-SA"/>
              </w:rPr>
              <w:t>本项目位于创新科技、装备制造、农产品加工、电子元器件产业区，用地性质为二</w:t>
            </w:r>
            <w:r>
              <w:rPr>
                <w:rFonts w:hint="eastAsia"/>
                <w:color w:val="auto"/>
                <w:kern w:val="0"/>
                <w:sz w:val="24"/>
              </w:rPr>
              <w:t>类工业用地</w:t>
            </w:r>
            <w:r>
              <w:rPr>
                <w:rFonts w:hint="eastAsia"/>
                <w:color w:val="auto"/>
                <w:kern w:val="0"/>
                <w:sz w:val="24"/>
                <w:lang w:eastAsia="zh-CN"/>
              </w:rPr>
              <w:t>，项目产业定位和布局规划符合园区规划要求</w:t>
            </w:r>
            <w:r>
              <w:rPr>
                <w:rFonts w:hint="eastAsia" w:ascii="Times New Roman" w:hAnsi="Times New Roman" w:eastAsia="宋体" w:cs="Times New Roman"/>
                <w:b w:val="0"/>
                <w:bCs w:val="0"/>
                <w:color w:val="auto"/>
                <w:sz w:val="24"/>
                <w:highlight w:val="none"/>
                <w:lang w:val="en-US" w:eastAsia="zh-CN" w:bidi="ar-SA"/>
              </w:rPr>
              <w:t>；</w:t>
            </w: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eastAsia="zh-CN"/>
              </w:rPr>
              <w:t>②</w:t>
            </w:r>
            <w:r>
              <w:rPr>
                <w:rFonts w:ascii="Times New Roman" w:hAnsi="Times New Roman" w:cs="Times New Roman"/>
                <w:color w:val="auto"/>
                <w:sz w:val="24"/>
                <w:highlight w:val="none"/>
              </w:rPr>
              <w:t>项目</w:t>
            </w:r>
            <w:r>
              <w:rPr>
                <w:rFonts w:hint="eastAsia" w:ascii="Times New Roman" w:hAnsi="Times New Roman" w:cs="Times New Roman"/>
                <w:color w:val="auto"/>
                <w:sz w:val="24"/>
                <w:highlight w:val="none"/>
                <w:lang w:val="en-US" w:eastAsia="zh-CN"/>
              </w:rPr>
              <w:t>用地范围内</w:t>
            </w:r>
            <w:r>
              <w:rPr>
                <w:rFonts w:ascii="Times New Roman" w:hAnsi="Times New Roman" w:cs="Times New Roman"/>
                <w:color w:val="auto"/>
                <w:sz w:val="24"/>
                <w:highlight w:val="none"/>
              </w:rPr>
              <w:t>不涉及自然保护区、风景名胜、水源保护地、军事基地、文物古迹等敏感目标</w:t>
            </w:r>
            <w:r>
              <w:rPr>
                <w:rFonts w:hint="eastAsia" w:ascii="Times New Roman" w:hAnsi="Times New Roman" w:cs="Times New Roman"/>
                <w:color w:val="auto"/>
                <w:sz w:val="24"/>
                <w:highlight w:val="none"/>
                <w:lang w:eastAsia="zh-CN"/>
              </w:rPr>
              <w:t>；</w:t>
            </w:r>
          </w:p>
          <w:p>
            <w:pPr>
              <w:widowControl/>
              <w:topLinePunct/>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③</w:t>
            </w:r>
            <w:r>
              <w:rPr>
                <w:rFonts w:hint="eastAsia" w:ascii="Times New Roman" w:hAnsi="Times New Roman" w:cs="Times New Roman"/>
                <w:color w:val="auto"/>
                <w:sz w:val="24"/>
                <w:highlight w:val="none"/>
              </w:rPr>
              <w:t>本项目用地不涉及生态红线，符合《第七师胡杨河市</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三线一单</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生态环境分区管控方案》。</w:t>
            </w:r>
          </w:p>
          <w:p>
            <w:pPr>
              <w:widowControl/>
              <w:topLinePunct/>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建设条件分析</w:t>
            </w: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供水：项目区周边可接入园区供水主管道；</w:t>
            </w: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排</w:t>
            </w:r>
            <w:r>
              <w:rPr>
                <w:rFonts w:hint="eastAsia" w:ascii="Times New Roman" w:hAnsi="Times New Roman" w:eastAsia="宋体" w:cs="Times New Roman"/>
                <w:color w:val="auto"/>
                <w:sz w:val="24"/>
                <w:szCs w:val="24"/>
                <w:highlight w:val="none"/>
                <w:lang w:val="en-US" w:eastAsia="zh-CN"/>
              </w:rPr>
              <w:t>水：生活污水排入下水管网，最终进入胡杨河经济技术开发区南园区污水处理厂集中处理，排水水质符合《污水综合排放标准》（GB8978-1996）三级标准，满足污水处理厂进水水质要求。</w:t>
            </w: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供电：供电由园区电网供应，项目区周边可接入电网，满足本项目运行需求；</w:t>
            </w: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供热：</w:t>
            </w:r>
            <w:r>
              <w:rPr>
                <w:rFonts w:hint="default" w:ascii="Times New Roman" w:hAnsi="Times New Roman" w:eastAsia="宋体" w:cs="Times New Roman"/>
                <w:color w:val="auto"/>
                <w:sz w:val="24"/>
                <w:szCs w:val="24"/>
                <w:lang w:bidi="ar-SA"/>
              </w:rPr>
              <w:t>本项目冬季采暖由</w:t>
            </w:r>
            <w:r>
              <w:rPr>
                <w:rFonts w:hint="eastAsia" w:cs="Times New Roman"/>
                <w:color w:val="auto"/>
                <w:sz w:val="24"/>
                <w:szCs w:val="24"/>
                <w:lang w:eastAsia="zh-CN" w:bidi="ar-SA"/>
              </w:rPr>
              <w:t>市政供热管网集中</w:t>
            </w:r>
            <w:r>
              <w:rPr>
                <w:rFonts w:hint="default" w:ascii="Times New Roman" w:hAnsi="Times New Roman" w:eastAsia="宋体" w:cs="Times New Roman"/>
                <w:color w:val="auto"/>
                <w:sz w:val="24"/>
                <w:szCs w:val="24"/>
                <w:lang w:bidi="ar-SA"/>
              </w:rPr>
              <w:t>提供</w:t>
            </w:r>
            <w:r>
              <w:rPr>
                <w:rFonts w:hint="eastAsia" w:ascii="Times New Roman" w:hAnsi="Times New Roman" w:eastAsia="宋体" w:cs="Times New Roman"/>
                <w:color w:val="auto"/>
                <w:sz w:val="24"/>
                <w:highlight w:val="none"/>
                <w:lang w:val="en-US" w:eastAsia="zh-CN"/>
              </w:rPr>
              <w:t>；</w:t>
            </w: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道路：厂区四周紧邻已建成道路，交通便利；</w:t>
            </w: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综上所述，项目区周边</w:t>
            </w:r>
            <w:r>
              <w:rPr>
                <w:rFonts w:hint="eastAsia" w:ascii="Times New Roman" w:hAnsi="Times New Roman" w:eastAsia="宋体" w:cs="Times New Roman"/>
                <w:color w:val="auto"/>
                <w:sz w:val="24"/>
                <w:highlight w:val="none"/>
              </w:rPr>
              <w:t>供水、排水、供电、道路等基础设施基本完善，可满足本项目运行需要。只要该项目严格遵守国家和地方有关的环保法规，做好各项污染防治措施，在污染物达标排放状况下，项目运营期间对周围水环境、大气环境和声环境不会造成大的影响。因此，项目选址合理</w:t>
            </w:r>
            <w:r>
              <w:rPr>
                <w:rFonts w:hint="eastAsia" w:ascii="Times New Roman" w:hAnsi="Times New Roman" w:eastAsia="宋体" w:cs="Times New Roman"/>
                <w:color w:val="auto"/>
                <w:sz w:val="24"/>
                <w:highlight w:val="none"/>
                <w:lang w:eastAsia="zh-CN"/>
              </w:rPr>
              <w:t>。</w:t>
            </w: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rPr>
            </w:pP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rPr>
            </w:pP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rPr>
            </w:pP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rPr>
            </w:pP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rPr>
            </w:pP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rPr>
            </w:pP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rPr>
            </w:pP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rPr>
            </w:pP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rPr>
            </w:pPr>
          </w:p>
          <w:p>
            <w:pPr>
              <w:widowControl/>
              <w:topLinePunct/>
              <w:adjustRightInd w:val="0"/>
              <w:snapToGrid w:val="0"/>
              <w:spacing w:line="360" w:lineRule="auto"/>
              <w:ind w:firstLine="480" w:firstLineChars="200"/>
              <w:rPr>
                <w:rFonts w:hint="eastAsia" w:ascii="Times New Roman" w:hAnsi="Times New Roman" w:eastAsia="宋体" w:cs="Times New Roman"/>
                <w:color w:val="auto"/>
                <w:sz w:val="24"/>
                <w:highlight w:val="none"/>
              </w:rPr>
            </w:pPr>
          </w:p>
          <w:p>
            <w:pPr>
              <w:pStyle w:val="77"/>
              <w:rPr>
                <w:rFonts w:hint="eastAsia" w:ascii="Times New Roman" w:hAnsi="Times New Roman" w:eastAsia="宋体" w:cs="Times New Roman"/>
                <w:color w:val="auto"/>
                <w:sz w:val="24"/>
                <w:highlight w:val="none"/>
              </w:rPr>
            </w:pPr>
          </w:p>
          <w:p>
            <w:pPr>
              <w:rPr>
                <w:rFonts w:hint="eastAsia" w:ascii="Times New Roman" w:hAnsi="Times New Roman" w:eastAsia="宋体" w:cs="Times New Roman"/>
                <w:color w:val="auto"/>
                <w:sz w:val="24"/>
                <w:highlight w:val="none"/>
              </w:rPr>
            </w:pPr>
          </w:p>
          <w:p>
            <w:pPr>
              <w:pStyle w:val="77"/>
              <w:rPr>
                <w:rFonts w:hint="eastAsia" w:ascii="Times New Roman" w:hAnsi="Times New Roman" w:eastAsia="宋体" w:cs="Times New Roman"/>
                <w:color w:val="auto"/>
                <w:sz w:val="24"/>
                <w:highlight w:val="none"/>
              </w:rPr>
            </w:pPr>
          </w:p>
          <w:p>
            <w:pPr>
              <w:rPr>
                <w:rFonts w:hint="eastAsia" w:ascii="Times New Roman" w:hAnsi="Times New Roman" w:eastAsia="宋体" w:cs="Times New Roman"/>
                <w:color w:val="auto"/>
                <w:sz w:val="24"/>
                <w:highlight w:val="none"/>
              </w:rPr>
            </w:pPr>
          </w:p>
          <w:p>
            <w:pPr>
              <w:pStyle w:val="77"/>
              <w:rPr>
                <w:rFonts w:hint="eastAsia" w:ascii="Times New Roman" w:hAnsi="Times New Roman" w:eastAsia="宋体" w:cs="Times New Roman"/>
                <w:color w:val="auto"/>
                <w:sz w:val="24"/>
                <w:highlight w:val="none"/>
              </w:rPr>
            </w:pPr>
          </w:p>
          <w:p>
            <w:pPr>
              <w:rPr>
                <w:rFonts w:hint="eastAsia" w:ascii="Times New Roman" w:hAnsi="Times New Roman" w:eastAsia="宋体" w:cs="Times New Roman"/>
                <w:color w:val="auto"/>
                <w:sz w:val="24"/>
                <w:highlight w:val="none"/>
              </w:rPr>
            </w:pPr>
          </w:p>
          <w:p>
            <w:pPr>
              <w:pStyle w:val="77"/>
              <w:rPr>
                <w:rFonts w:hint="eastAsia" w:ascii="Times New Roman" w:hAnsi="Times New Roman" w:eastAsia="宋体" w:cs="Times New Roman"/>
                <w:color w:val="auto"/>
                <w:sz w:val="24"/>
                <w:highlight w:val="none"/>
              </w:rPr>
            </w:pPr>
          </w:p>
          <w:p>
            <w:pPr>
              <w:rPr>
                <w:rFonts w:hint="eastAsia" w:ascii="Times New Roman" w:hAnsi="Times New Roman" w:eastAsia="宋体" w:cs="Times New Roman"/>
                <w:color w:val="auto"/>
                <w:sz w:val="24"/>
                <w:highlight w:val="none"/>
              </w:rPr>
            </w:pPr>
          </w:p>
          <w:p>
            <w:pPr>
              <w:pStyle w:val="77"/>
              <w:rPr>
                <w:rFonts w:hint="eastAsia" w:ascii="Times New Roman" w:hAnsi="Times New Roman" w:eastAsia="宋体" w:cs="Times New Roman"/>
                <w:color w:val="auto"/>
                <w:sz w:val="24"/>
                <w:highlight w:val="none"/>
              </w:rPr>
            </w:pPr>
          </w:p>
          <w:p>
            <w:pPr>
              <w:rPr>
                <w:rFonts w:hint="eastAsia" w:ascii="Times New Roman" w:hAnsi="Times New Roman" w:eastAsia="宋体" w:cs="Times New Roman"/>
                <w:color w:val="auto"/>
                <w:sz w:val="24"/>
                <w:highlight w:val="none"/>
              </w:rPr>
            </w:pPr>
          </w:p>
          <w:p>
            <w:pPr>
              <w:pStyle w:val="77"/>
              <w:rPr>
                <w:rFonts w:hint="eastAsia" w:ascii="Times New Roman" w:hAnsi="Times New Roman" w:eastAsia="宋体" w:cs="Times New Roman"/>
                <w:color w:val="auto"/>
                <w:sz w:val="24"/>
                <w:highlight w:val="none"/>
              </w:rPr>
            </w:pPr>
          </w:p>
          <w:p>
            <w:pPr>
              <w:rPr>
                <w:rFonts w:hint="eastAsia" w:ascii="Times New Roman" w:hAnsi="Times New Roman" w:eastAsia="宋体" w:cs="Times New Roman"/>
                <w:color w:val="auto"/>
                <w:sz w:val="24"/>
                <w:highlight w:val="none"/>
              </w:rPr>
            </w:pPr>
          </w:p>
          <w:p>
            <w:pPr>
              <w:pStyle w:val="77"/>
              <w:rPr>
                <w:rFonts w:hint="eastAsia" w:ascii="Times New Roman" w:hAnsi="Times New Roman" w:eastAsia="宋体" w:cs="Times New Roman"/>
                <w:color w:val="auto"/>
                <w:sz w:val="24"/>
                <w:highlight w:val="none"/>
              </w:rPr>
            </w:pPr>
          </w:p>
          <w:p>
            <w:pPr>
              <w:rPr>
                <w:rFonts w:hint="eastAsia" w:ascii="Times New Roman" w:hAnsi="Times New Roman" w:eastAsia="宋体" w:cs="Times New Roman"/>
                <w:color w:val="auto"/>
                <w:sz w:val="24"/>
                <w:highlight w:val="none"/>
              </w:rPr>
            </w:pPr>
          </w:p>
          <w:p>
            <w:pPr>
              <w:pStyle w:val="77"/>
              <w:rPr>
                <w:rFonts w:hint="eastAsia" w:ascii="Times New Roman" w:hAnsi="Times New Roman" w:eastAsia="宋体" w:cs="Times New Roman"/>
                <w:color w:val="auto"/>
                <w:sz w:val="24"/>
                <w:highlight w:val="none"/>
              </w:rPr>
            </w:pPr>
          </w:p>
          <w:p>
            <w:pPr>
              <w:rPr>
                <w:rFonts w:hint="eastAsia" w:ascii="Times New Roman" w:hAnsi="Times New Roman" w:eastAsia="宋体" w:cs="Times New Roman"/>
                <w:color w:val="auto"/>
                <w:sz w:val="24"/>
                <w:highlight w:val="none"/>
              </w:rPr>
            </w:pPr>
          </w:p>
          <w:p>
            <w:pPr>
              <w:autoSpaceDE w:val="0"/>
              <w:autoSpaceDN w:val="0"/>
              <w:adjustRightInd w:val="0"/>
              <w:snapToGrid w:val="0"/>
              <w:spacing w:line="360" w:lineRule="auto"/>
              <w:jc w:val="both"/>
              <w:rPr>
                <w:rFonts w:hint="default" w:ascii="Times New Roman" w:hAnsi="Times New Roman" w:eastAsia="宋体" w:cs="Times New Roman"/>
                <w:color w:val="auto"/>
                <w:sz w:val="24"/>
                <w:szCs w:val="24"/>
                <w:lang w:val="en-US" w:eastAsia="zh-CN" w:bidi="ar-SA"/>
              </w:rPr>
            </w:pPr>
          </w:p>
        </w:tc>
      </w:tr>
    </w:tbl>
    <w:p>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spacing w:line="360" w:lineRule="auto"/>
        <w:jc w:val="center"/>
        <w:outlineLvl w:val="0"/>
        <w:rPr>
          <w:rFonts w:hint="eastAsia" w:ascii="黑体" w:eastAsia="黑体" w:cs="黑体"/>
          <w:color w:val="auto"/>
          <w:sz w:val="30"/>
          <w:szCs w:val="30"/>
          <w:lang w:bidi="ar-SA"/>
        </w:rPr>
      </w:pPr>
      <w:r>
        <w:rPr>
          <w:rFonts w:hint="eastAsia" w:ascii="黑体" w:eastAsia="黑体" w:cs="黑体"/>
          <w:color w:val="auto"/>
          <w:sz w:val="30"/>
          <w:szCs w:val="30"/>
          <w:lang w:bidi="ar-SA"/>
        </w:rPr>
        <w:t>二、建设项目工程分析</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1"/>
        <w:gridCol w:w="85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8" w:hRule="atLeast"/>
          <w:jc w:val="center"/>
        </w:trPr>
        <w:tc>
          <w:tcPr>
            <w:tcW w:w="461" w:type="dxa"/>
            <w:noWrap w:val="0"/>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建设内容</w:t>
            </w:r>
          </w:p>
        </w:tc>
        <w:tc>
          <w:tcPr>
            <w:tcW w:w="8530" w:type="dxa"/>
            <w:noWrap w:val="0"/>
            <w:vAlign w:val="top"/>
          </w:tcPr>
          <w:p>
            <w:pPr>
              <w:adjustRightInd w:val="0"/>
              <w:snapToGrid w:val="0"/>
              <w:spacing w:line="360" w:lineRule="auto"/>
              <w:jc w:val="both"/>
              <w:rPr>
                <w:rFonts w:hint="default" w:ascii="Times New Roman" w:hAnsi="Times New Roman" w:eastAsia="宋体" w:cs="Times New Roman"/>
                <w:b/>
                <w:bCs/>
                <w:color w:val="auto"/>
                <w:sz w:val="24"/>
                <w:szCs w:val="24"/>
                <w:lang w:val="en-US" w:eastAsia="zh-CN" w:bidi="ar-SA"/>
              </w:rPr>
            </w:pPr>
            <w:r>
              <w:rPr>
                <w:rFonts w:hint="eastAsia" w:cs="Times New Roman"/>
                <w:b/>
                <w:color w:val="auto"/>
                <w:sz w:val="24"/>
                <w:szCs w:val="24"/>
                <w:lang w:val="en-US" w:eastAsia="zh-CN" w:bidi="ar-SA"/>
              </w:rPr>
              <w:t>1</w:t>
            </w:r>
            <w:r>
              <w:rPr>
                <w:rFonts w:hint="default" w:ascii="Times New Roman" w:hAnsi="Times New Roman" w:eastAsia="宋体" w:cs="Times New Roman"/>
                <w:b/>
                <w:bCs/>
                <w:color w:val="auto"/>
                <w:sz w:val="24"/>
                <w:szCs w:val="24"/>
                <w:lang w:val="en-US" w:eastAsia="zh-CN" w:bidi="ar-SA"/>
              </w:rPr>
              <w:t>项目背景</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胡杨河恒誉复合材料有限公司成立于</w:t>
            </w:r>
            <w:r>
              <w:rPr>
                <w:rFonts w:hint="eastAsia" w:ascii="Times New Roman" w:hAnsi="Times New Roman" w:eastAsia="宋体" w:cs="Times New Roman"/>
                <w:color w:val="auto"/>
                <w:sz w:val="24"/>
                <w:szCs w:val="24"/>
                <w:lang w:val="en-US" w:eastAsia="zh-CN" w:bidi="ar-SA"/>
              </w:rPr>
              <w:t>2023</w:t>
            </w:r>
            <w:r>
              <w:rPr>
                <w:rFonts w:hint="default" w:ascii="Times New Roman" w:hAnsi="Times New Roman" w:eastAsia="宋体" w:cs="Times New Roman"/>
                <w:color w:val="auto"/>
                <w:sz w:val="24"/>
                <w:szCs w:val="24"/>
                <w:lang w:val="en-US" w:eastAsia="zh-CN" w:bidi="ar-SA"/>
              </w:rPr>
              <w:t>年</w:t>
            </w:r>
            <w:r>
              <w:rPr>
                <w:rFonts w:hint="eastAsia" w:ascii="Times New Roman" w:hAnsi="Times New Roman" w:eastAsia="宋体" w:cs="Times New Roman"/>
                <w:color w:val="auto"/>
                <w:sz w:val="24"/>
                <w:szCs w:val="24"/>
                <w:lang w:val="en-US" w:eastAsia="zh-CN" w:bidi="ar-SA"/>
              </w:rPr>
              <w:t>09</w:t>
            </w:r>
            <w:r>
              <w:rPr>
                <w:rFonts w:hint="default" w:ascii="Times New Roman" w:hAnsi="Times New Roman" w:eastAsia="宋体" w:cs="Times New Roman"/>
                <w:color w:val="auto"/>
                <w:sz w:val="24"/>
                <w:szCs w:val="24"/>
                <w:lang w:val="en-US" w:eastAsia="zh-CN" w:bidi="ar-SA"/>
              </w:rPr>
              <w:t>月</w:t>
            </w:r>
            <w:r>
              <w:rPr>
                <w:rFonts w:hint="eastAsia" w:ascii="Times New Roman" w:hAnsi="Times New Roman" w:eastAsia="宋体" w:cs="Times New Roman"/>
                <w:color w:val="auto"/>
                <w:sz w:val="24"/>
                <w:szCs w:val="24"/>
                <w:lang w:val="en-US" w:eastAsia="zh-CN" w:bidi="ar-SA"/>
              </w:rPr>
              <w:t>19</w:t>
            </w:r>
            <w:r>
              <w:rPr>
                <w:rFonts w:hint="default" w:ascii="Times New Roman" w:hAnsi="Times New Roman" w:eastAsia="宋体" w:cs="Times New Roman"/>
                <w:color w:val="auto"/>
                <w:sz w:val="24"/>
                <w:szCs w:val="24"/>
                <w:lang w:val="en-US" w:eastAsia="zh-CN" w:bidi="ar-SA"/>
              </w:rPr>
              <w:t>日，主要经营范围玻璃纤维增强塑料制品制造</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玻璃纤维增强塑料制品销售</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塑料包装箱及容器制造</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高性能纤维及复合材料制造</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生态环境材料制造</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新材料技术研发</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环境保护专用设备制造，燃煤烟气脱硫脱硝装备制造</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除尘技术装备制造</w:t>
            </w:r>
            <w:r>
              <w:rPr>
                <w:rFonts w:hint="eastAsia" w:ascii="Times New Roman" w:hAnsi="Times New Roman" w:eastAsia="宋体" w:cs="Times New Roman"/>
                <w:color w:val="auto"/>
                <w:sz w:val="24"/>
                <w:szCs w:val="24"/>
                <w:lang w:val="en-US" w:eastAsia="zh-CN" w:bidi="ar-SA"/>
              </w:rPr>
              <w:t>等</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为了满足市场要求</w:t>
            </w:r>
            <w:r>
              <w:rPr>
                <w:rFonts w:hint="default" w:ascii="Times New Roman" w:hAnsi="Times New Roman" w:eastAsia="宋体" w:cs="Times New Roman"/>
                <w:color w:val="auto"/>
                <w:sz w:val="24"/>
                <w:szCs w:val="24"/>
                <w:lang w:val="en-US" w:eastAsia="zh-CN" w:bidi="ar-SA"/>
              </w:rPr>
              <w:t>，胡杨河恒誉复合材料有限公司</w:t>
            </w:r>
            <w:r>
              <w:rPr>
                <w:rFonts w:hint="eastAsia" w:ascii="Times New Roman" w:hAnsi="Times New Roman" w:eastAsia="宋体" w:cs="Times New Roman"/>
                <w:color w:val="auto"/>
                <w:sz w:val="24"/>
                <w:szCs w:val="24"/>
                <w:lang w:val="en-US" w:eastAsia="zh-CN" w:bidi="ar-SA"/>
              </w:rPr>
              <w:t>拟投资3000万元</w:t>
            </w:r>
            <w:r>
              <w:rPr>
                <w:rFonts w:hint="default" w:ascii="Times New Roman" w:hAnsi="Times New Roman" w:eastAsia="宋体" w:cs="Times New Roman"/>
                <w:color w:val="auto"/>
                <w:spacing w:val="6"/>
                <w:sz w:val="24"/>
                <w:szCs w:val="24"/>
              </w:rPr>
              <w:t>租</w:t>
            </w:r>
            <w:r>
              <w:rPr>
                <w:rFonts w:hint="default" w:ascii="Times New Roman" w:hAnsi="Times New Roman" w:eastAsia="宋体" w:cs="Times New Roman"/>
                <w:color w:val="auto"/>
                <w:spacing w:val="6"/>
                <w:sz w:val="24"/>
                <w:szCs w:val="24"/>
                <w:lang w:eastAsia="zh-CN"/>
              </w:rPr>
              <w:t>用胡杨河经济技术开发区</w:t>
            </w:r>
            <w:r>
              <w:rPr>
                <w:rFonts w:hint="eastAsia" w:ascii="Times New Roman" w:hAnsi="Times New Roman" w:eastAsia="宋体" w:cs="Times New Roman"/>
                <w:color w:val="auto"/>
                <w:spacing w:val="6"/>
                <w:sz w:val="24"/>
                <w:szCs w:val="24"/>
                <w:lang w:eastAsia="zh-CN"/>
              </w:rPr>
              <w:t>南园区</w:t>
            </w:r>
            <w:r>
              <w:rPr>
                <w:rFonts w:hint="eastAsia" w:ascii="Times New Roman" w:hAnsi="Times New Roman" w:eastAsia="宋体" w:cs="Times New Roman"/>
                <w:color w:val="auto"/>
                <w:spacing w:val="6"/>
                <w:sz w:val="24"/>
                <w:szCs w:val="24"/>
                <w:lang w:val="en-US" w:eastAsia="zh-CN"/>
              </w:rPr>
              <w:t>31#厂房（租用面积5000m</w:t>
            </w:r>
            <w:r>
              <w:rPr>
                <w:rFonts w:hint="eastAsia" w:ascii="Times New Roman" w:hAnsi="Times New Roman" w:eastAsia="宋体" w:cs="Times New Roman"/>
                <w:color w:val="auto"/>
                <w:spacing w:val="6"/>
                <w:sz w:val="24"/>
                <w:szCs w:val="24"/>
                <w:vertAlign w:val="superscript"/>
                <w:lang w:val="en-US" w:eastAsia="zh-CN"/>
              </w:rPr>
              <w:t>2</w:t>
            </w:r>
            <w:r>
              <w:rPr>
                <w:rFonts w:hint="eastAsia" w:ascii="Times New Roman" w:hAnsi="Times New Roman" w:eastAsia="宋体" w:cs="Times New Roman"/>
                <w:color w:val="auto"/>
                <w:spacing w:val="6"/>
                <w:sz w:val="24"/>
                <w:szCs w:val="24"/>
                <w:lang w:val="en-US" w:eastAsia="zh-CN"/>
              </w:rPr>
              <w:t>）</w:t>
            </w:r>
            <w:r>
              <w:rPr>
                <w:rFonts w:hint="eastAsia" w:ascii="Times New Roman" w:hAnsi="Times New Roman" w:eastAsia="宋体" w:cs="Times New Roman"/>
                <w:color w:val="auto"/>
                <w:sz w:val="24"/>
                <w:szCs w:val="24"/>
                <w:lang w:val="en-US" w:eastAsia="zh-CN" w:bidi="ar-SA"/>
              </w:rPr>
              <w:t>建设“胡杨河恒誉复合材料有限公司复合材料装备制造研发生产项目”，目前该厂房为闲置标准化厂房。</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根据《中华人民共和国环境影响评价法》、国务院682号令《建设项目环境保护管理条例》，该建设项目应进行环境影响评价。根据《建设项目环境影响评价分类管理名录》（2021.1.1起施行）的有关规定，本项目属于</w:t>
            </w:r>
            <w:r>
              <w:rPr>
                <w:rFonts w:hint="eastAsia" w:ascii="Times New Roman" w:hAnsi="Times New Roman" w:eastAsia="宋体" w:cs="Times New Roman"/>
                <w:color w:val="auto"/>
                <w:sz w:val="24"/>
                <w:szCs w:val="24"/>
                <w:lang w:val="en-US" w:eastAsia="zh-CN" w:bidi="ar-SA"/>
              </w:rPr>
              <w:t>“二十七</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非金属矿物制品业30”</w:t>
            </w:r>
            <w:r>
              <w:rPr>
                <w:rFonts w:hint="default" w:ascii="Times New Roman" w:hAnsi="Times New Roman" w:eastAsia="宋体" w:cs="Times New Roman"/>
                <w:color w:val="auto"/>
                <w:sz w:val="24"/>
                <w:szCs w:val="24"/>
                <w:lang w:val="en-US" w:eastAsia="zh-CN" w:bidi="ar-SA"/>
              </w:rPr>
              <w:t>第</w:t>
            </w:r>
            <w:r>
              <w:rPr>
                <w:rFonts w:hint="eastAsia" w:ascii="Times New Roman" w:hAnsi="Times New Roman" w:eastAsia="宋体" w:cs="Times New Roman"/>
                <w:color w:val="auto"/>
                <w:sz w:val="24"/>
                <w:szCs w:val="24"/>
                <w:lang w:val="en-US" w:eastAsia="zh-CN" w:bidi="ar-SA"/>
              </w:rPr>
              <w:t>58</w:t>
            </w:r>
            <w:r>
              <w:rPr>
                <w:rFonts w:hint="default" w:ascii="Times New Roman" w:hAnsi="Times New Roman" w:eastAsia="宋体" w:cs="Times New Roman"/>
                <w:color w:val="auto"/>
                <w:sz w:val="24"/>
                <w:szCs w:val="24"/>
                <w:lang w:val="en-US" w:eastAsia="zh-CN" w:bidi="ar-SA"/>
              </w:rPr>
              <w:t>项</w:t>
            </w:r>
            <w:r>
              <w:rPr>
                <w:rFonts w:hint="eastAsia"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rPr>
              <w:t>玻璃纤维和玻璃纤维增强塑料制品制造306</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中的</w:t>
            </w:r>
            <w:r>
              <w:rPr>
                <w:rFonts w:hint="eastAsia" w:ascii="Times New Roman" w:hAnsi="Times New Roman" w:eastAsia="宋体" w:cs="Times New Roman"/>
                <w:color w:val="auto"/>
                <w:sz w:val="24"/>
                <w:szCs w:val="24"/>
                <w:lang w:val="en-US" w:eastAsia="zh-CN" w:bidi="ar-SA"/>
              </w:rPr>
              <w:t>“全部”</w:t>
            </w:r>
            <w:r>
              <w:rPr>
                <w:rFonts w:hint="default" w:ascii="Times New Roman" w:hAnsi="Times New Roman" w:eastAsia="宋体" w:cs="Times New Roman"/>
                <w:color w:val="auto"/>
                <w:sz w:val="24"/>
                <w:szCs w:val="24"/>
                <w:lang w:val="en-US" w:eastAsia="zh-CN" w:bidi="ar-SA"/>
              </w:rPr>
              <w:t>，需编制环境影响报告表。为此，受胡杨河恒誉复合材料有限公司的委托，我单位承担此项目的环境影响评价工作。在接受委托后，我单位即派有关人员对该项目进行实地踏勘和资料收集，在听取该项目主管环保部门的意见后，按有关环评技术规范相关规定，编制完成该项目环境影响评价报告表。</w:t>
            </w:r>
          </w:p>
          <w:p>
            <w:pPr>
              <w:spacing w:line="360" w:lineRule="auto"/>
              <w:rPr>
                <w:rFonts w:hint="default" w:ascii="Times New Roman" w:hAnsi="Times New Roman" w:eastAsia="宋体" w:cs="Times New Roman"/>
                <w:b/>
                <w:color w:val="auto"/>
                <w:sz w:val="24"/>
                <w:szCs w:val="24"/>
                <w:lang w:bidi="ar-SA"/>
              </w:rPr>
            </w:pPr>
            <w:r>
              <w:rPr>
                <w:rFonts w:hint="eastAsia" w:cs="Times New Roman"/>
                <w:b/>
                <w:color w:val="auto"/>
                <w:sz w:val="24"/>
                <w:szCs w:val="24"/>
                <w:lang w:val="en-US" w:eastAsia="zh-CN" w:bidi="ar-SA"/>
              </w:rPr>
              <w:t>2</w:t>
            </w:r>
            <w:r>
              <w:rPr>
                <w:rFonts w:hint="default" w:ascii="Times New Roman" w:hAnsi="Times New Roman" w:eastAsia="宋体" w:cs="Times New Roman"/>
                <w:b/>
                <w:color w:val="auto"/>
                <w:sz w:val="24"/>
                <w:szCs w:val="24"/>
                <w:lang w:bidi="ar-SA"/>
              </w:rPr>
              <w:t>工程概况</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bidi="ar-SA"/>
              </w:rPr>
              <w:t>项目名称：</w:t>
            </w:r>
            <w:bookmarkStart w:id="2" w:name="OLE_LINK1"/>
            <w:r>
              <w:rPr>
                <w:rFonts w:hint="default" w:ascii="Times New Roman" w:hAnsi="Times New Roman" w:eastAsia="宋体" w:cs="Times New Roman"/>
                <w:color w:val="auto"/>
                <w:sz w:val="24"/>
                <w:szCs w:val="24"/>
                <w:lang w:bidi="ar-SA"/>
              </w:rPr>
              <w:t>胡杨河恒誉复合材料有限公司复合材料装备制造研发生产项目</w:t>
            </w:r>
            <w:r>
              <w:rPr>
                <w:rFonts w:hint="default" w:ascii="Times New Roman" w:hAnsi="Times New Roman" w:eastAsia="宋体" w:cs="Times New Roman"/>
                <w:color w:val="auto"/>
                <w:sz w:val="24"/>
                <w:szCs w:val="24"/>
                <w:lang w:eastAsia="zh-CN" w:bidi="ar-SA"/>
              </w:rPr>
              <w:t>。</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建设性质</w:t>
            </w:r>
            <w:bookmarkEnd w:id="2"/>
            <w:r>
              <w:rPr>
                <w:rFonts w:hint="default" w:ascii="Times New Roman" w:hAnsi="Times New Roman" w:eastAsia="宋体" w:cs="Times New Roman"/>
                <w:color w:val="auto"/>
                <w:sz w:val="24"/>
                <w:szCs w:val="24"/>
                <w:lang w:bidi="ar-SA"/>
              </w:rPr>
              <w:t>：</w:t>
            </w:r>
            <w:r>
              <w:rPr>
                <w:rFonts w:hint="eastAsia" w:cs="Times New Roman"/>
                <w:color w:val="auto"/>
                <w:sz w:val="24"/>
                <w:szCs w:val="24"/>
                <w:lang w:val="en-US" w:eastAsia="zh-CN" w:bidi="ar-SA"/>
              </w:rPr>
              <w:t>新建</w:t>
            </w:r>
            <w:r>
              <w:rPr>
                <w:rFonts w:hint="default" w:ascii="Times New Roman" w:hAnsi="Times New Roman" w:eastAsia="宋体" w:cs="Times New Roman"/>
                <w:color w:val="auto"/>
                <w:sz w:val="24"/>
                <w:szCs w:val="24"/>
                <w:lang w:bidi="ar-SA"/>
              </w:rPr>
              <w:t>项目。</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建设地点：</w:t>
            </w:r>
            <w:r>
              <w:rPr>
                <w:rFonts w:hint="default" w:ascii="Times New Roman" w:hAnsi="Times New Roman" w:eastAsia="宋体" w:cs="Times New Roman"/>
                <w:color w:val="auto"/>
                <w:sz w:val="24"/>
                <w:szCs w:val="24"/>
                <w:lang w:val="en-US" w:eastAsia="zh-CN" w:bidi="ar-SA"/>
              </w:rPr>
              <w:t>胡杨河经济技术开发区</w:t>
            </w:r>
            <w:r>
              <w:rPr>
                <w:rFonts w:hint="eastAsia" w:ascii="Times New Roman" w:hAnsi="Times New Roman" w:eastAsia="宋体" w:cs="Times New Roman"/>
                <w:color w:val="auto"/>
                <w:spacing w:val="6"/>
                <w:sz w:val="24"/>
                <w:szCs w:val="24"/>
                <w:lang w:eastAsia="zh-CN"/>
              </w:rPr>
              <w:t>南园区</w:t>
            </w:r>
            <w:r>
              <w:rPr>
                <w:rFonts w:hint="eastAsia" w:ascii="Times New Roman" w:hAnsi="Times New Roman" w:eastAsia="宋体" w:cs="Times New Roman"/>
                <w:color w:val="auto"/>
                <w:spacing w:val="6"/>
                <w:sz w:val="24"/>
                <w:szCs w:val="24"/>
                <w:lang w:val="en-US" w:eastAsia="zh-CN"/>
              </w:rPr>
              <w:t>31#厂房</w:t>
            </w:r>
            <w:r>
              <w:rPr>
                <w:rFonts w:hint="default" w:ascii="Times New Roman" w:hAnsi="Times New Roman" w:eastAsia="宋体" w:cs="Times New Roman"/>
                <w:color w:val="auto"/>
                <w:sz w:val="24"/>
                <w:szCs w:val="24"/>
                <w:lang w:bidi="ar-SA"/>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总投资：</w:t>
            </w:r>
            <w:r>
              <w:rPr>
                <w:rFonts w:hint="eastAsia" w:cs="Times New Roman"/>
                <w:color w:val="auto"/>
                <w:sz w:val="24"/>
                <w:szCs w:val="24"/>
                <w:lang w:val="en-US" w:eastAsia="zh-CN" w:bidi="ar-SA"/>
              </w:rPr>
              <w:t>3000</w:t>
            </w:r>
            <w:r>
              <w:rPr>
                <w:rFonts w:hint="default" w:ascii="Times New Roman" w:hAnsi="Times New Roman" w:eastAsia="宋体" w:cs="Times New Roman"/>
                <w:color w:val="auto"/>
                <w:sz w:val="24"/>
                <w:szCs w:val="24"/>
                <w:lang w:val="en-US" w:eastAsia="zh-CN" w:bidi="ar-SA"/>
              </w:rPr>
              <w:t>万元。</w:t>
            </w:r>
          </w:p>
          <w:p>
            <w:pPr>
              <w:spacing w:line="360" w:lineRule="auto"/>
              <w:rPr>
                <w:rFonts w:hint="default" w:ascii="Times New Roman" w:hAnsi="Times New Roman" w:eastAsia="宋体" w:cs="Times New Roman"/>
                <w:b/>
                <w:color w:val="auto"/>
                <w:sz w:val="24"/>
                <w:szCs w:val="24"/>
                <w:lang w:bidi="ar-SA"/>
              </w:rPr>
            </w:pPr>
            <w:r>
              <w:rPr>
                <w:rFonts w:hint="default" w:ascii="Times New Roman" w:hAnsi="Times New Roman" w:eastAsia="宋体" w:cs="Times New Roman"/>
                <w:b/>
                <w:color w:val="auto"/>
                <w:sz w:val="24"/>
                <w:szCs w:val="24"/>
                <w:lang w:val="en-US" w:eastAsia="zh-CN" w:bidi="ar-SA"/>
              </w:rPr>
              <w:t>2.1</w:t>
            </w:r>
            <w:r>
              <w:rPr>
                <w:rFonts w:hint="default" w:ascii="Times New Roman" w:hAnsi="Times New Roman" w:eastAsia="宋体" w:cs="Times New Roman"/>
                <w:b/>
                <w:color w:val="auto"/>
                <w:sz w:val="24"/>
                <w:szCs w:val="24"/>
                <w:lang w:bidi="ar-SA"/>
              </w:rPr>
              <w:t>建设地点及周边环境概况</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本</w:t>
            </w:r>
            <w:r>
              <w:rPr>
                <w:rFonts w:hint="default" w:ascii="Times New Roman" w:hAnsi="Times New Roman" w:eastAsia="宋体" w:cs="Times New Roman"/>
                <w:color w:val="auto"/>
                <w:sz w:val="24"/>
                <w:szCs w:val="24"/>
                <w:lang w:val="en-US" w:eastAsia="zh-CN" w:bidi="ar-SA"/>
              </w:rPr>
              <w:t>项目位于胡杨河经济技术开发区</w:t>
            </w:r>
            <w:r>
              <w:rPr>
                <w:rFonts w:hint="eastAsia" w:ascii="Times New Roman" w:hAnsi="Times New Roman" w:eastAsia="宋体" w:cs="Times New Roman"/>
                <w:color w:val="auto"/>
                <w:spacing w:val="6"/>
                <w:sz w:val="24"/>
                <w:szCs w:val="24"/>
                <w:lang w:eastAsia="zh-CN"/>
              </w:rPr>
              <w:t>南园区</w:t>
            </w:r>
            <w:r>
              <w:rPr>
                <w:rFonts w:hint="eastAsia" w:ascii="Times New Roman" w:hAnsi="Times New Roman" w:eastAsia="宋体" w:cs="Times New Roman"/>
                <w:color w:val="auto"/>
                <w:spacing w:val="6"/>
                <w:sz w:val="24"/>
                <w:szCs w:val="24"/>
                <w:lang w:val="en-US" w:eastAsia="zh-CN"/>
              </w:rPr>
              <w:t>31#厂房</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项目</w:t>
            </w:r>
            <w:r>
              <w:rPr>
                <w:rFonts w:hint="default" w:ascii="Times New Roman" w:hAnsi="Times New Roman" w:eastAsia="宋体" w:cs="Times New Roman"/>
                <w:color w:val="auto"/>
                <w:sz w:val="24"/>
                <w:szCs w:val="24"/>
                <w:lang w:val="en-US" w:eastAsia="zh-CN" w:bidi="ar-SA"/>
              </w:rPr>
              <w:t>中心地理位置为：N</w:t>
            </w:r>
            <w:r>
              <w:rPr>
                <w:rFonts w:hint="eastAsia" w:ascii="Times New Roman" w:hAnsi="Times New Roman" w:eastAsia="宋体" w:cs="Times New Roman"/>
                <w:color w:val="auto"/>
                <w:sz w:val="24"/>
                <w:szCs w:val="24"/>
                <w:lang w:val="en-US" w:eastAsia="zh-CN" w:bidi="ar-SA"/>
              </w:rPr>
              <w:t>44</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43</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59.738</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84</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56</w:t>
            </w:r>
            <w:r>
              <w:rPr>
                <w:rFonts w:hint="default" w:ascii="Times New Roman" w:hAnsi="Times New Roman" w:eastAsia="宋体" w:cs="Times New Roman"/>
                <w:color w:val="auto"/>
                <w:sz w:val="24"/>
                <w:szCs w:val="24"/>
                <w:lang w:val="en-US" w:eastAsia="zh-CN" w:bidi="ar-SA"/>
              </w:rPr>
              <w:t>′</w:t>
            </w:r>
            <w:r>
              <w:rPr>
                <w:rFonts w:hint="eastAsia" w:cs="Times New Roman"/>
                <w:color w:val="auto"/>
                <w:sz w:val="24"/>
                <w:szCs w:val="24"/>
                <w:lang w:val="en-US" w:eastAsia="zh-CN" w:bidi="ar-SA"/>
              </w:rPr>
              <w:t>15.688</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项目厂房</w:t>
            </w:r>
            <w:r>
              <w:rPr>
                <w:rFonts w:hint="eastAsia" w:cs="Times New Roman"/>
                <w:color w:val="auto"/>
                <w:sz w:val="24"/>
                <w:szCs w:val="24"/>
                <w:lang w:val="en-US" w:eastAsia="zh-CN" w:bidi="ar-SA"/>
              </w:rPr>
              <w:t>北侧、南侧、西侧均为产业园内部道路，北侧隔路为标准化厂房29#，西侧隔路为标准化厂房30#，南侧隔路为标准化厂房32#，东侧为空地</w:t>
            </w:r>
            <w:r>
              <w:rPr>
                <w:rFonts w:hint="default" w:ascii="Times New Roman" w:hAnsi="Times New Roman" w:eastAsia="宋体" w:cs="Times New Roman"/>
                <w:color w:val="auto"/>
                <w:sz w:val="24"/>
                <w:szCs w:val="24"/>
                <w:lang w:val="en-US" w:eastAsia="zh-CN" w:bidi="ar-SA"/>
              </w:rPr>
              <w:t>。项目地理位置示意见附图2-1，项目区周边环境关系见附图2-2。</w:t>
            </w:r>
          </w:p>
          <w:p>
            <w:pPr>
              <w:spacing w:line="360" w:lineRule="auto"/>
              <w:rPr>
                <w:rFonts w:hint="default" w:ascii="Times New Roman" w:hAnsi="Times New Roman" w:eastAsia="宋体" w:cs="Times New Roman"/>
                <w:b/>
                <w:color w:val="auto"/>
                <w:sz w:val="24"/>
                <w:szCs w:val="24"/>
                <w:lang w:val="en-US" w:eastAsia="zh-CN" w:bidi="ar-SA"/>
              </w:rPr>
            </w:pPr>
            <w:r>
              <w:rPr>
                <w:rFonts w:hint="default" w:ascii="Times New Roman" w:hAnsi="Times New Roman" w:eastAsia="宋体" w:cs="Times New Roman"/>
                <w:b/>
                <w:color w:val="auto"/>
                <w:sz w:val="24"/>
                <w:szCs w:val="24"/>
                <w:lang w:val="en-US" w:eastAsia="zh-CN" w:bidi="ar-SA"/>
              </w:rPr>
              <w:t>2.2建设内容及建设规模</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本</w:t>
            </w:r>
            <w:r>
              <w:rPr>
                <w:rFonts w:hint="default" w:ascii="Times New Roman" w:hAnsi="Times New Roman" w:eastAsia="宋体" w:cs="Times New Roman"/>
                <w:color w:val="auto"/>
                <w:sz w:val="24"/>
                <w:szCs w:val="24"/>
                <w:lang w:val="en-US" w:eastAsia="zh-CN" w:bidi="ar-SA"/>
              </w:rPr>
              <w:t>项目位于胡杨河经济技术开发区</w:t>
            </w:r>
            <w:r>
              <w:rPr>
                <w:rFonts w:hint="eastAsia" w:ascii="Times New Roman" w:hAnsi="Times New Roman" w:eastAsia="宋体" w:cs="Times New Roman"/>
                <w:color w:val="auto"/>
                <w:sz w:val="24"/>
                <w:szCs w:val="24"/>
                <w:lang w:val="en-US" w:eastAsia="zh-CN" w:bidi="ar-SA"/>
              </w:rPr>
              <w:t>南园区31#厂房</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租用园区标准化厂房</w:t>
            </w:r>
            <w:r>
              <w:rPr>
                <w:color w:val="auto"/>
                <w:kern w:val="0"/>
                <w:sz w:val="24"/>
              </w:rPr>
              <w:t>总</w:t>
            </w:r>
            <w:r>
              <w:rPr>
                <w:rFonts w:hint="eastAsia"/>
                <w:color w:val="auto"/>
                <w:kern w:val="0"/>
                <w:sz w:val="24"/>
                <w:lang w:eastAsia="zh-CN"/>
              </w:rPr>
              <w:t>面积为</w:t>
            </w:r>
            <w:r>
              <w:rPr>
                <w:rFonts w:hint="eastAsia"/>
                <w:color w:val="auto"/>
                <w:kern w:val="0"/>
                <w:sz w:val="24"/>
                <w:lang w:val="en-US" w:eastAsia="zh-CN"/>
              </w:rPr>
              <w:t>5000</w:t>
            </w:r>
            <w:r>
              <w:rPr>
                <w:color w:val="auto"/>
                <w:kern w:val="0"/>
                <w:sz w:val="24"/>
              </w:rPr>
              <w:t>m</w:t>
            </w:r>
            <w:r>
              <w:rPr>
                <w:color w:val="auto"/>
                <w:kern w:val="0"/>
                <w:sz w:val="24"/>
                <w:vertAlign w:val="superscript"/>
              </w:rPr>
              <w:t>2</w:t>
            </w:r>
            <w:r>
              <w:rPr>
                <w:rFonts w:hint="eastAsia"/>
                <w:color w:val="auto"/>
                <w:kern w:val="0"/>
                <w:sz w:val="24"/>
                <w:vertAlign w:val="baseline"/>
                <w:lang w:eastAsia="zh-CN"/>
              </w:rPr>
              <w:t>（其中包含半成品堆放区、成品区、设备装配区、玻璃钢化工设备（储罐等）缠绕区、管道加工区、原材料堆放区、模具堆放区）</w:t>
            </w:r>
            <w:r>
              <w:rPr>
                <w:rFonts w:hint="eastAsia"/>
                <w:color w:val="auto"/>
                <w:kern w:val="0"/>
                <w:sz w:val="24"/>
                <w:lang w:val="en-US" w:eastAsia="zh-CN"/>
              </w:rPr>
              <w:t>。新建1条玻璃钢夹砂管道生产线，</w:t>
            </w:r>
            <w:r>
              <w:rPr>
                <w:rFonts w:hint="default" w:ascii="Times New Roman" w:hAnsi="Times New Roman" w:eastAsia="宋体" w:cs="Times New Roman"/>
                <w:color w:val="auto"/>
                <w:sz w:val="24"/>
                <w:szCs w:val="24"/>
                <w:lang w:eastAsia="zh-CN" w:bidi="ar-SA"/>
              </w:rPr>
              <w:t>年生产</w:t>
            </w:r>
            <w:r>
              <w:rPr>
                <w:rFonts w:hint="eastAsia" w:ascii="Times New Roman" w:hAnsi="Times New Roman" w:eastAsia="宋体" w:cs="Times New Roman"/>
                <w:color w:val="auto"/>
                <w:sz w:val="24"/>
                <w:szCs w:val="24"/>
                <w:lang w:val="en-US" w:eastAsia="zh-CN" w:bidi="ar-SA"/>
              </w:rPr>
              <w:t>8000t</w:t>
            </w:r>
            <w:r>
              <w:rPr>
                <w:rFonts w:hint="default" w:ascii="Times New Roman" w:hAnsi="Times New Roman" w:eastAsia="宋体" w:cs="Times New Roman"/>
                <w:color w:val="auto"/>
                <w:sz w:val="24"/>
                <w:szCs w:val="24"/>
                <w:lang w:eastAsia="zh-CN" w:bidi="ar-SA"/>
              </w:rPr>
              <w:t>玻璃钢夹砂管道</w:t>
            </w:r>
            <w:r>
              <w:rPr>
                <w:rFonts w:hint="eastAsia" w:ascii="Times New Roman" w:hAnsi="Times New Roman" w:eastAsia="宋体" w:cs="Times New Roman"/>
                <w:color w:val="auto"/>
                <w:sz w:val="24"/>
                <w:szCs w:val="24"/>
                <w:lang w:eastAsia="zh-CN" w:bidi="ar-SA"/>
              </w:rPr>
              <w:t>；</w:t>
            </w:r>
            <w:r>
              <w:rPr>
                <w:rFonts w:hint="eastAsia"/>
                <w:color w:val="auto"/>
                <w:kern w:val="0"/>
                <w:sz w:val="24"/>
                <w:lang w:val="en-US" w:eastAsia="zh-CN"/>
              </w:rPr>
              <w:t>新建1条玻璃钢化工设备（储罐等）生产线，</w:t>
            </w:r>
            <w:r>
              <w:rPr>
                <w:rFonts w:hint="default" w:ascii="Times New Roman" w:hAnsi="Times New Roman" w:eastAsia="宋体" w:cs="Times New Roman"/>
                <w:color w:val="auto"/>
                <w:sz w:val="24"/>
                <w:szCs w:val="24"/>
                <w:lang w:eastAsia="zh-CN" w:bidi="ar-SA"/>
              </w:rPr>
              <w:t>年生产</w:t>
            </w:r>
            <w:r>
              <w:rPr>
                <w:rFonts w:hint="eastAsia" w:ascii="Times New Roman" w:hAnsi="Times New Roman" w:eastAsia="宋体" w:cs="Times New Roman"/>
                <w:color w:val="auto"/>
                <w:sz w:val="24"/>
                <w:szCs w:val="24"/>
                <w:lang w:val="en-US" w:eastAsia="zh-CN" w:bidi="ar-SA"/>
              </w:rPr>
              <w:t>1000套（3500t）玻璃钢化工设备（储罐等）</w:t>
            </w:r>
            <w:r>
              <w:rPr>
                <w:rFonts w:hint="default" w:ascii="Times New Roman" w:hAnsi="Times New Roman" w:eastAsia="宋体" w:cs="Times New Roman"/>
                <w:color w:val="auto"/>
                <w:sz w:val="24"/>
                <w:szCs w:val="24"/>
                <w:lang w:val="en-US" w:eastAsia="zh-CN" w:bidi="ar-SA"/>
              </w:rPr>
              <w:t>。项目</w:t>
            </w:r>
            <w:r>
              <w:rPr>
                <w:rFonts w:hint="eastAsia" w:cs="Times New Roman"/>
                <w:color w:val="auto"/>
                <w:sz w:val="24"/>
                <w:szCs w:val="24"/>
                <w:lang w:val="en-US" w:eastAsia="zh-CN" w:bidi="ar-SA"/>
              </w:rPr>
              <w:t>工程组成</w:t>
            </w:r>
            <w:r>
              <w:rPr>
                <w:rFonts w:hint="default" w:ascii="Times New Roman" w:hAnsi="Times New Roman" w:eastAsia="宋体" w:cs="Times New Roman"/>
                <w:color w:val="auto"/>
                <w:sz w:val="24"/>
                <w:szCs w:val="24"/>
                <w:lang w:val="en-US" w:eastAsia="zh-CN" w:bidi="ar-SA"/>
              </w:rPr>
              <w:t>及</w:t>
            </w:r>
            <w:r>
              <w:rPr>
                <w:rFonts w:hint="eastAsia" w:cs="Times New Roman"/>
                <w:color w:val="auto"/>
                <w:sz w:val="24"/>
                <w:szCs w:val="24"/>
                <w:lang w:val="en-US" w:eastAsia="zh-CN" w:bidi="ar-SA"/>
              </w:rPr>
              <w:t>规模</w:t>
            </w:r>
            <w:r>
              <w:rPr>
                <w:rFonts w:hint="default" w:ascii="Times New Roman" w:hAnsi="Times New Roman" w:eastAsia="宋体" w:cs="Times New Roman"/>
                <w:color w:val="auto"/>
                <w:sz w:val="24"/>
                <w:szCs w:val="24"/>
                <w:lang w:val="en-US" w:eastAsia="zh-CN" w:bidi="ar-SA"/>
              </w:rPr>
              <w:t>一览表详见表2-</w:t>
            </w:r>
            <w:r>
              <w:rPr>
                <w:rFonts w:hint="eastAsia" w:cs="Times New Roman"/>
                <w:color w:val="auto"/>
                <w:sz w:val="24"/>
                <w:szCs w:val="24"/>
                <w:lang w:val="en-US" w:eastAsia="zh-CN" w:bidi="ar-SA"/>
              </w:rPr>
              <w:t>1</w:t>
            </w:r>
            <w:r>
              <w:rPr>
                <w:rFonts w:hint="default" w:ascii="Times New Roman" w:hAnsi="Times New Roman" w:eastAsia="宋体" w:cs="Times New Roman"/>
                <w:color w:val="auto"/>
                <w:sz w:val="24"/>
                <w:szCs w:val="24"/>
                <w:lang w:val="en-US" w:eastAsia="zh-CN" w:bidi="ar-SA"/>
              </w:rPr>
              <w:t>。</w:t>
            </w:r>
          </w:p>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表2-</w:t>
            </w:r>
            <w:r>
              <w:rPr>
                <w:rFonts w:hint="eastAsia" w:cs="Times New Roman"/>
                <w:b/>
                <w:bCs/>
                <w:color w:val="auto"/>
                <w:lang w:val="en-US" w:eastAsia="zh-CN" w:bidi="ar-SA"/>
              </w:rPr>
              <w:t>1</w:t>
            </w:r>
            <w:r>
              <w:rPr>
                <w:rFonts w:hint="default" w:ascii="Times New Roman" w:hAnsi="Times New Roman" w:eastAsia="宋体" w:cs="Times New Roman"/>
                <w:b/>
                <w:bCs/>
                <w:color w:val="auto"/>
                <w:lang w:val="en-US" w:eastAsia="zh-CN" w:bidi="ar-SA"/>
              </w:rPr>
              <w:t xml:space="preserve">  项目工程组成及规模一览表</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39"/>
              <w:gridCol w:w="5635"/>
              <w:gridCol w:w="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26" w:type="dxa"/>
                  <w:tcBorders>
                    <w:bottom w:val="single" w:color="auto" w:sz="12"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工程类别</w:t>
                  </w:r>
                </w:p>
              </w:tc>
              <w:tc>
                <w:tcPr>
                  <w:tcW w:w="1139" w:type="dxa"/>
                  <w:tcBorders>
                    <w:bottom w:val="single" w:color="auto" w:sz="12"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工程名称</w:t>
                  </w:r>
                </w:p>
              </w:tc>
              <w:tc>
                <w:tcPr>
                  <w:tcW w:w="5635" w:type="dxa"/>
                  <w:tcBorders>
                    <w:bottom w:val="single" w:color="auto" w:sz="12" w:space="0"/>
                  </w:tcBorders>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lang w:eastAsia="zh-CN" w:bidi="ar-SA"/>
                    </w:rPr>
                  </w:pPr>
                  <w:r>
                    <w:rPr>
                      <w:rFonts w:hint="eastAsia" w:ascii="Times New Roman" w:hAnsi="Times New Roman" w:eastAsia="宋体" w:cs="Times New Roman"/>
                      <w:b/>
                      <w:bCs/>
                      <w:color w:val="auto"/>
                      <w:sz w:val="21"/>
                      <w:szCs w:val="21"/>
                      <w:lang w:eastAsia="zh-CN" w:bidi="ar-SA"/>
                    </w:rPr>
                    <w:t>规格</w:t>
                  </w:r>
                </w:p>
              </w:tc>
              <w:tc>
                <w:tcPr>
                  <w:tcW w:w="814" w:type="dxa"/>
                  <w:tcBorders>
                    <w:bottom w:val="single" w:color="auto" w:sz="12"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blHeader/>
              </w:trPr>
              <w:tc>
                <w:tcPr>
                  <w:tcW w:w="726" w:type="dxa"/>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bidi="ar-SA"/>
                    </w:rPr>
                  </w:pPr>
                  <w:r>
                    <w:rPr>
                      <w:rFonts w:hint="default" w:ascii="Times New Roman" w:hAnsi="Times New Roman" w:eastAsia="宋体" w:cs="Times New Roman"/>
                      <w:bCs/>
                      <w:color w:val="auto"/>
                      <w:sz w:val="21"/>
                      <w:szCs w:val="21"/>
                      <w:lang w:bidi="ar-SA"/>
                    </w:rPr>
                    <w:t>主体工程</w:t>
                  </w:r>
                </w:p>
              </w:tc>
              <w:tc>
                <w:tcPr>
                  <w:tcW w:w="113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lang w:val="en-US" w:eastAsia="zh-CN" w:bidi="ar-SA"/>
                    </w:rPr>
                  </w:pPr>
                  <w:r>
                    <w:rPr>
                      <w:rFonts w:hint="eastAsia" w:cs="Times New Roman"/>
                      <w:color w:val="auto"/>
                      <w:sz w:val="21"/>
                      <w:szCs w:val="21"/>
                      <w:lang w:val="en-US" w:eastAsia="zh-CN" w:bidi="ar-SA"/>
                    </w:rPr>
                    <w:t>玻璃钢化工设备（储罐等）缠绕区</w:t>
                  </w:r>
                </w:p>
              </w:tc>
              <w:tc>
                <w:tcPr>
                  <w:tcW w:w="5635" w:type="dxa"/>
                  <w:tcBorders>
                    <w:top w:val="single" w:color="auto" w:sz="8"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bCs/>
                      <w:color w:val="auto"/>
                      <w:sz w:val="21"/>
                      <w:szCs w:val="21"/>
                      <w:lang w:eastAsia="zh-CN" w:bidi="ar-SA"/>
                    </w:rPr>
                    <w:t>位于项目区北部。内设玻璃钢化工设备（储罐等）生产线1条（年产</w:t>
                  </w:r>
                  <w:r>
                    <w:rPr>
                      <w:rFonts w:hint="eastAsia" w:ascii="Times New Roman" w:hAnsi="Times New Roman" w:eastAsia="宋体" w:cs="Times New Roman"/>
                      <w:bCs/>
                      <w:color w:val="auto"/>
                      <w:sz w:val="21"/>
                      <w:szCs w:val="21"/>
                      <w:lang w:val="en-US" w:eastAsia="zh-CN" w:bidi="ar-SA"/>
                    </w:rPr>
                    <w:t>3500t</w:t>
                  </w:r>
                  <w:r>
                    <w:rPr>
                      <w:rFonts w:hint="eastAsia" w:ascii="Times New Roman" w:hAnsi="Times New Roman" w:eastAsia="宋体" w:cs="Times New Roman"/>
                      <w:bCs/>
                      <w:color w:val="auto"/>
                      <w:sz w:val="21"/>
                      <w:szCs w:val="21"/>
                      <w:lang w:eastAsia="zh-CN" w:bidi="ar-SA"/>
                    </w:rPr>
                    <w:t>），设备主要包括缠绕机、空压机、起重机、搅拌罐、胶体输送泵、切割机等。</w:t>
                  </w:r>
                </w:p>
              </w:tc>
              <w:tc>
                <w:tcPr>
                  <w:tcW w:w="814" w:type="dxa"/>
                  <w:vMerge w:val="restart"/>
                  <w:tcBorders>
                    <w:top w:val="single" w:color="auto" w:sz="8" w:space="0"/>
                  </w:tcBorders>
                  <w:noWrap w:val="0"/>
                  <w:vAlign w:val="center"/>
                </w:tcPr>
                <w:p>
                  <w:pPr>
                    <w:jc w:val="center"/>
                    <w:rPr>
                      <w:rFonts w:hint="eastAsia" w:ascii="Times New Roman" w:hAnsi="Times New Roman" w:eastAsia="宋体" w:cs="Times New Roman"/>
                      <w:bCs/>
                      <w:color w:val="auto"/>
                      <w:sz w:val="21"/>
                      <w:szCs w:val="21"/>
                      <w:lang w:eastAsia="zh-CN" w:bidi="ar-SA"/>
                    </w:rPr>
                  </w:pPr>
                  <w:r>
                    <w:rPr>
                      <w:rFonts w:hint="eastAsia"/>
                      <w:color w:val="auto"/>
                      <w:sz w:val="21"/>
                      <w:szCs w:val="24"/>
                      <w:lang w:eastAsia="zh-CN"/>
                    </w:rPr>
                    <w:t>租用已有厂房进行空间布置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blHeader/>
              </w:trPr>
              <w:tc>
                <w:tcPr>
                  <w:tcW w:w="726" w:type="dxa"/>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bidi="ar-SA"/>
                    </w:rPr>
                  </w:pPr>
                </w:p>
              </w:tc>
              <w:tc>
                <w:tcPr>
                  <w:tcW w:w="113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lang w:val="en-US" w:eastAsia="zh-CN" w:bidi="ar-SA"/>
                    </w:rPr>
                  </w:pPr>
                  <w:r>
                    <w:rPr>
                      <w:rFonts w:hint="eastAsia" w:cs="Times New Roman"/>
                      <w:color w:val="auto"/>
                      <w:sz w:val="21"/>
                      <w:szCs w:val="21"/>
                      <w:lang w:val="en-US" w:eastAsia="zh-CN" w:bidi="ar-SA"/>
                    </w:rPr>
                    <w:t>管道加工区</w:t>
                  </w:r>
                </w:p>
              </w:tc>
              <w:tc>
                <w:tcPr>
                  <w:tcW w:w="5635" w:type="dxa"/>
                  <w:tcBorders>
                    <w:top w:val="single" w:color="auto" w:sz="8"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eastAsia="zh-CN" w:bidi="ar-SA"/>
                    </w:rPr>
                    <w:t>位于项目区南部。内设玻璃钢夹砂管道生产线1条（年产</w:t>
                  </w:r>
                  <w:r>
                    <w:rPr>
                      <w:rFonts w:hint="eastAsia" w:ascii="Times New Roman" w:hAnsi="Times New Roman" w:eastAsia="宋体" w:cs="Times New Roman"/>
                      <w:bCs/>
                      <w:color w:val="auto"/>
                      <w:sz w:val="21"/>
                      <w:szCs w:val="21"/>
                      <w:lang w:val="en-US" w:eastAsia="zh-CN" w:bidi="ar-SA"/>
                    </w:rPr>
                    <w:t>8000t</w:t>
                  </w:r>
                  <w:r>
                    <w:rPr>
                      <w:rFonts w:hint="eastAsia" w:ascii="Times New Roman" w:hAnsi="Times New Roman" w:eastAsia="宋体" w:cs="Times New Roman"/>
                      <w:bCs/>
                      <w:color w:val="auto"/>
                      <w:sz w:val="21"/>
                      <w:szCs w:val="21"/>
                      <w:lang w:eastAsia="zh-CN" w:bidi="ar-SA"/>
                    </w:rPr>
                    <w:t>），设备主要包括缠绕机、空压机、起重机、搅拌罐、胶体输送泵、切割机等。</w:t>
                  </w:r>
                </w:p>
              </w:tc>
              <w:tc>
                <w:tcPr>
                  <w:tcW w:w="814" w:type="dxa"/>
                  <w:vMerge w:val="continue"/>
                  <w:noWrap w:val="0"/>
                  <w:vAlign w:val="center"/>
                </w:tcPr>
                <w:p>
                  <w:pPr>
                    <w:jc w:val="center"/>
                    <w:rPr>
                      <w:rFonts w:hint="eastAsia"/>
                      <w:color w:val="auto"/>
                      <w:sz w:val="21"/>
                      <w:szCs w:val="24"/>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blHeader/>
              </w:trPr>
              <w:tc>
                <w:tcPr>
                  <w:tcW w:w="726" w:type="dxa"/>
                  <w:vMerge w:val="restart"/>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eastAsia="宋体"/>
                      <w:color w:val="auto"/>
                      <w:sz w:val="21"/>
                      <w:szCs w:val="24"/>
                      <w:lang w:eastAsia="zh-CN"/>
                    </w:rPr>
                  </w:pPr>
                  <w:r>
                    <w:rPr>
                      <w:rFonts w:hint="eastAsia"/>
                      <w:color w:val="auto"/>
                      <w:sz w:val="21"/>
                      <w:szCs w:val="24"/>
                      <w:lang w:eastAsia="zh-CN"/>
                    </w:rPr>
                    <w:t>储运工程</w:t>
                  </w:r>
                </w:p>
              </w:tc>
              <w:tc>
                <w:tcPr>
                  <w:tcW w:w="113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eastAsia="zh-CN" w:bidi="ar-SA"/>
                    </w:rPr>
                  </w:pPr>
                  <w:r>
                    <w:rPr>
                      <w:rFonts w:hint="eastAsia" w:ascii="Times New Roman" w:hAnsi="Times New Roman" w:eastAsia="宋体" w:cs="Times New Roman"/>
                      <w:bCs/>
                      <w:color w:val="auto"/>
                      <w:sz w:val="21"/>
                      <w:szCs w:val="21"/>
                      <w:lang w:eastAsia="zh-CN" w:bidi="ar-SA"/>
                    </w:rPr>
                    <w:t>半成品堆放区</w:t>
                  </w:r>
                </w:p>
              </w:tc>
              <w:tc>
                <w:tcPr>
                  <w:tcW w:w="56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eastAsia="zh-CN" w:bidi="ar-SA"/>
                    </w:rPr>
                    <w:t>位于项目区西北部</w:t>
                  </w:r>
                  <w:r>
                    <w:rPr>
                      <w:rFonts w:hint="eastAsia" w:ascii="Times New Roman" w:hAnsi="Times New Roman" w:eastAsia="宋体" w:cs="Times New Roman"/>
                      <w:bCs/>
                      <w:color w:val="auto"/>
                      <w:szCs w:val="21"/>
                      <w:lang w:val="en-US" w:eastAsia="zh-CN" w:bidi="ar-SA"/>
                    </w:rPr>
                    <w:t>，</w:t>
                  </w:r>
                  <w:r>
                    <w:rPr>
                      <w:rFonts w:hint="eastAsia" w:ascii="Times New Roman" w:hAnsi="Times New Roman" w:eastAsia="宋体" w:cs="Times New Roman"/>
                      <w:color w:val="auto"/>
                      <w:szCs w:val="21"/>
                      <w:lang w:val="en-US" w:eastAsia="zh-CN" w:bidi="ar-SA"/>
                    </w:rPr>
                    <w:t>主要用于半成品的堆放。</w:t>
                  </w:r>
                </w:p>
              </w:tc>
              <w:tc>
                <w:tcPr>
                  <w:tcW w:w="814" w:type="dxa"/>
                  <w:vMerge w:val="continue"/>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blHeader/>
              </w:trPr>
              <w:tc>
                <w:tcPr>
                  <w:tcW w:w="726" w:type="dxa"/>
                  <w:vMerge w:val="continue"/>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sz w:val="21"/>
                      <w:szCs w:val="24"/>
                      <w:lang w:eastAsia="zh-CN"/>
                    </w:rPr>
                  </w:pPr>
                </w:p>
              </w:tc>
              <w:tc>
                <w:tcPr>
                  <w:tcW w:w="113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eastAsia="zh-CN" w:bidi="ar-SA"/>
                    </w:rPr>
                  </w:pPr>
                  <w:r>
                    <w:rPr>
                      <w:rFonts w:hint="eastAsia" w:ascii="Times New Roman" w:hAnsi="Times New Roman" w:eastAsia="宋体" w:cs="Times New Roman"/>
                      <w:bCs/>
                      <w:color w:val="auto"/>
                      <w:sz w:val="21"/>
                      <w:szCs w:val="21"/>
                      <w:lang w:eastAsia="zh-CN" w:bidi="ar-SA"/>
                    </w:rPr>
                    <w:t>成品区</w:t>
                  </w:r>
                </w:p>
              </w:tc>
              <w:tc>
                <w:tcPr>
                  <w:tcW w:w="56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eastAsia="zh-CN" w:bidi="ar-SA"/>
                    </w:rPr>
                    <w:t>位于项目区西北部</w:t>
                  </w:r>
                  <w:r>
                    <w:rPr>
                      <w:rFonts w:hint="eastAsia" w:ascii="Times New Roman" w:hAnsi="Times New Roman" w:eastAsia="宋体" w:cs="Times New Roman"/>
                      <w:bCs/>
                      <w:color w:val="auto"/>
                      <w:szCs w:val="21"/>
                      <w:lang w:val="en-US" w:eastAsia="zh-CN" w:bidi="ar-SA"/>
                    </w:rPr>
                    <w:t>，半成品堆放区东侧，</w:t>
                  </w:r>
                  <w:r>
                    <w:rPr>
                      <w:rFonts w:hint="eastAsia" w:ascii="Times New Roman" w:hAnsi="Times New Roman" w:eastAsia="宋体" w:cs="Times New Roman"/>
                      <w:color w:val="auto"/>
                      <w:szCs w:val="21"/>
                      <w:lang w:val="en-US" w:eastAsia="zh-CN" w:bidi="ar-SA"/>
                    </w:rPr>
                    <w:t>主要用于成品玻璃钢夹砂管道、玻璃钢化工设备（储罐等）的堆放。</w:t>
                  </w:r>
                </w:p>
              </w:tc>
              <w:tc>
                <w:tcPr>
                  <w:tcW w:w="814" w:type="dxa"/>
                  <w:vMerge w:val="continue"/>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blHeader/>
              </w:trPr>
              <w:tc>
                <w:tcPr>
                  <w:tcW w:w="726" w:type="dxa"/>
                  <w:vMerge w:val="continue"/>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sz w:val="21"/>
                      <w:szCs w:val="24"/>
                      <w:lang w:eastAsia="zh-CN"/>
                    </w:rPr>
                  </w:pPr>
                </w:p>
              </w:tc>
              <w:tc>
                <w:tcPr>
                  <w:tcW w:w="113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eastAsia="zh-CN" w:bidi="ar-SA"/>
                    </w:rPr>
                  </w:pPr>
                  <w:r>
                    <w:rPr>
                      <w:rFonts w:hint="eastAsia" w:ascii="Times New Roman" w:hAnsi="Times New Roman" w:eastAsia="宋体" w:cs="Times New Roman"/>
                      <w:bCs/>
                      <w:color w:val="auto"/>
                      <w:sz w:val="21"/>
                      <w:szCs w:val="21"/>
                      <w:lang w:eastAsia="zh-CN" w:bidi="ar-SA"/>
                    </w:rPr>
                    <w:t>模具堆放区</w:t>
                  </w:r>
                </w:p>
              </w:tc>
              <w:tc>
                <w:tcPr>
                  <w:tcW w:w="56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eastAsia="zh-CN" w:bidi="ar-SA"/>
                    </w:rPr>
                    <w:t>位于项目区西南部</w:t>
                  </w:r>
                  <w:r>
                    <w:rPr>
                      <w:rFonts w:hint="eastAsia" w:ascii="Times New Roman" w:hAnsi="Times New Roman" w:eastAsia="宋体" w:cs="Times New Roman"/>
                      <w:bCs/>
                      <w:color w:val="auto"/>
                      <w:szCs w:val="21"/>
                      <w:lang w:val="en-US" w:eastAsia="zh-CN" w:bidi="ar-SA"/>
                    </w:rPr>
                    <w:t>，</w:t>
                  </w:r>
                  <w:r>
                    <w:rPr>
                      <w:rFonts w:hint="eastAsia" w:ascii="Times New Roman" w:hAnsi="Times New Roman" w:eastAsia="宋体" w:cs="Times New Roman"/>
                      <w:color w:val="auto"/>
                      <w:szCs w:val="21"/>
                      <w:lang w:val="en-US" w:eastAsia="zh-CN" w:bidi="ar-SA"/>
                    </w:rPr>
                    <w:t>主要用于模具的堆放。</w:t>
                  </w:r>
                </w:p>
              </w:tc>
              <w:tc>
                <w:tcPr>
                  <w:tcW w:w="814" w:type="dxa"/>
                  <w:vMerge w:val="continue"/>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blHeader/>
              </w:trPr>
              <w:tc>
                <w:tcPr>
                  <w:tcW w:w="726" w:type="dxa"/>
                  <w:vMerge w:val="continue"/>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sz w:val="21"/>
                      <w:szCs w:val="24"/>
                      <w:lang w:eastAsia="zh-CN"/>
                    </w:rPr>
                  </w:pPr>
                </w:p>
              </w:tc>
              <w:tc>
                <w:tcPr>
                  <w:tcW w:w="113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eastAsia="zh-CN" w:bidi="ar-SA"/>
                    </w:rPr>
                  </w:pPr>
                  <w:r>
                    <w:rPr>
                      <w:rFonts w:hint="eastAsia" w:ascii="Times New Roman" w:hAnsi="Times New Roman" w:eastAsia="宋体" w:cs="Times New Roman"/>
                      <w:bCs/>
                      <w:color w:val="auto"/>
                      <w:sz w:val="21"/>
                      <w:szCs w:val="21"/>
                      <w:lang w:eastAsia="zh-CN" w:bidi="ar-SA"/>
                    </w:rPr>
                    <w:t>原材料堆放区</w:t>
                  </w:r>
                </w:p>
              </w:tc>
              <w:tc>
                <w:tcPr>
                  <w:tcW w:w="56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eastAsia="zh-CN" w:bidi="ar-SA"/>
                    </w:rPr>
                    <w:t>位于项目区南侧中部</w:t>
                  </w:r>
                  <w:r>
                    <w:rPr>
                      <w:rFonts w:hint="eastAsia" w:ascii="Times New Roman" w:hAnsi="Times New Roman" w:eastAsia="宋体" w:cs="Times New Roman"/>
                      <w:bCs/>
                      <w:color w:val="auto"/>
                      <w:szCs w:val="21"/>
                      <w:lang w:val="en-US" w:eastAsia="zh-CN" w:bidi="ar-SA"/>
                    </w:rPr>
                    <w:t>，模具堆放区东侧，</w:t>
                  </w:r>
                  <w:r>
                    <w:rPr>
                      <w:rFonts w:hint="eastAsia" w:ascii="Times New Roman" w:hAnsi="Times New Roman" w:eastAsia="宋体" w:cs="Times New Roman"/>
                      <w:color w:val="auto"/>
                      <w:szCs w:val="21"/>
                      <w:lang w:val="en-US" w:eastAsia="zh-CN" w:bidi="ar-SA"/>
                    </w:rPr>
                    <w:t>主要用于树脂、纱布、固化剂、促进剂等原材料的堆放。</w:t>
                  </w:r>
                </w:p>
              </w:tc>
              <w:tc>
                <w:tcPr>
                  <w:tcW w:w="814" w:type="dxa"/>
                  <w:vMerge w:val="continue"/>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26" w:type="dxa"/>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bidi="ar-SA"/>
                    </w:rPr>
                  </w:pPr>
                  <w:r>
                    <w:rPr>
                      <w:rFonts w:hint="default" w:ascii="Times New Roman" w:hAnsi="Times New Roman" w:eastAsia="宋体" w:cs="Times New Roman"/>
                      <w:bCs/>
                      <w:color w:val="auto"/>
                      <w:sz w:val="21"/>
                      <w:szCs w:val="21"/>
                      <w:lang w:bidi="ar-SA"/>
                    </w:rPr>
                    <w:t>公用工程</w:t>
                  </w:r>
                </w:p>
              </w:tc>
              <w:tc>
                <w:tcPr>
                  <w:tcW w:w="1139"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给水</w:t>
                  </w:r>
                </w:p>
              </w:tc>
              <w:tc>
                <w:tcPr>
                  <w:tcW w:w="6449" w:type="dxa"/>
                  <w:gridSpan w:val="2"/>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lang w:eastAsia="zh-CN" w:bidi="ar-SA"/>
                    </w:rPr>
                  </w:pPr>
                  <w:r>
                    <w:rPr>
                      <w:rFonts w:hint="eastAsia" w:cs="Times New Roman"/>
                      <w:bCs/>
                      <w:color w:val="auto"/>
                      <w:sz w:val="21"/>
                      <w:szCs w:val="21"/>
                      <w:lang w:eastAsia="zh-CN" w:bidi="ar-SA"/>
                    </w:rPr>
                    <w:t>园区</w:t>
                  </w:r>
                  <w:r>
                    <w:rPr>
                      <w:rFonts w:hint="eastAsia" w:ascii="Times New Roman" w:hAnsi="Times New Roman" w:eastAsia="宋体" w:cs="Times New Roman"/>
                      <w:bCs/>
                      <w:color w:val="auto"/>
                      <w:sz w:val="21"/>
                      <w:szCs w:val="21"/>
                      <w:lang w:eastAsia="zh-CN" w:bidi="ar-SA"/>
                    </w:rPr>
                    <w:t>市政给水管网</w:t>
                  </w:r>
                  <w:r>
                    <w:rPr>
                      <w:rFonts w:hint="eastAsia" w:cs="Times New Roman"/>
                      <w:bCs/>
                      <w:color w:val="auto"/>
                      <w:sz w:val="21"/>
                      <w:szCs w:val="21"/>
                      <w:lang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blHeader/>
              </w:trPr>
              <w:tc>
                <w:tcPr>
                  <w:tcW w:w="726" w:type="dxa"/>
                  <w:vMerge w:val="continue"/>
                  <w:noWrap w:val="0"/>
                  <w:vAlign w:val="center"/>
                </w:tcPr>
                <w:p>
                  <w:pPr>
                    <w:rPr>
                      <w:color w:val="auto"/>
                      <w:sz w:val="21"/>
                      <w:szCs w:val="24"/>
                    </w:rPr>
                  </w:pPr>
                </w:p>
              </w:tc>
              <w:tc>
                <w:tcPr>
                  <w:tcW w:w="1139"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排水</w:t>
                  </w:r>
                </w:p>
              </w:tc>
              <w:tc>
                <w:tcPr>
                  <w:tcW w:w="6449" w:type="dxa"/>
                  <w:gridSpan w:val="2"/>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lang w:eastAsia="zh-CN" w:bidi="ar-SA"/>
                    </w:rPr>
                  </w:pPr>
                  <w:r>
                    <w:rPr>
                      <w:rFonts w:hint="eastAsia" w:cs="Times New Roman"/>
                      <w:color w:val="auto"/>
                      <w:szCs w:val="21"/>
                      <w:lang w:eastAsia="zh-CN" w:bidi="ar-SA"/>
                    </w:rPr>
                    <w:t>生活污水排入下水管网，最终进入胡杨河经济技术开发区南园区污水处理厂集中处理</w:t>
                  </w:r>
                  <w:r>
                    <w:rPr>
                      <w:rFonts w:hint="eastAsia" w:ascii="Times New Roman" w:hAnsi="Times New Roman" w:eastAsia="宋体" w:cs="Times New Roman"/>
                      <w:color w:val="auto"/>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726" w:type="dxa"/>
                  <w:vMerge w:val="continue"/>
                  <w:noWrap w:val="0"/>
                  <w:vAlign w:val="center"/>
                </w:tcPr>
                <w:p>
                  <w:pPr>
                    <w:rPr>
                      <w:color w:val="auto"/>
                      <w:sz w:val="21"/>
                      <w:szCs w:val="24"/>
                    </w:rPr>
                  </w:pPr>
                </w:p>
              </w:tc>
              <w:tc>
                <w:tcPr>
                  <w:tcW w:w="1139"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供电</w:t>
                  </w:r>
                </w:p>
              </w:tc>
              <w:tc>
                <w:tcPr>
                  <w:tcW w:w="6449" w:type="dxa"/>
                  <w:gridSpan w:val="2"/>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lang w:eastAsia="zh-CN" w:bidi="ar-SA"/>
                    </w:rPr>
                  </w:pPr>
                  <w:r>
                    <w:rPr>
                      <w:rFonts w:hint="eastAsia" w:ascii="Times New Roman" w:hAnsi="Times New Roman" w:eastAsia="宋体" w:cs="Times New Roman"/>
                      <w:bCs/>
                      <w:color w:val="auto"/>
                      <w:sz w:val="21"/>
                      <w:szCs w:val="21"/>
                      <w:lang w:eastAsia="zh-CN" w:bidi="ar-SA"/>
                    </w:rPr>
                    <w:t>由</w:t>
                  </w:r>
                  <w:r>
                    <w:rPr>
                      <w:rFonts w:hint="eastAsia" w:cs="Times New Roman"/>
                      <w:bCs/>
                      <w:color w:val="auto"/>
                      <w:sz w:val="21"/>
                      <w:szCs w:val="21"/>
                      <w:lang w:eastAsia="zh-CN" w:bidi="ar-SA"/>
                    </w:rPr>
                    <w:t>园区</w:t>
                  </w:r>
                  <w:r>
                    <w:rPr>
                      <w:rFonts w:hint="eastAsia" w:ascii="Times New Roman" w:hAnsi="Times New Roman" w:eastAsia="宋体" w:cs="Times New Roman"/>
                      <w:bCs/>
                      <w:color w:val="auto"/>
                      <w:sz w:val="21"/>
                      <w:szCs w:val="21"/>
                      <w:lang w:eastAsia="zh-CN" w:bidi="ar-SA"/>
                    </w:rPr>
                    <w:t>电网集中供给</w:t>
                  </w:r>
                  <w:r>
                    <w:rPr>
                      <w:rFonts w:hint="eastAsia" w:cs="Times New Roman"/>
                      <w:bCs/>
                      <w:color w:val="auto"/>
                      <w:sz w:val="21"/>
                      <w:szCs w:val="21"/>
                      <w:lang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blHeader/>
              </w:trPr>
              <w:tc>
                <w:tcPr>
                  <w:tcW w:w="726" w:type="dxa"/>
                  <w:vMerge w:val="continue"/>
                  <w:noWrap w:val="0"/>
                  <w:vAlign w:val="center"/>
                </w:tcPr>
                <w:p>
                  <w:pPr>
                    <w:rPr>
                      <w:color w:val="auto"/>
                      <w:sz w:val="21"/>
                      <w:szCs w:val="24"/>
                    </w:rPr>
                  </w:pPr>
                </w:p>
              </w:tc>
              <w:tc>
                <w:tcPr>
                  <w:tcW w:w="1139"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bidi="ar-SA"/>
                    </w:rPr>
                  </w:pPr>
                  <w:r>
                    <w:rPr>
                      <w:rFonts w:hint="default" w:ascii="Times New Roman" w:hAnsi="Times New Roman" w:eastAsia="宋体" w:cs="Times New Roman"/>
                      <w:bCs/>
                      <w:color w:val="auto"/>
                      <w:sz w:val="21"/>
                      <w:szCs w:val="21"/>
                      <w:lang w:bidi="ar-SA"/>
                    </w:rPr>
                    <w:t>供热</w:t>
                  </w:r>
                </w:p>
              </w:tc>
              <w:tc>
                <w:tcPr>
                  <w:tcW w:w="6449" w:type="dxa"/>
                  <w:gridSpan w:val="2"/>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lang w:eastAsia="zh-CN" w:bidi="ar-SA"/>
                    </w:rPr>
                  </w:pPr>
                  <w:r>
                    <w:rPr>
                      <w:rFonts w:hint="eastAsia" w:ascii="Times New Roman" w:hAnsi="Times New Roman" w:eastAsia="宋体" w:cs="Times New Roman"/>
                      <w:bCs/>
                      <w:color w:val="auto"/>
                      <w:sz w:val="21"/>
                      <w:szCs w:val="21"/>
                      <w:lang w:eastAsia="zh-CN" w:bidi="ar-SA"/>
                    </w:rPr>
                    <w:t>本项目冬季采暖由市政供热管网提供</w:t>
                  </w:r>
                  <w:r>
                    <w:rPr>
                      <w:rFonts w:hint="eastAsia" w:cs="Times New Roman"/>
                      <w:bCs/>
                      <w:color w:val="auto"/>
                      <w:sz w:val="21"/>
                      <w:szCs w:val="21"/>
                      <w:lang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blHeader/>
              </w:trPr>
              <w:tc>
                <w:tcPr>
                  <w:tcW w:w="726" w:type="dxa"/>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bidi="ar-SA"/>
                    </w:rPr>
                  </w:pPr>
                  <w:r>
                    <w:rPr>
                      <w:rFonts w:hint="default" w:ascii="Times New Roman" w:hAnsi="Times New Roman" w:eastAsia="宋体" w:cs="Times New Roman"/>
                      <w:bCs/>
                      <w:color w:val="auto"/>
                      <w:sz w:val="21"/>
                      <w:szCs w:val="21"/>
                      <w:lang w:bidi="ar-SA"/>
                    </w:rPr>
                    <w:t>环保工程</w:t>
                  </w:r>
                </w:p>
              </w:tc>
              <w:tc>
                <w:tcPr>
                  <w:tcW w:w="1139"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bidi="ar-SA"/>
                    </w:rPr>
                  </w:pPr>
                  <w:r>
                    <w:rPr>
                      <w:rFonts w:hint="default" w:ascii="Times New Roman" w:hAnsi="Times New Roman" w:eastAsia="宋体" w:cs="Times New Roman"/>
                      <w:bCs/>
                      <w:color w:val="auto"/>
                      <w:sz w:val="21"/>
                      <w:szCs w:val="21"/>
                      <w:lang w:bidi="ar-SA"/>
                    </w:rPr>
                    <w:t>废气</w:t>
                  </w:r>
                </w:p>
              </w:tc>
              <w:tc>
                <w:tcPr>
                  <w:tcW w:w="6449" w:type="dxa"/>
                  <w:gridSpan w:val="2"/>
                  <w:noWrap w:val="0"/>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bidi="ar-SA"/>
                    </w:rPr>
                  </w:pPr>
                  <w:r>
                    <w:rPr>
                      <w:rFonts w:hint="eastAsia" w:ascii="Times New Roman" w:cs="Times New Roman"/>
                      <w:color w:val="auto"/>
                      <w:szCs w:val="21"/>
                      <w:lang w:eastAsia="zh-CN" w:bidi="ar-SA"/>
                    </w:rPr>
                    <w:t>①石英砂上料、修整工序产生的颗粒物：经2个半封闭式集气罩+1套袋式除尘器+15m高排气筒（DA001）排放</w:t>
                  </w:r>
                  <w:r>
                    <w:rPr>
                      <w:rFonts w:hint="eastAsia" w:cs="Times New Roman"/>
                      <w:color w:val="auto"/>
                      <w:sz w:val="21"/>
                      <w:szCs w:val="21"/>
                      <w:lang w:val="en-US" w:eastAsia="zh-CN" w:bidi="ar-SA"/>
                    </w:rPr>
                    <w:t>；颗粒物（无组织）：</w:t>
                  </w:r>
                  <w:r>
                    <w:rPr>
                      <w:rFonts w:hint="eastAsia" w:ascii="Times New Roman" w:hAnsi="Times New Roman" w:eastAsia="宋体" w:cs="Times New Roman"/>
                      <w:color w:val="auto"/>
                      <w:sz w:val="21"/>
                      <w:szCs w:val="21"/>
                      <w:lang w:val="en-US" w:eastAsia="zh-CN" w:bidi="ar-SA"/>
                    </w:rPr>
                    <w:t>车间日常封闭，采用机械排风扇对车间加强车间内通风，大部分粉尘被阻挡沉降于车间内，无组织粉尘外排量较小；</w:t>
                  </w:r>
                  <w:r>
                    <w:rPr>
                      <w:rFonts w:hint="eastAsia" w:cs="Times New Roman"/>
                      <w:color w:val="auto"/>
                      <w:sz w:val="21"/>
                      <w:szCs w:val="21"/>
                      <w:lang w:val="en-US" w:eastAsia="zh-CN" w:bidi="ar-SA"/>
                    </w:rPr>
                    <w:t>②</w:t>
                  </w:r>
                  <w:r>
                    <w:rPr>
                      <w:rFonts w:hint="eastAsia" w:ascii="Times New Roman" w:hAnsi="Times New Roman" w:eastAsia="宋体" w:cs="Times New Roman"/>
                      <w:color w:val="auto"/>
                      <w:sz w:val="21"/>
                      <w:szCs w:val="21"/>
                      <w:lang w:eastAsia="zh-CN" w:bidi="ar-SA"/>
                    </w:rPr>
                    <w:t>浸胶、缠绕、自然固化工序产生的有机废气、臭气浓度</w:t>
                  </w:r>
                  <w:r>
                    <w:rPr>
                      <w:rFonts w:hint="eastAsia" w:ascii="Times New Roman" w:hAnsi="Times New Roman" w:eastAsia="宋体" w:cs="Times New Roman"/>
                      <w:color w:val="auto"/>
                      <w:sz w:val="21"/>
                      <w:szCs w:val="21"/>
                      <w:lang w:val="en-US" w:eastAsia="zh-CN" w:bidi="ar-SA"/>
                    </w:rPr>
                    <w:t>：经8个半封闭式集气罩+1套活性炭吸附脱附+催化燃烧装置+15m高排气筒（DA002）排放；有机废气（无组织）、臭气浓度：加强废气收集的设备的维护和管理，并在车间内设置排气扇，加强车间通风换气，项目选址周边无居民区、学校等环境保护目标分布，且周边空旷，利于气体扩散，对区域环境影响轻微；③原料场装卸料及贮存过程产生的颗粒物（无组织）：产生量很小，经厂房阻隔，对环境影响很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26" w:type="dxa"/>
                  <w:vMerge w:val="continue"/>
                  <w:noWrap w:val="0"/>
                  <w:vAlign w:val="top"/>
                </w:tcPr>
                <w:p>
                  <w:pPr>
                    <w:rPr>
                      <w:color w:val="auto"/>
                      <w:sz w:val="21"/>
                      <w:szCs w:val="24"/>
                    </w:rPr>
                  </w:pPr>
                </w:p>
              </w:tc>
              <w:tc>
                <w:tcPr>
                  <w:tcW w:w="1139"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bidi="ar-SA"/>
                    </w:rPr>
                  </w:pPr>
                  <w:r>
                    <w:rPr>
                      <w:rFonts w:hint="default" w:ascii="Times New Roman" w:hAnsi="Times New Roman" w:eastAsia="宋体" w:cs="Times New Roman"/>
                      <w:bCs/>
                      <w:color w:val="auto"/>
                      <w:sz w:val="21"/>
                      <w:szCs w:val="21"/>
                      <w:lang w:bidi="ar-SA"/>
                    </w:rPr>
                    <w:t>废水</w:t>
                  </w:r>
                </w:p>
              </w:tc>
              <w:tc>
                <w:tcPr>
                  <w:tcW w:w="6449" w:type="dxa"/>
                  <w:gridSpan w:val="2"/>
                  <w:noWrap w:val="0"/>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4"/>
                      <w:lang w:val="en-US" w:eastAsia="en-US" w:bidi="ar-SA"/>
                    </w:rPr>
                  </w:pPr>
                  <w:r>
                    <w:rPr>
                      <w:rFonts w:hint="eastAsia" w:cs="Times New Roman"/>
                      <w:color w:val="auto"/>
                      <w:szCs w:val="21"/>
                      <w:lang w:eastAsia="zh-CN" w:bidi="ar-SA"/>
                    </w:rPr>
                    <w:t>生活污水排入下水管网，最终进入胡杨河经济技术开发区南园区污水处理厂集中处理</w:t>
                  </w:r>
                  <w:r>
                    <w:rPr>
                      <w:rFonts w:hint="eastAsia" w:ascii="Times New Roman" w:hAnsi="Times New Roman" w:eastAsia="宋体" w:cs="Times New Roman"/>
                      <w:color w:val="auto"/>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26" w:type="dxa"/>
                  <w:vMerge w:val="continue"/>
                  <w:noWrap w:val="0"/>
                  <w:vAlign w:val="top"/>
                </w:tcPr>
                <w:p>
                  <w:pPr>
                    <w:rPr>
                      <w:color w:val="auto"/>
                      <w:sz w:val="21"/>
                      <w:szCs w:val="24"/>
                    </w:rPr>
                  </w:pPr>
                </w:p>
              </w:tc>
              <w:tc>
                <w:tcPr>
                  <w:tcW w:w="1139"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bidi="ar-SA"/>
                    </w:rPr>
                  </w:pPr>
                  <w:r>
                    <w:rPr>
                      <w:rFonts w:hint="default" w:ascii="Times New Roman" w:hAnsi="Times New Roman" w:eastAsia="宋体" w:cs="Times New Roman"/>
                      <w:bCs/>
                      <w:color w:val="auto"/>
                      <w:sz w:val="21"/>
                      <w:szCs w:val="21"/>
                      <w:lang w:bidi="ar-SA"/>
                    </w:rPr>
                    <w:t>噪声</w:t>
                  </w:r>
                </w:p>
              </w:tc>
              <w:tc>
                <w:tcPr>
                  <w:tcW w:w="6449" w:type="dxa"/>
                  <w:gridSpan w:val="2"/>
                  <w:noWrap w:val="0"/>
                  <w:vAlign w:val="center"/>
                </w:tcPr>
                <w:p>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4"/>
                      <w:lang w:eastAsia="zh-CN" w:bidi="ar-SA"/>
                    </w:rPr>
                  </w:pPr>
                  <w:r>
                    <w:rPr>
                      <w:rFonts w:hint="default" w:ascii="Times New Roman" w:hAnsi="Times New Roman" w:eastAsia="宋体" w:cs="Times New Roman"/>
                      <w:color w:val="auto"/>
                      <w:sz w:val="21"/>
                      <w:szCs w:val="24"/>
                      <w:lang w:bidi="ar-SA"/>
                    </w:rPr>
                    <w:t>选购低噪声环保设备；采用橡胶伸缩接头；加强日常维护；厂房隔噪</w:t>
                  </w:r>
                  <w:r>
                    <w:rPr>
                      <w:rFonts w:hint="eastAsia" w:ascii="Times New Roman" w:hAnsi="Times New Roman" w:eastAsia="宋体" w:cs="Times New Roman"/>
                      <w:color w:val="auto"/>
                      <w:sz w:val="21"/>
                      <w:szCs w:val="24"/>
                      <w:lang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26" w:type="dxa"/>
                  <w:vMerge w:val="continue"/>
                  <w:noWrap w:val="0"/>
                  <w:vAlign w:val="top"/>
                </w:tcPr>
                <w:p>
                  <w:pPr>
                    <w:rPr>
                      <w:color w:val="auto"/>
                      <w:sz w:val="21"/>
                      <w:szCs w:val="24"/>
                    </w:rPr>
                  </w:pPr>
                </w:p>
              </w:tc>
              <w:tc>
                <w:tcPr>
                  <w:tcW w:w="1139"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bidi="ar-SA"/>
                    </w:rPr>
                  </w:pPr>
                  <w:r>
                    <w:rPr>
                      <w:rFonts w:hint="default" w:ascii="Times New Roman" w:hAnsi="Times New Roman" w:eastAsia="宋体" w:cs="Times New Roman"/>
                      <w:bCs/>
                      <w:color w:val="auto"/>
                      <w:sz w:val="21"/>
                      <w:szCs w:val="21"/>
                      <w:lang w:bidi="ar-SA"/>
                    </w:rPr>
                    <w:t>固体废物</w:t>
                  </w:r>
                </w:p>
              </w:tc>
              <w:tc>
                <w:tcPr>
                  <w:tcW w:w="6449" w:type="dxa"/>
                  <w:gridSpan w:val="2"/>
                  <w:noWrap w:val="0"/>
                  <w:vAlign w:val="center"/>
                </w:tcPr>
                <w:p>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4"/>
                      <w:lang w:eastAsia="zh-CN" w:bidi="ar-SA"/>
                    </w:rPr>
                  </w:pPr>
                  <w:r>
                    <w:rPr>
                      <w:rFonts w:hint="eastAsia" w:cs="Times New Roman"/>
                      <w:color w:val="auto"/>
                      <w:sz w:val="21"/>
                      <w:szCs w:val="24"/>
                      <w:lang w:eastAsia="zh-CN" w:bidi="ar-SA"/>
                    </w:rPr>
                    <w:t>设置生活垃圾收集箱，生活垃圾由环卫部门定期清运；建设一般固废暂存间</w:t>
                  </w:r>
                  <w:r>
                    <w:rPr>
                      <w:rFonts w:hint="eastAsia" w:cs="Times New Roman"/>
                      <w:color w:val="auto"/>
                      <w:sz w:val="21"/>
                      <w:szCs w:val="24"/>
                      <w:lang w:val="en-US" w:eastAsia="zh-CN" w:bidi="ar-SA"/>
                    </w:rPr>
                    <w:t>1座（10m</w:t>
                  </w:r>
                  <w:r>
                    <w:rPr>
                      <w:rFonts w:hint="eastAsia" w:cs="Times New Roman"/>
                      <w:color w:val="auto"/>
                      <w:sz w:val="21"/>
                      <w:szCs w:val="24"/>
                      <w:vertAlign w:val="superscript"/>
                      <w:lang w:val="en-US" w:eastAsia="zh-CN" w:bidi="ar-SA"/>
                    </w:rPr>
                    <w:t>2</w:t>
                  </w:r>
                  <w:r>
                    <w:rPr>
                      <w:rFonts w:hint="eastAsia" w:cs="Times New Roman"/>
                      <w:color w:val="auto"/>
                      <w:sz w:val="21"/>
                      <w:szCs w:val="24"/>
                      <w:lang w:val="en-US" w:eastAsia="zh-CN" w:bidi="ar-SA"/>
                    </w:rPr>
                    <w:t>）</w:t>
                  </w:r>
                  <w:r>
                    <w:rPr>
                      <w:rFonts w:hint="eastAsia" w:cs="Times New Roman"/>
                      <w:color w:val="auto"/>
                      <w:sz w:val="21"/>
                      <w:szCs w:val="24"/>
                      <w:lang w:eastAsia="zh-CN" w:bidi="ar-SA"/>
                    </w:rPr>
                    <w:t>，下脚料、不合格产品、除尘灰、废包装材料统一收集分类后外售综合利用；建设危险废物暂存间</w:t>
                  </w:r>
                  <w:r>
                    <w:rPr>
                      <w:rFonts w:hint="eastAsia" w:cs="Times New Roman"/>
                      <w:color w:val="auto"/>
                      <w:sz w:val="21"/>
                      <w:szCs w:val="24"/>
                      <w:lang w:val="en-US" w:eastAsia="zh-CN" w:bidi="ar-SA"/>
                    </w:rPr>
                    <w:t>1座（10m</w:t>
                  </w:r>
                  <w:r>
                    <w:rPr>
                      <w:rFonts w:hint="eastAsia" w:cs="Times New Roman"/>
                      <w:color w:val="auto"/>
                      <w:sz w:val="21"/>
                      <w:szCs w:val="24"/>
                      <w:vertAlign w:val="superscript"/>
                      <w:lang w:val="en-US" w:eastAsia="zh-CN" w:bidi="ar-SA"/>
                    </w:rPr>
                    <w:t>2</w:t>
                  </w:r>
                  <w:r>
                    <w:rPr>
                      <w:rFonts w:hint="eastAsia" w:cs="Times New Roman"/>
                      <w:color w:val="auto"/>
                      <w:sz w:val="21"/>
                      <w:szCs w:val="24"/>
                      <w:lang w:val="en-US" w:eastAsia="zh-CN" w:bidi="ar-SA"/>
                    </w:rPr>
                    <w:t>）</w:t>
                  </w:r>
                  <w:r>
                    <w:rPr>
                      <w:rFonts w:hint="eastAsia" w:cs="Times New Roman"/>
                      <w:color w:val="auto"/>
                      <w:sz w:val="21"/>
                      <w:szCs w:val="24"/>
                      <w:lang w:eastAsia="zh-CN" w:bidi="ar-SA"/>
                    </w:rPr>
                    <w:t>，废催化剂厂家回收；废树脂桶交回厂商循环利用；废活性炭、废促进剂桶、废固化剂桶等危险废物暂存在危险废物暂存间（建筑面积10m</w:t>
                  </w:r>
                  <w:r>
                    <w:rPr>
                      <w:rFonts w:hint="eastAsia" w:cs="Times New Roman"/>
                      <w:color w:val="auto"/>
                      <w:sz w:val="21"/>
                      <w:szCs w:val="24"/>
                      <w:vertAlign w:val="superscript"/>
                      <w:lang w:eastAsia="zh-CN" w:bidi="ar-SA"/>
                    </w:rPr>
                    <w:t>2</w:t>
                  </w:r>
                  <w:r>
                    <w:rPr>
                      <w:rFonts w:hint="eastAsia" w:cs="Times New Roman"/>
                      <w:color w:val="auto"/>
                      <w:sz w:val="21"/>
                      <w:szCs w:val="24"/>
                      <w:lang w:eastAsia="zh-CN" w:bidi="ar-SA"/>
                    </w:rPr>
                    <w:t>），定期交由有资质的单位处置。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26" w:type="dxa"/>
                  <w:vMerge w:val="continue"/>
                  <w:noWrap w:val="0"/>
                  <w:vAlign w:val="top"/>
                </w:tcPr>
                <w:p>
                  <w:pPr>
                    <w:rPr>
                      <w:color w:val="auto"/>
                      <w:sz w:val="21"/>
                      <w:szCs w:val="24"/>
                    </w:rPr>
                  </w:pPr>
                </w:p>
              </w:tc>
              <w:tc>
                <w:tcPr>
                  <w:tcW w:w="1139" w:type="dxa"/>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lang w:eastAsia="zh-CN" w:bidi="ar-SA"/>
                    </w:rPr>
                  </w:pPr>
                  <w:r>
                    <w:rPr>
                      <w:rFonts w:hint="eastAsia" w:ascii="Times New Roman" w:hAnsi="Times New Roman" w:eastAsia="宋体" w:cs="Times New Roman"/>
                      <w:bCs/>
                      <w:color w:val="auto"/>
                      <w:sz w:val="21"/>
                      <w:szCs w:val="21"/>
                      <w:lang w:eastAsia="zh-CN" w:bidi="ar-SA"/>
                    </w:rPr>
                    <w:t>生态</w:t>
                  </w:r>
                </w:p>
              </w:tc>
              <w:tc>
                <w:tcPr>
                  <w:tcW w:w="6449" w:type="dxa"/>
                  <w:gridSpan w:val="2"/>
                  <w:noWrap w:val="0"/>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4"/>
                      <w:lang w:val="en-US" w:eastAsia="zh-CN" w:bidi="ar-SA"/>
                    </w:rPr>
                  </w:pPr>
                  <w:r>
                    <w:rPr>
                      <w:rFonts w:hint="eastAsia" w:cs="Times New Roman"/>
                      <w:color w:val="auto"/>
                      <w:sz w:val="21"/>
                      <w:szCs w:val="24"/>
                      <w:lang w:val="en-US" w:eastAsia="zh-CN" w:bidi="ar-SA"/>
                    </w:rPr>
                    <w:t>/</w:t>
                  </w:r>
                </w:p>
              </w:tc>
            </w:tr>
          </w:tbl>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2.</w:t>
            </w:r>
            <w:r>
              <w:rPr>
                <w:rFonts w:hint="eastAsia" w:ascii="Times New Roman" w:hAnsi="Times New Roman" w:eastAsia="宋体" w:cs="Times New Roman"/>
                <w:b/>
                <w:bCs/>
                <w:color w:val="auto"/>
                <w:sz w:val="24"/>
                <w:szCs w:val="24"/>
                <w:lang w:val="en-US" w:eastAsia="zh-CN" w:bidi="ar-SA"/>
              </w:rPr>
              <w:t>3产品方案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产品方案详见表2-2。</w:t>
            </w:r>
          </w:p>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表</w:t>
            </w:r>
            <w:r>
              <w:rPr>
                <w:rFonts w:hint="eastAsia" w:ascii="Times New Roman" w:hAnsi="Times New Roman" w:eastAsia="宋体" w:cs="Times New Roman"/>
                <w:b/>
                <w:bCs/>
                <w:color w:val="auto"/>
                <w:sz w:val="21"/>
                <w:szCs w:val="21"/>
                <w:lang w:val="en-US" w:eastAsia="zh-CN" w:bidi="ar-SA"/>
              </w:rPr>
              <w:t>2-2</w:t>
            </w:r>
            <w:r>
              <w:rPr>
                <w:rFonts w:hint="default" w:ascii="Times New Roman" w:hAnsi="Times New Roman" w:eastAsia="宋体" w:cs="Times New Roman"/>
                <w:b/>
                <w:bCs/>
                <w:color w:val="auto"/>
                <w:sz w:val="21"/>
                <w:szCs w:val="21"/>
                <w:lang w:bidi="ar-SA"/>
              </w:rPr>
              <w:t xml:space="preserve">  项目产品方案一览表</w:t>
            </w:r>
          </w:p>
          <w:tbl>
            <w:tblPr>
              <w:tblStyle w:val="31"/>
              <w:tblW w:w="4998" w:type="pct"/>
              <w:jc w:val="center"/>
              <w:tblBorders>
                <w:top w:val="single" w:color="auto" w:sz="6" w:space="0"/>
                <w:left w:val="none" w:color="auto" w:sz="0" w:space="0"/>
                <w:bottom w:val="single" w:color="auto" w:sz="6"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893"/>
              <w:gridCol w:w="1938"/>
              <w:gridCol w:w="2202"/>
              <w:gridCol w:w="2463"/>
              <w:gridCol w:w="815"/>
            </w:tblGrid>
            <w:tr>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537" w:type="pct"/>
                  <w:tcBorders>
                    <w:top w:val="single" w:color="auto" w:sz="12" w:space="0"/>
                    <w:bottom w:val="single" w:color="auto" w:sz="12"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color w:val="auto"/>
                      <w:lang w:eastAsia="zh-CN"/>
                    </w:rPr>
                  </w:pPr>
                  <w:r>
                    <w:rPr>
                      <w:rFonts w:hint="default" w:ascii="Times New Roman" w:hAnsi="Times New Roman" w:eastAsia="宋体" w:cs="Times New Roman"/>
                      <w:b/>
                      <w:bCs/>
                      <w:color w:val="auto"/>
                      <w:sz w:val="21"/>
                      <w:szCs w:val="21"/>
                      <w:lang w:eastAsia="zh-CN" w:bidi="ar-SA"/>
                    </w:rPr>
                    <w:t>序号</w:t>
                  </w:r>
                </w:p>
              </w:tc>
              <w:tc>
                <w:tcPr>
                  <w:tcW w:w="1165" w:type="pct"/>
                  <w:tcBorders>
                    <w:top w:val="single" w:color="auto" w:sz="12" w:space="0"/>
                    <w:bottom w:val="single" w:color="auto" w:sz="12"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lang w:eastAsia="zh-CN" w:bidi="ar-SA"/>
                    </w:rPr>
                  </w:pPr>
                  <w:r>
                    <w:rPr>
                      <w:rFonts w:hint="default" w:ascii="Times New Roman" w:hAnsi="Times New Roman" w:eastAsia="宋体" w:cs="Times New Roman"/>
                      <w:b/>
                      <w:bCs/>
                      <w:color w:val="auto"/>
                      <w:sz w:val="21"/>
                      <w:szCs w:val="21"/>
                      <w:lang w:eastAsia="zh-CN" w:bidi="ar-SA"/>
                    </w:rPr>
                    <w:t>产品单元</w:t>
                  </w:r>
                </w:p>
              </w:tc>
              <w:tc>
                <w:tcPr>
                  <w:tcW w:w="1324" w:type="pct"/>
                  <w:tcBorders>
                    <w:top w:val="single" w:color="auto" w:sz="12" w:space="0"/>
                    <w:bottom w:val="single" w:color="auto" w:sz="12"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lang w:eastAsia="zh-CN" w:bidi="ar-SA"/>
                    </w:rPr>
                  </w:pPr>
                  <w:r>
                    <w:rPr>
                      <w:rFonts w:hint="default" w:ascii="Times New Roman" w:hAnsi="Times New Roman" w:eastAsia="宋体" w:cs="Times New Roman"/>
                      <w:b/>
                      <w:bCs/>
                      <w:color w:val="auto"/>
                      <w:sz w:val="21"/>
                      <w:szCs w:val="21"/>
                      <w:lang w:eastAsia="zh-CN" w:bidi="ar-SA"/>
                    </w:rPr>
                    <w:t>生产规模</w:t>
                  </w:r>
                  <w:r>
                    <w:rPr>
                      <w:rFonts w:hint="eastAsia" w:ascii="Times New Roman" w:hAnsi="Times New Roman" w:eastAsia="宋体" w:cs="Times New Roman"/>
                      <w:b/>
                      <w:bCs/>
                      <w:color w:val="auto"/>
                      <w:sz w:val="21"/>
                      <w:szCs w:val="21"/>
                      <w:lang w:eastAsia="zh-CN" w:bidi="ar-SA"/>
                    </w:rPr>
                    <w:t>（年）</w:t>
                  </w:r>
                </w:p>
              </w:tc>
              <w:tc>
                <w:tcPr>
                  <w:tcW w:w="1481" w:type="pct"/>
                  <w:tcBorders>
                    <w:top w:val="single" w:color="auto" w:sz="12" w:space="0"/>
                    <w:bottom w:val="single" w:color="auto" w:sz="12" w:space="0"/>
                  </w:tcBorders>
                  <w:noWrap w:val="0"/>
                  <w:vAlign w:val="center"/>
                </w:tcPr>
                <w:p>
                  <w:pPr>
                    <w:spacing w:line="240" w:lineRule="auto"/>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b/>
                      <w:bCs/>
                      <w:color w:val="auto"/>
                      <w:sz w:val="21"/>
                      <w:szCs w:val="21"/>
                      <w:lang w:val="en-US" w:eastAsia="zh-CN" w:bidi="ar-SA"/>
                    </w:rPr>
                    <w:t>规格</w:t>
                  </w:r>
                </w:p>
              </w:tc>
              <w:tc>
                <w:tcPr>
                  <w:tcW w:w="490" w:type="pct"/>
                  <w:tcBorders>
                    <w:top w:val="single" w:color="auto" w:sz="12" w:space="0"/>
                    <w:bottom w:val="single" w:color="auto"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b/>
                      <w:bCs/>
                      <w:color w:val="auto"/>
                      <w:sz w:val="21"/>
                      <w:szCs w:val="21"/>
                      <w:lang w:val="en-US" w:eastAsia="zh-CN" w:bidi="ar-SA"/>
                    </w:rPr>
                    <w:t>备注</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537" w:type="pct"/>
                  <w:tcBorders>
                    <w:top w:val="single" w:color="auto" w:sz="12"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w:t>
                  </w:r>
                </w:p>
              </w:tc>
              <w:tc>
                <w:tcPr>
                  <w:tcW w:w="1165" w:type="pct"/>
                  <w:tcBorders>
                    <w:top w:val="single" w:color="auto" w:sz="12" w:space="0"/>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玻璃钢管道</w:t>
                  </w:r>
                </w:p>
              </w:tc>
              <w:tc>
                <w:tcPr>
                  <w:tcW w:w="1324" w:type="pct"/>
                  <w:tcBorders>
                    <w:top w:val="single" w:color="auto" w:sz="12" w:space="0"/>
                    <w:bottom w:val="single" w:color="auto" w:sz="4" w:space="0"/>
                  </w:tcBorders>
                  <w:noWrap w:val="0"/>
                  <w:vAlign w:val="center"/>
                </w:tcPr>
                <w:p>
                  <w:pPr>
                    <w:spacing w:line="240" w:lineRule="auto"/>
                    <w:jc w:val="center"/>
                    <w:rPr>
                      <w:rFonts w:hint="default"/>
                      <w:color w:val="auto"/>
                      <w:lang w:val="en-US" w:eastAsia="zh-CN"/>
                    </w:rPr>
                  </w:pPr>
                  <w:r>
                    <w:rPr>
                      <w:rFonts w:hint="eastAsia"/>
                      <w:color w:val="auto"/>
                      <w:lang w:val="en-US" w:eastAsia="zh-CN"/>
                    </w:rPr>
                    <w:t>8000t</w:t>
                  </w:r>
                </w:p>
              </w:tc>
              <w:tc>
                <w:tcPr>
                  <w:tcW w:w="2463" w:type="dxa"/>
                  <w:tcBorders>
                    <w:top w:val="single" w:color="auto" w:sz="12"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DN200-3500mm</w:t>
                  </w:r>
                </w:p>
              </w:tc>
              <w:tc>
                <w:tcPr>
                  <w:tcW w:w="490" w:type="pct"/>
                  <w:tcBorders>
                    <w:top w:val="single" w:color="auto" w:sz="12" w:space="0"/>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537" w:type="pct"/>
                  <w:tcBorders>
                    <w:top w:val="single" w:color="auto" w:sz="4" w:space="0"/>
                    <w:bottom w:val="single" w:color="auto"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w:t>
                  </w:r>
                </w:p>
              </w:tc>
              <w:tc>
                <w:tcPr>
                  <w:tcW w:w="1165" w:type="pct"/>
                  <w:tcBorders>
                    <w:top w:val="single" w:color="auto" w:sz="4" w:space="0"/>
                    <w:bottom w:val="single" w:color="auto" w:sz="12"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玻璃钢化工设备（储罐等）</w:t>
                  </w:r>
                </w:p>
              </w:tc>
              <w:tc>
                <w:tcPr>
                  <w:tcW w:w="1324" w:type="pct"/>
                  <w:tcBorders>
                    <w:top w:val="single" w:color="auto" w:sz="4" w:space="0"/>
                    <w:bottom w:val="single" w:color="auto" w:sz="12" w:space="0"/>
                  </w:tcBorders>
                  <w:noWrap w:val="0"/>
                  <w:vAlign w:val="center"/>
                </w:tcPr>
                <w:p>
                  <w:pPr>
                    <w:spacing w:line="240" w:lineRule="auto"/>
                    <w:jc w:val="center"/>
                    <w:rPr>
                      <w:rFonts w:hint="default"/>
                      <w:color w:val="auto"/>
                      <w:lang w:val="en-US" w:eastAsia="zh-CN"/>
                    </w:rPr>
                  </w:pPr>
                  <w:r>
                    <w:rPr>
                      <w:rFonts w:hint="eastAsia"/>
                      <w:color w:val="auto"/>
                      <w:lang w:val="en-US" w:eastAsia="zh-CN"/>
                    </w:rPr>
                    <w:t>1000套（3500t）</w:t>
                  </w:r>
                </w:p>
              </w:tc>
              <w:tc>
                <w:tcPr>
                  <w:tcW w:w="2463" w:type="dxa"/>
                  <w:tcBorders>
                    <w:top w:val="single" w:color="auto" w:sz="4" w:space="0"/>
                    <w:bottom w:val="single" w:color="auto" w:sz="12" w:space="0"/>
                  </w:tcBorders>
                  <w:noWrap w:val="0"/>
                  <w:vAlign w:val="center"/>
                </w:tcPr>
                <w:p>
                  <w:pPr>
                    <w:spacing w:line="240" w:lineRule="auto"/>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20-100m</w:t>
                  </w:r>
                  <w:r>
                    <w:rPr>
                      <w:rFonts w:hint="default" w:ascii="Times New Roman" w:hAnsi="Times New Roman" w:eastAsia="宋体" w:cs="Times New Roman"/>
                      <w:color w:val="auto"/>
                      <w:vertAlign w:val="superscript"/>
                      <w:lang w:val="en-US" w:eastAsia="zh-CN"/>
                    </w:rPr>
                    <w:t>3</w:t>
                  </w:r>
                </w:p>
              </w:tc>
              <w:tc>
                <w:tcPr>
                  <w:tcW w:w="490" w:type="pct"/>
                  <w:tcBorders>
                    <w:top w:val="single" w:color="auto" w:sz="4" w:space="0"/>
                    <w:bottom w:val="single" w:color="auto"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r>
          </w:tbl>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2.</w:t>
            </w:r>
            <w:r>
              <w:rPr>
                <w:rFonts w:hint="eastAsia" w:cs="Times New Roman"/>
                <w:b/>
                <w:bCs/>
                <w:color w:val="auto"/>
                <w:sz w:val="24"/>
                <w:szCs w:val="24"/>
                <w:lang w:val="en-US" w:eastAsia="zh-CN" w:bidi="ar-SA"/>
              </w:rPr>
              <w:t>4</w:t>
            </w:r>
            <w:r>
              <w:rPr>
                <w:rFonts w:hint="default" w:ascii="Times New Roman" w:hAnsi="Times New Roman" w:eastAsia="宋体" w:cs="Times New Roman"/>
                <w:b/>
                <w:bCs/>
                <w:color w:val="auto"/>
                <w:sz w:val="24"/>
                <w:szCs w:val="24"/>
                <w:lang w:val="en-US" w:eastAsia="zh-CN" w:bidi="ar-SA"/>
              </w:rPr>
              <w:t>主要设备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本项目主要设备见表2-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p>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表2-</w:t>
            </w:r>
            <w:r>
              <w:rPr>
                <w:rFonts w:hint="eastAsia" w:cs="Times New Roman"/>
                <w:b/>
                <w:bCs/>
                <w:color w:val="auto"/>
                <w:lang w:val="en-US" w:eastAsia="zh-CN" w:bidi="ar-SA"/>
              </w:rPr>
              <w:t>3</w:t>
            </w:r>
            <w:r>
              <w:rPr>
                <w:rFonts w:hint="default" w:ascii="Times New Roman" w:hAnsi="Times New Roman" w:eastAsia="宋体" w:cs="Times New Roman"/>
                <w:b/>
                <w:bCs/>
                <w:color w:val="auto"/>
                <w:lang w:val="en-US" w:eastAsia="zh-CN" w:bidi="ar-SA"/>
              </w:rPr>
              <w:t xml:space="preserve">  主要生产设备一览表</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89"/>
              <w:gridCol w:w="2031"/>
              <w:gridCol w:w="1688"/>
              <w:gridCol w:w="1750"/>
              <w:gridCol w:w="22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bottom w:val="single" w:color="000000" w:sz="12"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bidi="ar-SA"/>
                    </w:rPr>
                    <w:t>序号</w:t>
                  </w:r>
                </w:p>
              </w:tc>
              <w:tc>
                <w:tcPr>
                  <w:tcW w:w="1221" w:type="pct"/>
                  <w:tcBorders>
                    <w:bottom w:val="single" w:color="000000" w:sz="12"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bidi="ar-SA"/>
                    </w:rPr>
                    <w:t>设备名称</w:t>
                  </w:r>
                </w:p>
              </w:tc>
              <w:tc>
                <w:tcPr>
                  <w:tcW w:w="1015" w:type="pct"/>
                  <w:tcBorders>
                    <w:bottom w:val="single" w:color="000000" w:sz="12"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bidi="ar-SA"/>
                    </w:rPr>
                    <w:t>规格性能</w:t>
                  </w:r>
                </w:p>
              </w:tc>
              <w:tc>
                <w:tcPr>
                  <w:tcW w:w="1052" w:type="pct"/>
                  <w:tcBorders>
                    <w:bottom w:val="single" w:color="000000" w:sz="12"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bidi="ar-SA"/>
                    </w:rPr>
                    <w:t>数量</w:t>
                  </w:r>
                  <w:r>
                    <w:rPr>
                      <w:rFonts w:hint="eastAsia" w:ascii="Times New Roman" w:hAnsi="Times New Roman" w:eastAsia="宋体" w:cs="Times New Roman"/>
                      <w:b/>
                      <w:bCs/>
                      <w:color w:val="auto"/>
                      <w:sz w:val="21"/>
                      <w:szCs w:val="21"/>
                      <w:lang w:eastAsia="zh-CN" w:bidi="ar-SA"/>
                    </w:rPr>
                    <w:t>（</w:t>
                  </w:r>
                  <w:r>
                    <w:rPr>
                      <w:rFonts w:hint="default" w:ascii="Times New Roman" w:hAnsi="Times New Roman" w:eastAsia="宋体" w:cs="Times New Roman"/>
                      <w:b/>
                      <w:bCs/>
                      <w:color w:val="auto"/>
                      <w:sz w:val="21"/>
                      <w:szCs w:val="21"/>
                      <w:lang w:eastAsia="zh-CN" w:bidi="ar-SA"/>
                    </w:rPr>
                    <w:t>台/套</w:t>
                  </w:r>
                  <w:r>
                    <w:rPr>
                      <w:rFonts w:hint="eastAsia" w:ascii="Times New Roman" w:hAnsi="Times New Roman" w:eastAsia="宋体" w:cs="Times New Roman"/>
                      <w:b/>
                      <w:bCs/>
                      <w:color w:val="auto"/>
                      <w:sz w:val="21"/>
                      <w:szCs w:val="21"/>
                      <w:lang w:eastAsia="zh-CN" w:bidi="ar-SA"/>
                    </w:rPr>
                    <w:t>）</w:t>
                  </w:r>
                </w:p>
              </w:tc>
              <w:tc>
                <w:tcPr>
                  <w:tcW w:w="1355" w:type="pct"/>
                  <w:tcBorders>
                    <w:bottom w:val="single" w:color="000000" w:sz="12"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lang w:eastAsia="zh-CN" w:bidi="ar-SA"/>
                    </w:rPr>
                  </w:pPr>
                  <w:r>
                    <w:rPr>
                      <w:rFonts w:hint="eastAsia" w:ascii="Times New Roman" w:hAnsi="Times New Roman" w:eastAsia="宋体" w:cs="Times New Roman"/>
                      <w:b/>
                      <w:bCs/>
                      <w:color w:val="auto"/>
                      <w:sz w:val="21"/>
                      <w:szCs w:val="21"/>
                      <w:lang w:eastAsia="zh-CN" w:bidi="ar-SA"/>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op w:val="single" w:color="000000" w:sz="12" w:space="0"/>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1221" w:type="pct"/>
                  <w:tcBorders>
                    <w:top w:val="single" w:color="000000" w:sz="12" w:space="0"/>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夹砂管道生产线</w:t>
                  </w:r>
                </w:p>
              </w:tc>
              <w:tc>
                <w:tcPr>
                  <w:tcW w:w="1015" w:type="pct"/>
                  <w:tcBorders>
                    <w:top w:val="single" w:color="000000" w:sz="12" w:space="0"/>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QFW-2600</w:t>
                  </w:r>
                </w:p>
              </w:tc>
              <w:tc>
                <w:tcPr>
                  <w:tcW w:w="1052" w:type="pct"/>
                  <w:tcBorders>
                    <w:top w:val="single" w:color="000000" w:sz="12" w:space="0"/>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355" w:type="pct"/>
                  <w:tcBorders>
                    <w:top w:val="single" w:color="000000" w:sz="12" w:space="0"/>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微机控制缠绕机</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FW-</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200</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微机控制缠绕机</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FW-4000</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固化台</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内衬成型机</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φ1200-φ4000</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空压机</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YV-3/8</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空压机</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V-0.6/7-A</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T30无油空气压缩机</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2-10T3NLE22</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电动单梁起重机</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LD-5</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双体搅拌罐</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1000</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胶体输送泵</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SG3012</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喷涂枪</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3WP</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1355" w:type="pct"/>
                  <w:tcBorders>
                    <w:tl2br w:val="nil"/>
                    <w:tr2bl w:val="nil"/>
                  </w:tcBorders>
                  <w:noWrap w:val="0"/>
                  <w:vAlign w:val="center"/>
                </w:tcPr>
                <w:p>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用于储罐内衬防水树脂喷涂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13</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钢制平封头模具</w:t>
                  </w:r>
                </w:p>
              </w:tc>
              <w:tc>
                <w:tcPr>
                  <w:tcW w:w="1015"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800-4000</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w:t>
                  </w:r>
                </w:p>
              </w:tc>
              <w:tc>
                <w:tcPr>
                  <w:tcW w:w="1221" w:type="pct"/>
                  <w:tcBorders>
                    <w:tl2br w:val="nil"/>
                    <w:tr2bl w:val="nil"/>
                  </w:tcBorders>
                  <w:noWrap w:val="0"/>
                  <w:vAlign w:val="center"/>
                </w:tcPr>
                <w:p>
                  <w:pPr>
                    <w:pStyle w:val="76"/>
                    <w:spacing w:before="37" w:line="221" w:lineRule="auto"/>
                    <w:ind w:left="1148" w:leftChars="0" w:right="44" w:rightChars="0" w:hanging="1095"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钢制椭圆封头模具</w:t>
                  </w:r>
                </w:p>
              </w:tc>
              <w:tc>
                <w:tcPr>
                  <w:tcW w:w="1015" w:type="pct"/>
                  <w:tcBorders>
                    <w:tl2br w:val="nil"/>
                    <w:tr2bl w:val="nil"/>
                  </w:tcBorders>
                  <w:noWrap w:val="0"/>
                  <w:vAlign w:val="center"/>
                </w:tcPr>
                <w:p>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DN800~DN4000</w:t>
                  </w:r>
                </w:p>
              </w:tc>
              <w:tc>
                <w:tcPr>
                  <w:tcW w:w="1052" w:type="pct"/>
                  <w:tcBorders>
                    <w:tl2br w:val="nil"/>
                    <w:tr2bl w:val="nil"/>
                  </w:tcBorders>
                  <w:noWrap w:val="0"/>
                  <w:vAlign w:val="center"/>
                </w:tcPr>
                <w:p>
                  <w:pPr>
                    <w:pStyle w:val="76"/>
                    <w:spacing w:before="37" w:line="221" w:lineRule="auto"/>
                    <w:ind w:left="1148" w:leftChars="0" w:right="44" w:rightChars="0" w:hanging="1095"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1355" w:type="pct"/>
                  <w:tcBorders>
                    <w:tl2br w:val="nil"/>
                    <w:tr2bl w:val="nil"/>
                  </w:tcBorders>
                  <w:noWrap w:val="0"/>
                  <w:vAlign w:val="center"/>
                </w:tcPr>
                <w:p>
                  <w:pPr>
                    <w:spacing w:before="37" w:line="221" w:lineRule="auto"/>
                    <w:ind w:left="1148" w:leftChars="0" w:right="44" w:rightChars="0" w:hanging="1095"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bl>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2.</w:t>
            </w:r>
            <w:r>
              <w:rPr>
                <w:rFonts w:hint="eastAsia" w:cs="Times New Roman"/>
                <w:b/>
                <w:bCs/>
                <w:color w:val="auto"/>
                <w:sz w:val="24"/>
                <w:szCs w:val="24"/>
                <w:lang w:val="en-US" w:eastAsia="zh-CN" w:bidi="ar-SA"/>
              </w:rPr>
              <w:t>5</w:t>
            </w:r>
            <w:r>
              <w:rPr>
                <w:rFonts w:hint="default" w:ascii="Times New Roman" w:hAnsi="Times New Roman" w:eastAsia="宋体" w:cs="Times New Roman"/>
                <w:b/>
                <w:bCs/>
                <w:color w:val="auto"/>
                <w:sz w:val="24"/>
                <w:szCs w:val="24"/>
                <w:lang w:val="en-US" w:eastAsia="zh-CN" w:bidi="ar-SA"/>
              </w:rPr>
              <w:t>原辅材料及能源消耗情况</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本项目主要原辅材料及能源消耗见下表2-</w:t>
            </w:r>
            <w:r>
              <w:rPr>
                <w:rFonts w:hint="eastAsia" w:cs="Times New Roman"/>
                <w:color w:val="auto"/>
                <w:sz w:val="24"/>
                <w:szCs w:val="24"/>
                <w:lang w:val="en-US" w:eastAsia="zh-CN" w:bidi="ar-SA"/>
              </w:rPr>
              <w:t>4</w:t>
            </w:r>
            <w:r>
              <w:rPr>
                <w:rFonts w:hint="default" w:ascii="Times New Roman" w:hAnsi="Times New Roman" w:eastAsia="宋体" w:cs="Times New Roman"/>
                <w:color w:val="auto"/>
                <w:sz w:val="24"/>
                <w:szCs w:val="24"/>
                <w:lang w:val="en-US" w:eastAsia="zh-CN" w:bidi="ar-SA"/>
              </w:rPr>
              <w:t>。</w:t>
            </w:r>
          </w:p>
          <w:p>
            <w:pPr>
              <w:tabs>
                <w:tab w:val="left" w:pos="1040"/>
              </w:tabs>
              <w:spacing w:before="0" w:after="0"/>
              <w:ind w:left="0" w:right="0" w:firstLine="0"/>
              <w:jc w:val="center"/>
              <w:rPr>
                <w:rFonts w:hint="default" w:ascii="Times New Roman" w:hAnsi="Times New Roman" w:eastAsia="宋体" w:cs="Times New Roman"/>
                <w:b/>
                <w:bCs/>
                <w:color w:val="auto"/>
                <w:sz w:val="21"/>
                <w:lang w:bidi="ar-SA"/>
              </w:rPr>
            </w:pPr>
            <w:r>
              <w:rPr>
                <w:rFonts w:hint="default" w:ascii="Times New Roman" w:hAnsi="Times New Roman" w:eastAsia="宋体" w:cs="Times New Roman"/>
                <w:b/>
                <w:bCs/>
                <w:color w:val="auto"/>
                <w:sz w:val="21"/>
                <w:lang w:bidi="ar-SA"/>
              </w:rPr>
              <w:t>表</w:t>
            </w:r>
            <w:r>
              <w:rPr>
                <w:rFonts w:hint="default" w:ascii="Times New Roman" w:hAnsi="Times New Roman" w:eastAsia="宋体" w:cs="Times New Roman"/>
                <w:b/>
                <w:bCs/>
                <w:color w:val="auto"/>
                <w:sz w:val="21"/>
                <w:lang w:val="en-US" w:eastAsia="zh-CN" w:bidi="ar-SA"/>
              </w:rPr>
              <w:t>2-</w:t>
            </w:r>
            <w:r>
              <w:rPr>
                <w:rFonts w:hint="eastAsia" w:cs="Times New Roman"/>
                <w:b/>
                <w:bCs/>
                <w:color w:val="auto"/>
                <w:sz w:val="21"/>
                <w:lang w:val="en-US" w:eastAsia="zh-CN" w:bidi="ar-SA"/>
              </w:rPr>
              <w:t>4</w:t>
            </w:r>
            <w:r>
              <w:rPr>
                <w:rFonts w:hint="default" w:ascii="Times New Roman" w:hAnsi="Times New Roman" w:eastAsia="宋体" w:cs="Times New Roman"/>
                <w:b/>
                <w:bCs/>
                <w:color w:val="auto"/>
                <w:spacing w:val="0"/>
                <w:sz w:val="21"/>
                <w:lang w:val="en-US" w:eastAsia="zh-CN" w:bidi="ar-SA"/>
              </w:rPr>
              <w:t xml:space="preserve">  </w:t>
            </w:r>
            <w:r>
              <w:rPr>
                <w:rFonts w:hint="default" w:ascii="Times New Roman" w:hAnsi="Times New Roman" w:eastAsia="宋体" w:cs="Times New Roman"/>
                <w:b/>
                <w:bCs/>
                <w:color w:val="auto"/>
                <w:sz w:val="21"/>
                <w:lang w:bidi="ar-SA"/>
              </w:rPr>
              <w:t>项目主要原辅材料</w:t>
            </w:r>
          </w:p>
          <w:tbl>
            <w:tblPr>
              <w:tblStyle w:val="31"/>
              <w:tblW w:w="494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5"/>
              <w:gridCol w:w="2132"/>
              <w:gridCol w:w="1248"/>
              <w:gridCol w:w="976"/>
              <w:gridCol w:w="32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7" w:hRule="atLeast"/>
                <w:tblHeader/>
                <w:jc w:val="center"/>
              </w:trPr>
              <w:tc>
                <w:tcPr>
                  <w:tcW w:w="404" w:type="pct"/>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eastAsia="Times New Roman" w:cs="Times New Roman"/>
                      <w:b/>
                      <w:bCs/>
                      <w:color w:val="auto"/>
                      <w:szCs w:val="21"/>
                      <w:lang w:eastAsia="zh-CN"/>
                    </w:rPr>
                    <w:t>序号</w:t>
                  </w:r>
                </w:p>
              </w:tc>
              <w:tc>
                <w:tcPr>
                  <w:tcW w:w="1295" w:type="pct"/>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bCs/>
                      <w:color w:val="auto"/>
                      <w:szCs w:val="21"/>
                    </w:rPr>
                  </w:pPr>
                  <w:r>
                    <w:rPr>
                      <w:rFonts w:hint="default" w:ascii="Times New Roman" w:hAnsi="Times New Roman" w:eastAsia="Times New Roman" w:cs="Times New Roman"/>
                      <w:b/>
                      <w:bCs/>
                      <w:color w:val="auto"/>
                      <w:szCs w:val="21"/>
                    </w:rPr>
                    <w:t>原辅材料</w:t>
                  </w:r>
                </w:p>
              </w:tc>
              <w:tc>
                <w:tcPr>
                  <w:tcW w:w="758" w:type="pct"/>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eastAsia="Times New Roman" w:cs="Times New Roman"/>
                      <w:b/>
                      <w:bCs/>
                      <w:color w:val="auto"/>
                      <w:szCs w:val="21"/>
                    </w:rPr>
                    <w:t>年耗量</w:t>
                  </w:r>
                </w:p>
              </w:tc>
              <w:tc>
                <w:tcPr>
                  <w:tcW w:w="593" w:type="pct"/>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eastAsia" w:ascii="Times New Roman" w:hAnsi="Times New Roman" w:eastAsia="Times New Roman" w:cs="Times New Roman"/>
                      <w:b/>
                      <w:bCs/>
                      <w:color w:val="auto"/>
                      <w:szCs w:val="21"/>
                      <w:lang w:eastAsia="zh-CN"/>
                    </w:rPr>
                    <w:t>来源</w:t>
                  </w:r>
                </w:p>
              </w:tc>
              <w:tc>
                <w:tcPr>
                  <w:tcW w:w="1948" w:type="pct"/>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bCs/>
                      <w:color w:val="auto"/>
                      <w:szCs w:val="21"/>
                    </w:rPr>
                  </w:pPr>
                  <w:r>
                    <w:rPr>
                      <w:rFonts w:hint="default" w:ascii="Times New Roman" w:hAnsi="Times New Roman" w:eastAsia="Times New Roman" w:cs="Times New Roman"/>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Cs w:val="21"/>
                      <w:lang w:val="en-US" w:eastAsia="zh-CN"/>
                    </w:rPr>
                    <w:t>1</w:t>
                  </w:r>
                </w:p>
              </w:tc>
              <w:tc>
                <w:tcPr>
                  <w:tcW w:w="1295"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薄膜</w:t>
                  </w:r>
                </w:p>
              </w:tc>
              <w:tc>
                <w:tcPr>
                  <w:tcW w:w="1248" w:type="dxa"/>
                  <w:tcBorders>
                    <w:top w:val="single" w:color="auto" w:sz="12" w:space="0"/>
                    <w:bottom w:val="single" w:color="auto" w:sz="4" w:space="0"/>
                  </w:tcBorders>
                  <w:noWrap w:val="0"/>
                  <w:vAlign w:val="center"/>
                </w:tcPr>
                <w:p>
                  <w:pPr>
                    <w:ind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lang w:val="en-US" w:eastAsia="zh-CN" w:bidi="ar-SA"/>
                    </w:rPr>
                    <w:t>2</w:t>
                  </w:r>
                  <w:r>
                    <w:rPr>
                      <w:rFonts w:hint="eastAsia" w:ascii="Times New Roman" w:hAnsi="Times New Roman" w:eastAsia="宋体" w:cs="Times New Roman"/>
                      <w:color w:val="auto"/>
                      <w:sz w:val="21"/>
                      <w:szCs w:val="21"/>
                      <w:lang w:val="en-US" w:eastAsia="zh-CN" w:bidi="ar-SA"/>
                    </w:rPr>
                    <w:t>3</w:t>
                  </w:r>
                  <w:r>
                    <w:rPr>
                      <w:rFonts w:hint="default" w:ascii="Times New Roman" w:hAnsi="Times New Roman" w:eastAsia="宋体" w:cs="Times New Roman"/>
                      <w:color w:val="auto"/>
                      <w:sz w:val="21"/>
                      <w:szCs w:val="21"/>
                      <w:lang w:val="en-US" w:eastAsia="zh-CN" w:bidi="ar-SA"/>
                    </w:rPr>
                    <w:t>t</w:t>
                  </w:r>
                </w:p>
              </w:tc>
              <w:tc>
                <w:tcPr>
                  <w:tcW w:w="593" w:type="pct"/>
                  <w:vMerge w:val="restar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Times New Roman" w:cs="Times New Roman"/>
                      <w:color w:val="auto"/>
                      <w:szCs w:val="21"/>
                      <w:lang w:val="en-US" w:eastAsia="zh-CN"/>
                    </w:rPr>
                    <w:t>市购</w:t>
                  </w:r>
                </w:p>
              </w:tc>
              <w:tc>
                <w:tcPr>
                  <w:tcW w:w="1948"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卷装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 w:type="pc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Cs w:val="21"/>
                      <w:lang w:val="en-US" w:eastAsia="zh-CN"/>
                    </w:rPr>
                    <w:t>2</w:t>
                  </w:r>
                </w:p>
              </w:tc>
              <w:tc>
                <w:tcPr>
                  <w:tcW w:w="1295" w:type="pc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纱布（棉质）</w:t>
                  </w:r>
                </w:p>
              </w:tc>
              <w:tc>
                <w:tcPr>
                  <w:tcW w:w="1248" w:type="dxa"/>
                  <w:tcBorders>
                    <w:top w:val="single" w:color="auto" w:sz="4" w:space="0"/>
                  </w:tcBorders>
                  <w:noWrap w:val="0"/>
                  <w:vAlign w:val="center"/>
                </w:tcPr>
                <w:p>
                  <w:pPr>
                    <w:ind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lang w:val="en-US" w:eastAsia="zh-CN" w:bidi="ar-SA"/>
                    </w:rPr>
                    <w:t>1</w:t>
                  </w:r>
                  <w:r>
                    <w:rPr>
                      <w:rFonts w:hint="eastAsia" w:ascii="Times New Roman" w:hAnsi="Times New Roman" w:eastAsia="宋体" w:cs="Times New Roman"/>
                      <w:color w:val="auto"/>
                      <w:sz w:val="21"/>
                      <w:szCs w:val="21"/>
                      <w:lang w:val="en-US" w:eastAsia="zh-CN" w:bidi="ar-SA"/>
                    </w:rPr>
                    <w:t>1.5</w:t>
                  </w:r>
                  <w:r>
                    <w:rPr>
                      <w:rFonts w:hint="default" w:ascii="Times New Roman" w:hAnsi="Times New Roman" w:eastAsia="宋体" w:cs="Times New Roman"/>
                      <w:color w:val="auto"/>
                      <w:sz w:val="21"/>
                      <w:szCs w:val="21"/>
                      <w:lang w:val="en-US" w:eastAsia="zh-CN" w:bidi="ar-SA"/>
                    </w:rPr>
                    <w:t>t</w:t>
                  </w:r>
                </w:p>
              </w:tc>
              <w:tc>
                <w:tcPr>
                  <w:tcW w:w="593"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rPr>
                  </w:pPr>
                </w:p>
              </w:tc>
              <w:tc>
                <w:tcPr>
                  <w:tcW w:w="1948" w:type="pc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卷装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 w:type="pc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Cs w:val="21"/>
                    </w:rPr>
                  </w:pPr>
                  <w:r>
                    <w:rPr>
                      <w:rFonts w:hint="eastAsia" w:ascii="Times New Roman" w:hAnsi="Times New Roman" w:eastAsia="宋体" w:cs="Times New Roman"/>
                      <w:color w:val="auto"/>
                      <w:szCs w:val="21"/>
                      <w:lang w:val="en-US" w:eastAsia="zh-CN"/>
                    </w:rPr>
                    <w:t>3</w:t>
                  </w:r>
                </w:p>
              </w:tc>
              <w:tc>
                <w:tcPr>
                  <w:tcW w:w="1295" w:type="pc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不饱和聚酯树脂</w:t>
                  </w:r>
                </w:p>
              </w:tc>
              <w:tc>
                <w:tcPr>
                  <w:tcW w:w="1248" w:type="dxa"/>
                  <w:tcBorders>
                    <w:top w:val="single" w:color="auto" w:sz="4" w:space="0"/>
                  </w:tcBorders>
                  <w:noWrap w:val="0"/>
                  <w:vAlign w:val="center"/>
                </w:tcPr>
                <w:p>
                  <w:pPr>
                    <w:ind w:firstLine="0" w:firstLine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 w:val="21"/>
                      <w:szCs w:val="21"/>
                      <w:lang w:val="en-US" w:eastAsia="zh-CN" w:bidi="ar-SA"/>
                    </w:rPr>
                    <w:t>2875</w:t>
                  </w:r>
                  <w:r>
                    <w:rPr>
                      <w:rFonts w:hint="default" w:ascii="Times New Roman" w:hAnsi="Times New Roman" w:eastAsia="宋体" w:cs="Times New Roman"/>
                      <w:color w:val="auto"/>
                      <w:sz w:val="21"/>
                      <w:szCs w:val="21"/>
                      <w:lang w:val="en-US" w:eastAsia="zh-CN" w:bidi="ar-SA"/>
                    </w:rPr>
                    <w:t>t</w:t>
                  </w:r>
                </w:p>
              </w:tc>
              <w:tc>
                <w:tcPr>
                  <w:tcW w:w="59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1948" w:type="pc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桶装、液态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Cs w:val="21"/>
                    </w:rPr>
                  </w:pPr>
                  <w:r>
                    <w:rPr>
                      <w:rFonts w:hint="eastAsia" w:ascii="Times New Roman" w:hAnsi="Times New Roman" w:eastAsia="宋体" w:cs="Times New Roman"/>
                      <w:color w:val="auto"/>
                      <w:szCs w:val="21"/>
                      <w:lang w:val="en-US" w:eastAsia="zh-CN"/>
                    </w:rPr>
                    <w:t>4</w:t>
                  </w:r>
                </w:p>
              </w:tc>
              <w:tc>
                <w:tcPr>
                  <w:tcW w:w="1295"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网格布（棉质）</w:t>
                  </w:r>
                </w:p>
              </w:tc>
              <w:tc>
                <w:tcPr>
                  <w:tcW w:w="1248" w:type="dxa"/>
                  <w:noWrap w:val="0"/>
                  <w:vAlign w:val="center"/>
                </w:tcPr>
                <w:p>
                  <w:pPr>
                    <w:ind w:firstLine="0" w:firstLine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 w:val="21"/>
                      <w:szCs w:val="21"/>
                      <w:lang w:val="en-US" w:eastAsia="zh-CN" w:bidi="ar-SA"/>
                    </w:rPr>
                    <w:t>11.5</w:t>
                  </w:r>
                  <w:r>
                    <w:rPr>
                      <w:rFonts w:hint="default" w:ascii="Times New Roman" w:hAnsi="Times New Roman" w:eastAsia="宋体" w:cs="Times New Roman"/>
                      <w:color w:val="auto"/>
                      <w:sz w:val="21"/>
                      <w:szCs w:val="21"/>
                      <w:lang w:val="en-US" w:eastAsia="zh-CN" w:bidi="ar-SA"/>
                    </w:rPr>
                    <w:t>t</w:t>
                  </w:r>
                </w:p>
              </w:tc>
              <w:tc>
                <w:tcPr>
                  <w:tcW w:w="59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Cs w:val="21"/>
                    </w:rPr>
                  </w:pPr>
                </w:p>
              </w:tc>
              <w:tc>
                <w:tcPr>
                  <w:tcW w:w="19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卷装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5</w:t>
                  </w:r>
                </w:p>
              </w:tc>
              <w:tc>
                <w:tcPr>
                  <w:tcW w:w="1295"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促进剂</w:t>
                  </w:r>
                </w:p>
              </w:tc>
              <w:tc>
                <w:tcPr>
                  <w:tcW w:w="1248" w:type="dxa"/>
                  <w:noWrap w:val="0"/>
                  <w:vAlign w:val="center"/>
                </w:tcPr>
                <w:p>
                  <w:pPr>
                    <w:ind w:firstLine="0" w:firstLine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t</w:t>
                  </w:r>
                </w:p>
              </w:tc>
              <w:tc>
                <w:tcPr>
                  <w:tcW w:w="59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19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密封罐装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rPr>
                  </w:pPr>
                  <w:r>
                    <w:rPr>
                      <w:rFonts w:hint="eastAsia" w:ascii="Times New Roman" w:hAnsi="Times New Roman" w:eastAsia="宋体" w:cs="Times New Roman"/>
                      <w:color w:val="auto"/>
                      <w:szCs w:val="21"/>
                      <w:lang w:val="en-US" w:eastAsia="zh-CN"/>
                    </w:rPr>
                    <w:t>6</w:t>
                  </w:r>
                </w:p>
              </w:tc>
              <w:tc>
                <w:tcPr>
                  <w:tcW w:w="1295"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固化剂</w:t>
                  </w:r>
                </w:p>
              </w:tc>
              <w:tc>
                <w:tcPr>
                  <w:tcW w:w="1248" w:type="dxa"/>
                  <w:noWrap w:val="0"/>
                  <w:vAlign w:val="center"/>
                </w:tcPr>
                <w:p>
                  <w:pPr>
                    <w:ind w:firstLine="0" w:firstLine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t</w:t>
                  </w:r>
                </w:p>
              </w:tc>
              <w:tc>
                <w:tcPr>
                  <w:tcW w:w="593"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rPr>
                  </w:pPr>
                </w:p>
              </w:tc>
              <w:tc>
                <w:tcPr>
                  <w:tcW w:w="1948"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密封罐装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rPr>
                  </w:pPr>
                  <w:r>
                    <w:rPr>
                      <w:rFonts w:hint="eastAsia" w:ascii="Times New Roman" w:hAnsi="Times New Roman" w:eastAsia="Times New Roman" w:cs="Times New Roman"/>
                      <w:color w:val="auto"/>
                      <w:szCs w:val="21"/>
                      <w:lang w:val="en-US" w:eastAsia="zh-CN"/>
                    </w:rPr>
                    <w:t>7</w:t>
                  </w:r>
                </w:p>
              </w:tc>
              <w:tc>
                <w:tcPr>
                  <w:tcW w:w="129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缠绕纱（玻璃纤维）</w:t>
                  </w:r>
                </w:p>
              </w:tc>
              <w:tc>
                <w:tcPr>
                  <w:tcW w:w="1248" w:type="dxa"/>
                  <w:noWrap w:val="0"/>
                  <w:vAlign w:val="center"/>
                </w:tcPr>
                <w:p>
                  <w:pPr>
                    <w:ind w:firstLine="0" w:firstLine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 w:val="21"/>
                      <w:szCs w:val="21"/>
                      <w:lang w:val="en-US" w:eastAsia="zh-CN" w:bidi="ar-SA"/>
                    </w:rPr>
                    <w:t>7000</w:t>
                  </w:r>
                  <w:r>
                    <w:rPr>
                      <w:rFonts w:hint="default" w:ascii="Times New Roman" w:hAnsi="Times New Roman" w:eastAsia="宋体" w:cs="Times New Roman"/>
                      <w:color w:val="auto"/>
                      <w:sz w:val="21"/>
                      <w:szCs w:val="21"/>
                      <w:lang w:val="en-US" w:eastAsia="zh-CN" w:bidi="ar-SA"/>
                    </w:rPr>
                    <w:t>t</w:t>
                  </w:r>
                </w:p>
              </w:tc>
              <w:tc>
                <w:tcPr>
                  <w:tcW w:w="59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19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卷装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rPr>
                  </w:pPr>
                  <w:r>
                    <w:rPr>
                      <w:rFonts w:hint="eastAsia" w:ascii="Times New Roman" w:hAnsi="Times New Roman" w:eastAsia="Times New Roman" w:cs="Times New Roman"/>
                      <w:color w:val="auto"/>
                      <w:szCs w:val="21"/>
                      <w:lang w:val="en-US" w:eastAsia="zh-CN"/>
                    </w:rPr>
                    <w:t>8</w:t>
                  </w:r>
                </w:p>
              </w:tc>
              <w:tc>
                <w:tcPr>
                  <w:tcW w:w="129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石英砂</w:t>
                  </w:r>
                </w:p>
              </w:tc>
              <w:tc>
                <w:tcPr>
                  <w:tcW w:w="1248" w:type="dxa"/>
                  <w:noWrap w:val="0"/>
                  <w:vAlign w:val="center"/>
                </w:tcPr>
                <w:p>
                  <w:pPr>
                    <w:ind w:firstLine="0" w:firstLine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 w:val="21"/>
                      <w:szCs w:val="21"/>
                      <w:lang w:val="en-US" w:eastAsia="zh-CN" w:bidi="ar-SA"/>
                    </w:rPr>
                    <w:t>1600</w:t>
                  </w:r>
                  <w:r>
                    <w:rPr>
                      <w:rFonts w:hint="default" w:ascii="Times New Roman" w:hAnsi="Times New Roman" w:eastAsia="宋体" w:cs="Times New Roman"/>
                      <w:color w:val="auto"/>
                      <w:sz w:val="21"/>
                      <w:szCs w:val="21"/>
                      <w:lang w:val="en-US" w:eastAsia="zh-CN" w:bidi="ar-SA"/>
                    </w:rPr>
                    <w:t>t</w:t>
                  </w:r>
                </w:p>
              </w:tc>
              <w:tc>
                <w:tcPr>
                  <w:tcW w:w="59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19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袋装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Times New Roman" w:cs="Times New Roman"/>
                      <w:color w:val="auto"/>
                      <w:szCs w:val="21"/>
                      <w:lang w:val="en-US" w:eastAsia="zh-CN"/>
                    </w:rPr>
                  </w:pPr>
                  <w:r>
                    <w:rPr>
                      <w:rFonts w:hint="eastAsia" w:ascii="Times New Roman" w:hAnsi="Times New Roman" w:eastAsia="Times New Roman" w:cs="Times New Roman"/>
                      <w:color w:val="auto"/>
                      <w:szCs w:val="21"/>
                      <w:lang w:val="en-US" w:eastAsia="zh-CN"/>
                    </w:rPr>
                    <w:t>9</w:t>
                  </w:r>
                </w:p>
              </w:tc>
              <w:tc>
                <w:tcPr>
                  <w:tcW w:w="129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短切毡（玻璃纤维）</w:t>
                  </w:r>
                </w:p>
              </w:tc>
              <w:tc>
                <w:tcPr>
                  <w:tcW w:w="1248" w:type="dxa"/>
                  <w:noWrap w:val="0"/>
                  <w:vAlign w:val="center"/>
                </w:tcPr>
                <w:p>
                  <w:pPr>
                    <w:ind w:firstLine="0" w:firstLine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 w:val="21"/>
                      <w:szCs w:val="21"/>
                      <w:lang w:val="en-US" w:eastAsia="zh-CN" w:bidi="ar-SA"/>
                    </w:rPr>
                    <w:t>58</w:t>
                  </w:r>
                  <w:r>
                    <w:rPr>
                      <w:rFonts w:hint="default" w:ascii="Times New Roman" w:hAnsi="Times New Roman" w:eastAsia="宋体" w:cs="Times New Roman"/>
                      <w:color w:val="auto"/>
                      <w:sz w:val="21"/>
                      <w:szCs w:val="21"/>
                      <w:lang w:val="en-US" w:eastAsia="zh-CN" w:bidi="ar-SA"/>
                    </w:rPr>
                    <w:t>t</w:t>
                  </w:r>
                </w:p>
              </w:tc>
              <w:tc>
                <w:tcPr>
                  <w:tcW w:w="593"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1948"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卷装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1295"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Times New Roman" w:cs="Times New Roman"/>
                      <w:color w:val="auto"/>
                      <w:szCs w:val="21"/>
                      <w:lang w:eastAsia="zh-CN"/>
                    </w:rPr>
                  </w:pPr>
                  <w:r>
                    <w:rPr>
                      <w:rFonts w:hint="eastAsia" w:ascii="Times New Roman" w:hAnsi="Times New Roman" w:eastAsia="Times New Roman" w:cs="Times New Roman"/>
                      <w:color w:val="auto"/>
                      <w:szCs w:val="21"/>
                      <w:lang w:eastAsia="zh-CN"/>
                    </w:rPr>
                    <w:t>水</w:t>
                  </w:r>
                </w:p>
              </w:tc>
              <w:tc>
                <w:tcPr>
                  <w:tcW w:w="75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Cs w:val="21"/>
                      <w:lang w:val="en-US" w:eastAsia="zh-CN"/>
                    </w:rPr>
                  </w:pPr>
                  <w:r>
                    <w:rPr>
                      <w:rFonts w:hint="eastAsia" w:ascii="Times New Roman" w:hAnsi="Times New Roman" w:eastAsia="Times New Roman" w:cs="Times New Roman"/>
                      <w:color w:val="auto"/>
                      <w:szCs w:val="21"/>
                      <w:lang w:val="en-US" w:eastAsia="zh-CN"/>
                    </w:rPr>
                    <w:t>192t</w:t>
                  </w:r>
                </w:p>
              </w:tc>
              <w:tc>
                <w:tcPr>
                  <w:tcW w:w="593"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19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园区管网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04"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w:t>
                  </w:r>
                </w:p>
              </w:tc>
              <w:tc>
                <w:tcPr>
                  <w:tcW w:w="1295" w:type="pct"/>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 w:val="21"/>
                      <w:szCs w:val="21"/>
                    </w:rPr>
                    <w:t>电</w:t>
                  </w:r>
                </w:p>
              </w:tc>
              <w:tc>
                <w:tcPr>
                  <w:tcW w:w="758" w:type="pct"/>
                  <w:noWrap w:val="0"/>
                  <w:vAlign w:val="center"/>
                </w:tcPr>
                <w:p>
                  <w:pPr>
                    <w:jc w:val="center"/>
                    <w:rPr>
                      <w:rFonts w:hint="default" w:ascii="Times New Roman" w:hAnsi="Times New Roman" w:eastAsia="Times New Roman" w:cs="Times New Roman"/>
                      <w:color w:val="auto"/>
                      <w:szCs w:val="21"/>
                      <w:lang w:val="en-US" w:eastAsia="zh-CN"/>
                    </w:rPr>
                  </w:pPr>
                  <w:r>
                    <w:rPr>
                      <w:rFonts w:hint="eastAsia" w:ascii="Times New Roman" w:hAnsi="Times New Roman" w:eastAsia="宋体" w:cs="Times New Roman"/>
                      <w:color w:val="auto"/>
                      <w:sz w:val="21"/>
                      <w:szCs w:val="21"/>
                      <w:lang w:val="en-US" w:eastAsia="zh-CN"/>
                    </w:rPr>
                    <w:t>81</w:t>
                  </w:r>
                  <w:r>
                    <w:rPr>
                      <w:rFonts w:hint="default" w:ascii="Times New Roman" w:hAnsi="Times New Roman" w:eastAsia="宋体" w:cs="Times New Roman"/>
                      <w:color w:val="auto"/>
                      <w:sz w:val="21"/>
                      <w:szCs w:val="21"/>
                    </w:rPr>
                    <w:t>万KW</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h</w:t>
                  </w:r>
                </w:p>
              </w:tc>
              <w:tc>
                <w:tcPr>
                  <w:tcW w:w="593"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19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园区电网</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部分原辅材料的成分和性质：</w:t>
            </w:r>
          </w:p>
          <w:p>
            <w:pPr>
              <w:tabs>
                <w:tab w:val="left" w:pos="2724"/>
                <w:tab w:val="center" w:pos="4134"/>
              </w:tabs>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不饱和树脂：一般是由不饱和二元酸二元醇或者饱和二元酸不饱和二元醇缩聚而成的具有酯键和不饱和双键的线型高分子化合物。通常聚酯化缩聚反应是在190~220℃进行，直至达到预期的酸值（或粘度），在聚酯化缩聚反应结束后，趁热加入一定量的乙烯基单体，配成粘稠的液体，这样的聚合物溶液称之为不饱和聚酯树脂。其主要成分为不饱和树脂以及苯乙烯和烃类物质，苯乙烯和烃类物质约占20%（其中苯乙烯占总烃类物质占比约1.5%）。为浑浊液体，沸点在144~146℃，相对密度10-12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相对蒸气密度3.6</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饱和蒸气压0.6kPa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闪点31~32℃，爆炸上限（V/V）6.1%，下限1.1%；不溶于水，溶于丙酮等多种溶剂。苯乙烯别称：乙烯基苯，化学式：C</w:t>
            </w:r>
            <w:r>
              <w:rPr>
                <w:rFonts w:hint="default" w:ascii="Times New Roman" w:hAnsi="Times New Roman" w:eastAsia="宋体" w:cs="Times New Roman"/>
                <w:color w:val="auto"/>
                <w:sz w:val="24"/>
                <w:szCs w:val="24"/>
                <w:vertAlign w:val="subscript"/>
                <w:lang w:val="en-US" w:eastAsia="zh-CN"/>
              </w:rPr>
              <w:t>8</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8</w:t>
            </w:r>
            <w:r>
              <w:rPr>
                <w:rFonts w:hint="default" w:ascii="Times New Roman" w:hAnsi="Times New Roman" w:eastAsia="宋体" w:cs="Times New Roman"/>
                <w:color w:val="auto"/>
                <w:sz w:val="24"/>
                <w:szCs w:val="24"/>
                <w:lang w:val="en-US" w:eastAsia="zh-CN"/>
              </w:rPr>
              <w:t>，分子量：104.15，CAS登录号：100-42-5，EINECS登录号：202-851-5，熔点：-30.6℃，沸点：146℃，水溶性：不溶于水，密度：0.909g/mL，外观：无色透明油状液体，闪点：31°℃，应用</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用于制聚苯乙烯、合成橡胶、离子交换树脂等，危险品运输编号：33541，自燃温度：490℃，临界温度：369℃，临界压力：3.81MPa燃烧热：4376.9kJ/mol，饱和蒸气压：1.33kPa。</w:t>
            </w:r>
          </w:p>
          <w:p>
            <w:pPr>
              <w:tabs>
                <w:tab w:val="left" w:pos="2724"/>
                <w:tab w:val="center" w:pos="4134"/>
              </w:tabs>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促进剂：促进剂主要成分为异辛酸钴，异辛酸钴是紫色液体，主要用作油漆、油墨的催干剂，不饱和聚酯树脂的固化促进剂，聚氯乙烯稳定剂，聚合反应催化剂等。CAS号：136-52-7；化学式：C</w:t>
            </w:r>
            <w:r>
              <w:rPr>
                <w:rFonts w:hint="default" w:ascii="Times New Roman" w:hAnsi="Times New Roman" w:eastAsia="宋体" w:cs="Times New Roman"/>
                <w:color w:val="auto"/>
                <w:sz w:val="24"/>
                <w:szCs w:val="24"/>
                <w:vertAlign w:val="subscript"/>
                <w:lang w:val="en-US" w:eastAsia="zh-CN"/>
              </w:rPr>
              <w:t>16</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30</w:t>
            </w:r>
            <w:r>
              <w:rPr>
                <w:rFonts w:hint="default" w:ascii="Times New Roman" w:hAnsi="Times New Roman" w:eastAsia="宋体" w:cs="Times New Roman"/>
                <w:color w:val="auto"/>
                <w:sz w:val="24"/>
                <w:szCs w:val="24"/>
                <w:lang w:val="en-US" w:eastAsia="zh-CN"/>
              </w:rPr>
              <w:t>CoO</w:t>
            </w:r>
            <w:r>
              <w:rPr>
                <w:rFonts w:hint="default" w:ascii="Times New Roman" w:hAnsi="Times New Roman" w:eastAsia="宋体" w:cs="Times New Roman"/>
                <w:color w:val="auto"/>
                <w:sz w:val="24"/>
                <w:szCs w:val="24"/>
                <w:vertAlign w:val="subscript"/>
                <w:lang w:val="en-US" w:eastAsia="zh-CN"/>
              </w:rPr>
              <w:t>4</w:t>
            </w:r>
            <w:r>
              <w:rPr>
                <w:rFonts w:hint="default" w:ascii="Times New Roman" w:hAnsi="Times New Roman" w:eastAsia="宋体" w:cs="Times New Roman"/>
                <w:color w:val="auto"/>
                <w:sz w:val="24"/>
                <w:szCs w:val="24"/>
                <w:lang w:val="en-US" w:eastAsia="zh-CN"/>
              </w:rPr>
              <w:t>；分子量：345.34；外观：红紫色均匀液体；相对密度：1.002g/mL；闪点：&gt;30℃；溶于200号溶剂汽油，可燃，排出含氧化钴辛辣刺激烟雾，有毒；储运时保持库房低温，通风，干燥。起火时可用水，二氧化碳，干粉或砂土扑灭</w:t>
            </w:r>
            <w:r>
              <w:rPr>
                <w:rFonts w:hint="eastAsia" w:ascii="Times New Roman" w:hAnsi="Times New Roman" w:eastAsia="宋体" w:cs="Times New Roman"/>
                <w:color w:val="auto"/>
                <w:sz w:val="24"/>
                <w:szCs w:val="24"/>
                <w:lang w:val="en-US" w:eastAsia="zh-CN"/>
              </w:rPr>
              <w:t>。</w:t>
            </w:r>
          </w:p>
          <w:p>
            <w:pPr>
              <w:tabs>
                <w:tab w:val="left" w:pos="2724"/>
                <w:tab w:val="center" w:pos="4134"/>
              </w:tabs>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固化剂：固化剂的主要成分为过氧化甲乙酮。是使物质凝固的加工助剂，不饱和聚酯树脂固化物必需的原料之一，否则不饱和聚酯树脂就不会固化。是不饱和聚酯树脂在世界上应用最广泛的引发剂。90%以上的喷射法成型所用的引发剂是过氧化甲乙酮。其价格低，性能好，使用极其方便，和树脂混合容易。过氧化甲乙酮是一种化学物质，分子式是C</w:t>
            </w:r>
            <w:r>
              <w:rPr>
                <w:rFonts w:hint="default" w:ascii="Times New Roman" w:hAnsi="Times New Roman" w:eastAsia="宋体" w:cs="Times New Roman"/>
                <w:color w:val="auto"/>
                <w:sz w:val="24"/>
                <w:szCs w:val="24"/>
                <w:vertAlign w:val="subscript"/>
                <w:lang w:val="en-US" w:eastAsia="zh-CN"/>
              </w:rPr>
              <w:t>8</w:t>
            </w:r>
            <w:r>
              <w:rPr>
                <w:rFonts w:hint="default" w:ascii="Times New Roman" w:hAnsi="Times New Roman" w:eastAsia="宋体" w:cs="Times New Roman"/>
                <w:color w:val="auto"/>
                <w:sz w:val="24"/>
                <w:szCs w:val="24"/>
                <w:lang w:val="en-US" w:eastAsia="zh-CN"/>
              </w:rPr>
              <w:t>HO</w:t>
            </w:r>
            <w:r>
              <w:rPr>
                <w:rFonts w:hint="default" w:ascii="Times New Roman" w:hAnsi="Times New Roman" w:eastAsia="宋体" w:cs="Times New Roman"/>
                <w:color w:val="auto"/>
                <w:sz w:val="24"/>
                <w:szCs w:val="24"/>
                <w:vertAlign w:val="subscript"/>
                <w:lang w:val="en-US" w:eastAsia="zh-CN"/>
              </w:rPr>
              <w:t>6</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相对分子质量</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210.22，外观无色透明液</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相对密度1053</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凝固点-20℃。不溶于水，溶于苯、醇、醚和酯。在130°℃分解。通常商品为60%的苯二甲酸二甲脂溶液。相对密度约1.091，闪点：50℃（开杯），半衰期t/2=0.2h（150℃）、6h（120℃）、10（105℃）。活性氧含量18.20%。澄明度&lt;15℃时无结品析出，不发生浑浊。高毒物质</w:t>
            </w:r>
            <w:r>
              <w:rPr>
                <w:rFonts w:hint="eastAsia" w:ascii="Times New Roman" w:hAnsi="Times New Roman" w:eastAsia="宋体" w:cs="Times New Roman"/>
                <w:color w:val="auto"/>
                <w:sz w:val="24"/>
                <w:szCs w:val="24"/>
                <w:lang w:val="en-US" w:eastAsia="zh-CN"/>
              </w:rPr>
              <w:t>。</w:t>
            </w:r>
          </w:p>
          <w:p>
            <w:pPr>
              <w:tabs>
                <w:tab w:val="left" w:pos="2724"/>
                <w:tab w:val="center" w:pos="4134"/>
              </w:tabs>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缠绕纱（玻璃纤维）：玻璃纤维纱以玻璃球或废旧玻璃为原料经高温熔制、拉丝、络纱、织布等工艺制造成的。玻璃纤维纱主要用作电绝缘材料，工业过滤材料，防腐、防潮、隔热、隔音、减震材料。还可作为增强材料，用来制造增强塑料或增强石膏等玻璃钢制品。用有机材料被覆玻璃纤维可提高其柔韧性，用以制成包装布、窗纱、贴墙布、覆盖布、防护服和绝电、隔音材料</w:t>
            </w:r>
            <w:r>
              <w:rPr>
                <w:rFonts w:hint="eastAsia" w:ascii="Times New Roman" w:hAnsi="Times New Roman" w:eastAsia="宋体" w:cs="Times New Roman"/>
                <w:color w:val="auto"/>
                <w:sz w:val="24"/>
                <w:szCs w:val="24"/>
                <w:lang w:val="en-US" w:eastAsia="zh-CN"/>
              </w:rPr>
              <w:t>。</w:t>
            </w:r>
          </w:p>
          <w:p>
            <w:pPr>
              <w:tabs>
                <w:tab w:val="left" w:pos="2724"/>
                <w:tab w:val="center" w:pos="4134"/>
              </w:tabs>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短切毡（玻璃纤维）：玻璃纤维毡是将玻璃拉制成极细的玻璃丝，此时的玻璃丝就具有了很好的柔软性。将玻璃丝纺成纱，再通过织布机就可以织成玻璃纤维毡。玻璃纤维毡多用于手糊成工艺，玻璃纤维毡主要是在船体、贮罐、冷却塔、船舶、车辆、槽罐、建筑结构材料。玻璃纤维毡在工业上主要用于：隔热、防火、阻燃。该材料在遭到火焰燃烧时吸收大量热量并能阻止火焰穿过、隔绝空气</w:t>
            </w:r>
            <w:r>
              <w:rPr>
                <w:rFonts w:hint="eastAsia" w:ascii="Times New Roman" w:hAnsi="Times New Roman" w:eastAsia="宋体" w:cs="Times New Roman"/>
                <w:color w:val="auto"/>
                <w:sz w:val="24"/>
                <w:szCs w:val="24"/>
                <w:lang w:val="en-US" w:eastAsia="zh-CN"/>
              </w:rPr>
              <w:t>。</w:t>
            </w:r>
          </w:p>
          <w:p>
            <w:pPr>
              <w:tabs>
                <w:tab w:val="left" w:pos="2724"/>
                <w:tab w:val="center" w:pos="4134"/>
              </w:tabs>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石英砂：石英石经破碎加工而成的石英颗粒。石英石是一种非金属矿物质，坚硬、耐磨、化学性能稳定的硅酸盐矿物。石英砂的颜色为乳白色、或无色半透明状，莫氏硬度7。石英砂是重要的工业矿物原料，非化学危险品，广泛用于玻璃、铸造、陶瓷及防火材料、冶炼硅铁、冶金熔剂、冶金、建筑、化工、塑料、橡胶、磨料，滤料等工业</w:t>
            </w:r>
            <w:r>
              <w:rPr>
                <w:rFonts w:hint="eastAsia" w:ascii="Times New Roman" w:hAnsi="Times New Roman" w:eastAsia="宋体" w:cs="Times New Roman"/>
                <w:color w:val="auto"/>
                <w:sz w:val="24"/>
                <w:szCs w:val="24"/>
                <w:lang w:val="en-US" w:eastAsia="zh-CN"/>
              </w:rPr>
              <w:t>。</w:t>
            </w:r>
          </w:p>
          <w:p>
            <w:pPr>
              <w:tabs>
                <w:tab w:val="left" w:pos="2724"/>
                <w:tab w:val="center" w:pos="4134"/>
              </w:tabs>
              <w:spacing w:line="360" w:lineRule="auto"/>
              <w:rPr>
                <w:rFonts w:hint="eastAsia" w:cs="Times New Roman"/>
                <w:b/>
                <w:bCs/>
                <w:color w:val="auto"/>
                <w:sz w:val="24"/>
                <w:szCs w:val="24"/>
                <w:lang w:val="en-US" w:eastAsia="zh-CN" w:bidi="ar-SA"/>
              </w:rPr>
            </w:pPr>
            <w:r>
              <w:rPr>
                <w:rFonts w:hint="eastAsia" w:cs="Times New Roman"/>
                <w:b/>
                <w:bCs/>
                <w:color w:val="auto"/>
                <w:sz w:val="24"/>
                <w:szCs w:val="24"/>
                <w:lang w:val="en-US" w:eastAsia="zh-CN" w:bidi="ar-SA"/>
              </w:rPr>
              <w:t>2.6物料平衡</w:t>
            </w:r>
          </w:p>
          <w:p>
            <w:pPr>
              <w:pStyle w:val="16"/>
              <w:keepNext w:val="0"/>
              <w:keepLines w:val="0"/>
              <w:suppressLineNumbers w:val="0"/>
              <w:spacing w:before="0" w:beforeAutospacing="0" w:after="0" w:afterAutospacing="0" w:line="360" w:lineRule="auto"/>
              <w:ind w:left="0" w:right="0" w:firstLine="480" w:firstLineChars="200"/>
              <w:rPr>
                <w:rFonts w:hint="default"/>
                <w:color w:val="auto"/>
                <w:lang w:val="en-US" w:eastAsia="zh-CN"/>
              </w:rPr>
            </w:pPr>
            <w:r>
              <w:rPr>
                <w:rFonts w:hint="default" w:ascii="Times New Roman" w:hAnsi="Times New Roman" w:eastAsia="宋体" w:cs="Times New Roman"/>
                <w:color w:val="auto"/>
                <w:sz w:val="24"/>
                <w:szCs w:val="24"/>
              </w:rPr>
              <w:t>本项目物料平衡</w:t>
            </w:r>
            <w:r>
              <w:rPr>
                <w:rFonts w:hint="eastAsia" w:ascii="Times New Roman" w:hAnsi="Times New Roman" w:cs="Times New Roman"/>
                <w:color w:val="auto"/>
                <w:sz w:val="24"/>
                <w:szCs w:val="24"/>
                <w:lang w:eastAsia="zh-CN"/>
              </w:rPr>
              <w:t>表</w:t>
            </w:r>
            <w:r>
              <w:rPr>
                <w:rFonts w:hint="default" w:ascii="Times New Roman" w:hAnsi="Times New Roman" w:eastAsia="宋体" w:cs="Times New Roman"/>
                <w:color w:val="auto"/>
                <w:sz w:val="24"/>
                <w:szCs w:val="24"/>
              </w:rPr>
              <w:t>见表</w:t>
            </w:r>
            <w:r>
              <w:rPr>
                <w:rFonts w:hint="eastAsia" w:ascii="Times New Roman" w:hAnsi="Times New Roman" w:cs="Times New Roman"/>
                <w:color w:val="auto"/>
                <w:sz w:val="24"/>
                <w:szCs w:val="24"/>
                <w:lang w:val="en-US" w:eastAsia="zh-CN"/>
              </w:rPr>
              <w:t>2-5</w:t>
            </w:r>
            <w:r>
              <w:rPr>
                <w:rFonts w:hint="eastAsia" w:ascii="Times New Roman" w:cs="Times New Roman"/>
                <w:color w:val="auto"/>
                <w:sz w:val="24"/>
                <w:szCs w:val="24"/>
                <w:lang w:val="en-US" w:eastAsia="zh-CN"/>
              </w:rPr>
              <w:t>。</w:t>
            </w:r>
          </w:p>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表</w:t>
            </w:r>
            <w:r>
              <w:rPr>
                <w:rFonts w:hint="eastAsia" w:ascii="Times New Roman" w:hAnsi="Times New Roman" w:cs="Times New Roman"/>
                <w:b/>
                <w:bCs/>
                <w:color w:val="auto"/>
                <w:lang w:val="en-US" w:eastAsia="zh-CN"/>
              </w:rPr>
              <w:t xml:space="preserve">2-5  </w:t>
            </w:r>
            <w:r>
              <w:rPr>
                <w:rFonts w:hint="default" w:ascii="Times New Roman" w:hAnsi="Times New Roman" w:eastAsia="宋体" w:cs="Times New Roman"/>
                <w:b/>
                <w:bCs/>
                <w:color w:val="auto"/>
              </w:rPr>
              <w:t>本项目物料平衡表</w:t>
            </w:r>
          </w:p>
          <w:tbl>
            <w:tblPr>
              <w:tblStyle w:val="31"/>
              <w:tblW w:w="4998" w:type="pct"/>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354"/>
              <w:gridCol w:w="1722"/>
              <w:gridCol w:w="2545"/>
              <w:gridCol w:w="169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2452" w:type="pct"/>
                  <w:gridSpan w:val="2"/>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投入</w:t>
                  </w:r>
                </w:p>
              </w:tc>
              <w:tc>
                <w:tcPr>
                  <w:tcW w:w="2547" w:type="pct"/>
                  <w:gridSpan w:val="2"/>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6"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035"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531"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016"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0" w:hRule="atLeast"/>
              </w:trPr>
              <w:tc>
                <w:tcPr>
                  <w:tcW w:w="1416" w:type="pct"/>
                  <w:tcBorders>
                    <w:top w:val="single" w:color="000000" w:sz="4" w:space="0"/>
                    <w:bottom w:val="single" w:color="000000" w:sz="4" w:space="0"/>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薄膜</w:t>
                  </w:r>
                </w:p>
              </w:tc>
              <w:tc>
                <w:tcPr>
                  <w:tcW w:w="1035" w:type="pct"/>
                  <w:tcBorders>
                    <w:top w:val="single" w:color="000000" w:sz="4" w:space="0"/>
                    <w:bottom w:val="single" w:color="000000"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t</w:t>
                  </w:r>
                </w:p>
              </w:tc>
              <w:tc>
                <w:tcPr>
                  <w:tcW w:w="1531" w:type="pct"/>
                  <w:tcBorders>
                    <w:top w:val="single" w:color="000000" w:sz="4" w:space="0"/>
                    <w:bottom w:val="single" w:color="000000"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玻璃钢夹砂管道</w:t>
                  </w:r>
                </w:p>
              </w:tc>
              <w:tc>
                <w:tcPr>
                  <w:tcW w:w="1016" w:type="pct"/>
                  <w:tcBorders>
                    <w:top w:val="single" w:color="000000" w:sz="4" w:space="0"/>
                    <w:bottom w:val="single" w:color="000000"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eastAsia="Times New Roman" w:cs="Times New Roman"/>
                      <w:color w:val="auto"/>
                      <w:szCs w:val="21"/>
                      <w:lang w:val="en-US" w:eastAsia="zh-CN" w:bidi="ar-SA"/>
                    </w:rPr>
                    <w:t>8000t</w:t>
                  </w:r>
                  <w:r>
                    <w:rPr>
                      <w:rFonts w:hint="eastAsia" w:eastAsia="Times New Roman" w:cs="Times New Roman"/>
                      <w:color w:val="auto"/>
                      <w:lang w:val="en-US" w:eastAsia="zh-CN" w:bidi="ar-SA"/>
                    </w:rPr>
                    <w: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416"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纱布（棉质）</w:t>
                  </w:r>
                </w:p>
              </w:tc>
              <w:tc>
                <w:tcPr>
                  <w:tcW w:w="103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t</w:t>
                  </w:r>
                </w:p>
              </w:tc>
              <w:tc>
                <w:tcPr>
                  <w:tcW w:w="153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玻璃钢化工设备（储罐等）</w:t>
                  </w:r>
                </w:p>
              </w:tc>
              <w:tc>
                <w:tcPr>
                  <w:tcW w:w="10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3500</w:t>
                  </w:r>
                  <w:r>
                    <w:rPr>
                      <w:rFonts w:hint="default" w:ascii="Times New Roman" w:hAnsi="Times New Roman" w:eastAsia="宋体" w:cs="Times New Roman"/>
                      <w:color w:val="auto"/>
                      <w:sz w:val="21"/>
                      <w:szCs w:val="21"/>
                      <w:lang w:val="en-US" w:eastAsia="zh-CN" w:bidi="ar-SA"/>
                    </w:rPr>
                    <w:t>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416"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不饱和聚酯树脂</w:t>
                  </w:r>
                </w:p>
              </w:tc>
              <w:tc>
                <w:tcPr>
                  <w:tcW w:w="1035"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2875</w:t>
                  </w:r>
                  <w:r>
                    <w:rPr>
                      <w:rFonts w:hint="default" w:ascii="Times New Roman" w:hAnsi="Times New Roman" w:eastAsia="宋体" w:cs="Times New Roman"/>
                      <w:color w:val="auto"/>
                      <w:sz w:val="21"/>
                      <w:szCs w:val="21"/>
                      <w:lang w:val="en-US" w:eastAsia="zh-CN"/>
                    </w:rPr>
                    <w:t>t</w:t>
                  </w:r>
                </w:p>
              </w:tc>
              <w:tc>
                <w:tcPr>
                  <w:tcW w:w="1531"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粉尘</w:t>
                  </w:r>
                  <w:r>
                    <w:rPr>
                      <w:rFonts w:hint="default" w:ascii="Times New Roman" w:hAnsi="Times New Roman" w:eastAsia="宋体" w:cs="Times New Roman"/>
                      <w:color w:val="auto"/>
                      <w:sz w:val="21"/>
                      <w:szCs w:val="21"/>
                    </w:rPr>
                    <w:t>（含有组织、无组织</w:t>
                  </w:r>
                  <w:r>
                    <w:rPr>
                      <w:rFonts w:hint="eastAsia" w:ascii="Times New Roman" w:hAnsi="Times New Roman" w:eastAsia="宋体" w:cs="Times New Roman"/>
                      <w:color w:val="auto"/>
                      <w:sz w:val="21"/>
                      <w:szCs w:val="21"/>
                      <w:lang w:eastAsia="zh-CN"/>
                    </w:rPr>
                    <w:t>、沉降、</w:t>
                  </w:r>
                  <w:r>
                    <w:rPr>
                      <w:rFonts w:hint="default" w:ascii="Times New Roman" w:hAnsi="Times New Roman" w:eastAsia="宋体" w:cs="Times New Roman"/>
                      <w:color w:val="auto"/>
                      <w:sz w:val="21"/>
                      <w:szCs w:val="21"/>
                      <w:lang w:eastAsia="zh-CN"/>
                    </w:rPr>
                    <w:t>除尘器收集的粉尘</w:t>
                  </w:r>
                  <w:r>
                    <w:rPr>
                      <w:rFonts w:hint="eastAsia" w:ascii="Times New Roman" w:hAnsi="Times New Roman" w:eastAsia="宋体" w:cs="Times New Roman"/>
                      <w:color w:val="auto"/>
                      <w:sz w:val="21"/>
                      <w:szCs w:val="21"/>
                      <w:lang w:eastAsia="zh-CN"/>
                    </w:rPr>
                    <w:t>）</w:t>
                  </w:r>
                </w:p>
              </w:tc>
              <w:tc>
                <w:tcPr>
                  <w:tcW w:w="10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40.25</w:t>
                  </w:r>
                  <w:r>
                    <w:rPr>
                      <w:rFonts w:hint="default" w:ascii="Times New Roman" w:hAnsi="Times New Roman" w:eastAsia="宋体" w:cs="Times New Roman"/>
                      <w:color w:val="auto"/>
                      <w:sz w:val="21"/>
                      <w:szCs w:val="21"/>
                      <w:lang w:val="en-US" w:eastAsia="zh-CN" w:bidi="ar-SA"/>
                    </w:rPr>
                    <w:t>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4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网格布（棉质）</w:t>
                  </w:r>
                </w:p>
              </w:tc>
              <w:tc>
                <w:tcPr>
                  <w:tcW w:w="103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w:t>
                  </w:r>
                  <w:r>
                    <w:rPr>
                      <w:rFonts w:hint="default" w:ascii="Times New Roman" w:hAnsi="Times New Roman" w:eastAsia="宋体" w:cs="Times New Roman"/>
                      <w:color w:val="auto"/>
                      <w:sz w:val="21"/>
                      <w:szCs w:val="21"/>
                      <w:lang w:val="en-US" w:eastAsia="zh-CN"/>
                    </w:rPr>
                    <w:t>t</w:t>
                  </w:r>
                </w:p>
              </w:tc>
              <w:tc>
                <w:tcPr>
                  <w:tcW w:w="153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有机废气</w:t>
                  </w:r>
                  <w:r>
                    <w:rPr>
                      <w:rFonts w:hint="default" w:ascii="Times New Roman" w:hAnsi="Times New Roman" w:eastAsia="宋体" w:cs="Times New Roman"/>
                      <w:color w:val="auto"/>
                      <w:sz w:val="21"/>
                      <w:szCs w:val="21"/>
                    </w:rPr>
                    <w:t>（含有组织、无组织</w:t>
                  </w:r>
                  <w:r>
                    <w:rPr>
                      <w:rFonts w:hint="eastAsia" w:ascii="Times New Roman" w:hAnsi="Times New Roman" w:eastAsia="宋体" w:cs="Times New Roman"/>
                      <w:color w:val="auto"/>
                      <w:sz w:val="21"/>
                      <w:szCs w:val="21"/>
                      <w:lang w:eastAsia="zh-CN"/>
                    </w:rPr>
                    <w:t>、吸附燃烧</w:t>
                  </w:r>
                  <w:r>
                    <w:rPr>
                      <w:rFonts w:hint="default" w:ascii="Times New Roman" w:hAnsi="Times New Roman" w:eastAsia="宋体" w:cs="Times New Roman"/>
                      <w:color w:val="auto"/>
                      <w:sz w:val="21"/>
                      <w:szCs w:val="21"/>
                    </w:rPr>
                    <w:t>）</w:t>
                  </w:r>
                </w:p>
              </w:tc>
              <w:tc>
                <w:tcPr>
                  <w:tcW w:w="10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eastAsia="Times New Roman" w:cs="Times New Roman"/>
                      <w:color w:val="auto"/>
                      <w:szCs w:val="21"/>
                      <w:lang w:val="en-US" w:eastAsia="zh-CN" w:bidi="ar-SA"/>
                    </w:rPr>
                    <w:t>1.006</w:t>
                  </w:r>
                  <w:r>
                    <w:rPr>
                      <w:rFonts w:hint="eastAsia" w:eastAsia="Times New Roman" w:cs="Times New Roman"/>
                      <w:color w:val="auto"/>
                      <w:lang w:val="en-US" w:eastAsia="zh-CN" w:bidi="ar-SA"/>
                    </w:rPr>
                    <w:t>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4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促进剂</w:t>
                  </w:r>
                </w:p>
              </w:tc>
              <w:tc>
                <w:tcPr>
                  <w:tcW w:w="103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lang w:val="en-US" w:eastAsia="zh-CN"/>
                    </w:rPr>
                    <w:t>t</w:t>
                  </w:r>
                </w:p>
              </w:tc>
              <w:tc>
                <w:tcPr>
                  <w:tcW w:w="1531"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下脚料、不合格产品</w:t>
                  </w:r>
                </w:p>
              </w:tc>
              <w:tc>
                <w:tcPr>
                  <w:tcW w:w="10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eastAsia="Times New Roman" w:cs="Times New Roman"/>
                      <w:color w:val="auto"/>
                      <w:szCs w:val="21"/>
                      <w:lang w:val="en-US" w:eastAsia="zh-CN" w:bidi="ar-SA"/>
                    </w:rPr>
                    <w:t>30.764t</w:t>
                  </w:r>
                  <w:r>
                    <w:rPr>
                      <w:rFonts w:hint="eastAsia" w:eastAsia="Times New Roman" w:cs="Times New Roman"/>
                      <w:color w:val="auto"/>
                      <w:lang w:val="en-US" w:eastAsia="zh-CN" w:bidi="ar-SA"/>
                    </w:rPr>
                    <w: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4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固化剂</w:t>
                  </w:r>
                </w:p>
              </w:tc>
              <w:tc>
                <w:tcPr>
                  <w:tcW w:w="103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lang w:val="en-US" w:eastAsia="zh-CN"/>
                    </w:rPr>
                    <w:t>t</w:t>
                  </w:r>
                </w:p>
              </w:tc>
              <w:tc>
                <w:tcPr>
                  <w:tcW w:w="153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废包装材料</w:t>
                  </w:r>
                </w:p>
              </w:tc>
              <w:tc>
                <w:tcPr>
                  <w:tcW w:w="10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5.98</w:t>
                  </w:r>
                  <w:r>
                    <w:rPr>
                      <w:rFonts w:hint="default" w:ascii="Times New Roman" w:hAnsi="Times New Roman" w:eastAsia="宋体" w:cs="Times New Roman"/>
                      <w:color w:val="auto"/>
                      <w:sz w:val="21"/>
                      <w:szCs w:val="21"/>
                      <w:lang w:val="en-US" w:eastAsia="zh-CN" w:bidi="ar-SA"/>
                    </w:rPr>
                    <w:t>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4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缠绕纱（玻璃纤维）</w:t>
                  </w:r>
                </w:p>
              </w:tc>
              <w:tc>
                <w:tcPr>
                  <w:tcW w:w="1035"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7000</w:t>
                  </w:r>
                  <w:r>
                    <w:rPr>
                      <w:rFonts w:hint="default" w:ascii="Times New Roman" w:hAnsi="Times New Roman" w:eastAsia="宋体" w:cs="Times New Roman"/>
                      <w:color w:val="auto"/>
                      <w:sz w:val="21"/>
                      <w:szCs w:val="21"/>
                      <w:lang w:val="en-US" w:eastAsia="zh-CN"/>
                    </w:rPr>
                    <w:t>t</w:t>
                  </w:r>
                </w:p>
              </w:tc>
              <w:tc>
                <w:tcPr>
                  <w:tcW w:w="153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废不饱和聚酯树脂桶</w:t>
                  </w:r>
                </w:p>
              </w:tc>
              <w:tc>
                <w:tcPr>
                  <w:tcW w:w="1016" w:type="pct"/>
                  <w:tcBorders>
                    <w:tl2br w:val="nil"/>
                    <w:tr2bl w:val="nil"/>
                  </w:tcBorders>
                  <w:noWrap w:val="0"/>
                  <w:vAlign w:val="center"/>
                </w:tcPr>
                <w:p>
                  <w:pPr>
                    <w:spacing w:line="240" w:lineRule="auto"/>
                    <w:jc w:val="center"/>
                    <w:rPr>
                      <w:rFonts w:hint="eastAsia" w:eastAsia="Times New Roman" w:cs="Times New Roman"/>
                      <w:color w:val="auto"/>
                      <w:szCs w:val="21"/>
                      <w:lang w:val="en-US" w:eastAsia="zh-CN" w:bidi="ar-SA"/>
                    </w:rPr>
                  </w:pPr>
                  <w:r>
                    <w:rPr>
                      <w:rFonts w:hint="eastAsia" w:ascii="Times New Roman" w:hAnsi="Times New Roman" w:eastAsia="宋体" w:cs="Times New Roman"/>
                      <w:color w:val="auto"/>
                      <w:sz w:val="21"/>
                      <w:szCs w:val="21"/>
                      <w:lang w:val="en-US" w:eastAsia="zh-CN" w:bidi="ar-SA"/>
                    </w:rPr>
                    <w:t>43.5</w:t>
                  </w:r>
                  <w:r>
                    <w:rPr>
                      <w:rFonts w:hint="default" w:ascii="Times New Roman" w:hAnsi="Times New Roman" w:eastAsia="宋体" w:cs="Times New Roman"/>
                      <w:color w:val="auto"/>
                      <w:sz w:val="21"/>
                      <w:szCs w:val="21"/>
                      <w:lang w:val="en-US" w:eastAsia="zh-CN" w:bidi="ar-SA"/>
                    </w:rPr>
                    <w:t>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4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石英砂</w:t>
                  </w:r>
                </w:p>
              </w:tc>
              <w:tc>
                <w:tcPr>
                  <w:tcW w:w="103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1600</w:t>
                  </w:r>
                  <w:r>
                    <w:rPr>
                      <w:rFonts w:hint="default" w:ascii="Times New Roman" w:hAnsi="Times New Roman" w:eastAsia="宋体" w:cs="Times New Roman"/>
                      <w:color w:val="auto"/>
                      <w:sz w:val="21"/>
                      <w:szCs w:val="21"/>
                      <w:lang w:val="en-US" w:eastAsia="zh-CN"/>
                    </w:rPr>
                    <w:t>t</w:t>
                  </w:r>
                </w:p>
              </w:tc>
              <w:tc>
                <w:tcPr>
                  <w:tcW w:w="1531"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废促进剂、固化剂桶</w:t>
                  </w:r>
                </w:p>
              </w:tc>
              <w:tc>
                <w:tcPr>
                  <w:tcW w:w="10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3.5</w:t>
                  </w:r>
                  <w:r>
                    <w:rPr>
                      <w:rFonts w:hint="default" w:ascii="Times New Roman" w:hAnsi="Times New Roman" w:eastAsia="宋体" w:cs="Times New Roman"/>
                      <w:color w:val="auto"/>
                      <w:sz w:val="21"/>
                      <w:szCs w:val="21"/>
                      <w:lang w:val="en-US" w:eastAsia="zh-CN" w:bidi="ar-SA"/>
                    </w:rPr>
                    <w:t>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4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短切毡（玻璃纤维）</w:t>
                  </w:r>
                </w:p>
              </w:tc>
              <w:tc>
                <w:tcPr>
                  <w:tcW w:w="103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58</w:t>
                  </w:r>
                  <w:r>
                    <w:rPr>
                      <w:rFonts w:hint="default" w:ascii="Times New Roman" w:hAnsi="Times New Roman" w:eastAsia="宋体" w:cs="Times New Roman"/>
                      <w:color w:val="auto"/>
                      <w:sz w:val="21"/>
                      <w:szCs w:val="21"/>
                      <w:lang w:val="en-US" w:eastAsia="zh-CN"/>
                    </w:rPr>
                    <w:t>t</w:t>
                  </w:r>
                </w:p>
              </w:tc>
              <w:tc>
                <w:tcPr>
                  <w:tcW w:w="153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4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035" w:type="pct"/>
                  <w:tcBorders>
                    <w:tl2br w:val="nil"/>
                    <w:tr2bl w:val="nil"/>
                  </w:tcBorders>
                  <w:noWrap w:val="0"/>
                  <w:vAlign w:val="center"/>
                </w:tcPr>
                <w:p>
                  <w:pPr>
                    <w:spacing w:line="240" w:lineRule="auto"/>
                    <w:jc w:val="center"/>
                    <w:rPr>
                      <w:rFonts w:hint="eastAsia" w:eastAsia="Times New Roman" w:cs="Times New Roman"/>
                      <w:color w:val="auto"/>
                      <w:szCs w:val="21"/>
                      <w:lang w:val="en-US" w:eastAsia="zh-CN" w:bidi="ar-SA"/>
                    </w:rPr>
                  </w:pPr>
                  <w:r>
                    <w:rPr>
                      <w:rFonts w:hint="eastAsia" w:eastAsia="Times New Roman" w:cs="Times New Roman"/>
                      <w:color w:val="auto"/>
                      <w:szCs w:val="21"/>
                      <w:lang w:val="en-US" w:eastAsia="zh-CN" w:bidi="ar-SA"/>
                    </w:rPr>
                    <w:t>11625</w:t>
                  </w:r>
                  <w:r>
                    <w:rPr>
                      <w:rFonts w:hint="eastAsia" w:eastAsia="Times New Roman" w:cs="Times New Roman"/>
                      <w:color w:val="auto"/>
                      <w:lang w:val="en-US" w:eastAsia="zh-CN" w:bidi="ar-SA"/>
                    </w:rPr>
                    <w:t>t/a</w:t>
                  </w:r>
                </w:p>
              </w:tc>
              <w:tc>
                <w:tcPr>
                  <w:tcW w:w="153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016" w:type="pct"/>
                  <w:tcBorders>
                    <w:tl2br w:val="nil"/>
                    <w:tr2bl w:val="nil"/>
                  </w:tcBorders>
                  <w:noWrap w:val="0"/>
                  <w:vAlign w:val="center"/>
                </w:tcPr>
                <w:p>
                  <w:pPr>
                    <w:spacing w:line="240" w:lineRule="auto"/>
                    <w:jc w:val="center"/>
                    <w:rPr>
                      <w:rFonts w:hint="eastAsia" w:eastAsia="Times New Roman" w:cs="Times New Roman"/>
                      <w:color w:val="auto"/>
                      <w:szCs w:val="21"/>
                      <w:lang w:val="en-US" w:eastAsia="zh-CN" w:bidi="ar-SA"/>
                    </w:rPr>
                  </w:pPr>
                  <w:r>
                    <w:rPr>
                      <w:rFonts w:hint="eastAsia" w:eastAsia="Times New Roman" w:cs="Times New Roman"/>
                      <w:color w:val="auto"/>
                      <w:szCs w:val="21"/>
                      <w:lang w:val="en-US" w:eastAsia="zh-CN" w:bidi="ar-SA"/>
                    </w:rPr>
                    <w:t>11625</w:t>
                  </w:r>
                  <w:r>
                    <w:rPr>
                      <w:rFonts w:hint="eastAsia" w:eastAsia="Times New Roman" w:cs="Times New Roman"/>
                      <w:color w:val="auto"/>
                      <w:lang w:val="en-US" w:eastAsia="zh-CN" w:bidi="ar-SA"/>
                    </w:rPr>
                    <w:t>t/a</w:t>
                  </w:r>
                </w:p>
              </w:tc>
            </w:tr>
          </w:tbl>
          <w:p>
            <w:pPr>
              <w:tabs>
                <w:tab w:val="left" w:pos="2724"/>
                <w:tab w:val="center" w:pos="4134"/>
              </w:tabs>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2.</w:t>
            </w:r>
            <w:r>
              <w:rPr>
                <w:rFonts w:hint="eastAsia" w:cs="Times New Roman"/>
                <w:b/>
                <w:bCs/>
                <w:color w:val="auto"/>
                <w:sz w:val="24"/>
                <w:szCs w:val="24"/>
                <w:lang w:val="en-US" w:eastAsia="zh-CN" w:bidi="ar-SA"/>
              </w:rPr>
              <w:t>7</w:t>
            </w:r>
            <w:r>
              <w:rPr>
                <w:rFonts w:hint="default" w:ascii="Times New Roman" w:hAnsi="Times New Roman" w:eastAsia="宋体" w:cs="Times New Roman"/>
                <w:b/>
                <w:bCs/>
                <w:color w:val="auto"/>
                <w:sz w:val="24"/>
                <w:szCs w:val="24"/>
                <w:lang w:val="en-US" w:eastAsia="zh-CN" w:bidi="ar-SA"/>
              </w:rPr>
              <w:t>劳动定员和工作制度</w:t>
            </w:r>
          </w:p>
          <w:p>
            <w:pPr>
              <w:spacing w:line="360" w:lineRule="auto"/>
              <w:ind w:firstLine="480" w:firstLineChars="200"/>
              <w:rPr>
                <w:rFonts w:hint="default" w:ascii="Times New Roman" w:hAnsi="Times New Roman" w:eastAsia="宋体" w:cs="Times New Roman"/>
                <w:b/>
                <w:color w:val="auto"/>
                <w:sz w:val="28"/>
                <w:szCs w:val="28"/>
                <w:lang w:bidi="ar-SA"/>
              </w:rPr>
            </w:pPr>
            <w:r>
              <w:rPr>
                <w:rFonts w:hint="default" w:ascii="Times New Roman" w:hAnsi="Times New Roman" w:eastAsia="宋体" w:cs="Times New Roman"/>
                <w:color w:val="auto"/>
                <w:sz w:val="24"/>
              </w:rPr>
              <w:t>本项目建成后工作人员总数</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人，采用</w:t>
            </w:r>
            <w:r>
              <w:rPr>
                <w:rFonts w:hint="eastAsia" w:ascii="Times New Roman" w:hAnsi="Times New Roman" w:eastAsia="宋体" w:cs="Times New Roman"/>
                <w:color w:val="auto"/>
                <w:sz w:val="24"/>
                <w:lang w:eastAsia="zh-CN"/>
              </w:rPr>
              <w:t>一</w:t>
            </w:r>
            <w:r>
              <w:rPr>
                <w:rFonts w:hint="default" w:ascii="Times New Roman" w:hAnsi="Times New Roman" w:eastAsia="宋体" w:cs="Times New Roman"/>
                <w:color w:val="auto"/>
                <w:sz w:val="24"/>
              </w:rPr>
              <w:t>班制</w:t>
            </w:r>
            <w:r>
              <w:rPr>
                <w:rFonts w:hint="eastAsia" w:ascii="Times New Roman" w:hAnsi="Times New Roman" w:eastAsia="宋体" w:cs="Times New Roman"/>
                <w:color w:val="auto"/>
                <w:sz w:val="24"/>
                <w:lang w:eastAsia="zh-CN"/>
              </w:rPr>
              <w:t>生产</w:t>
            </w:r>
            <w:r>
              <w:rPr>
                <w:rFonts w:hint="default" w:ascii="Times New Roman" w:hAnsi="Times New Roman" w:eastAsia="宋体" w:cs="Times New Roman"/>
                <w:color w:val="auto"/>
                <w:sz w:val="24"/>
              </w:rPr>
              <w:t>，每班</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h，年工作</w:t>
            </w:r>
            <w:r>
              <w:rPr>
                <w:rFonts w:hint="eastAsia" w:ascii="Times New Roman" w:hAnsi="Times New Roman" w:eastAsia="宋体" w:cs="Times New Roman"/>
                <w:color w:val="auto"/>
                <w:sz w:val="24"/>
                <w:lang w:val="en-US" w:eastAsia="zh-CN"/>
              </w:rPr>
              <w:t>240</w:t>
            </w:r>
            <w:r>
              <w:rPr>
                <w:rFonts w:hint="default" w:ascii="Times New Roman" w:hAnsi="Times New Roman" w:eastAsia="宋体" w:cs="Times New Roman"/>
                <w:color w:val="auto"/>
                <w:sz w:val="24"/>
              </w:rPr>
              <w:t>天</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项目不提供食宿，办公依托园区办公场所</w:t>
            </w:r>
            <w:r>
              <w:rPr>
                <w:rFonts w:hint="default" w:ascii="Times New Roman" w:hAnsi="Times New Roman" w:eastAsia="宋体" w:cs="Times New Roman"/>
                <w:color w:val="auto"/>
                <w:sz w:val="24"/>
                <w:lang w:bidi="ar-SA"/>
              </w:rPr>
              <w:t>。</w:t>
            </w:r>
          </w:p>
          <w:p>
            <w:pPr>
              <w:tabs>
                <w:tab w:val="left" w:pos="2724"/>
                <w:tab w:val="center" w:pos="4134"/>
              </w:tabs>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2.</w:t>
            </w:r>
            <w:r>
              <w:rPr>
                <w:rFonts w:hint="eastAsia" w:cs="Times New Roman"/>
                <w:b/>
                <w:bCs/>
                <w:color w:val="auto"/>
                <w:sz w:val="24"/>
                <w:szCs w:val="24"/>
                <w:lang w:val="en-US" w:eastAsia="zh-CN" w:bidi="ar-SA"/>
              </w:rPr>
              <w:t>8</w:t>
            </w:r>
            <w:r>
              <w:rPr>
                <w:rFonts w:hint="default" w:ascii="Times New Roman" w:hAnsi="Times New Roman" w:eastAsia="宋体" w:cs="Times New Roman"/>
                <w:b/>
                <w:bCs/>
                <w:color w:val="auto"/>
                <w:sz w:val="24"/>
                <w:szCs w:val="24"/>
                <w:lang w:val="en-US" w:eastAsia="zh-CN" w:bidi="ar-SA"/>
              </w:rPr>
              <w:t>公用工程</w:t>
            </w:r>
          </w:p>
          <w:p>
            <w:pPr>
              <w:spacing w:line="360" w:lineRule="auto"/>
              <w:rPr>
                <w:rFonts w:hint="eastAsia" w:ascii="Times New Roman" w:hAnsi="Times New Roman" w:eastAsia="宋体" w:cs="Times New Roman"/>
                <w:color w:val="auto"/>
                <w:sz w:val="24"/>
                <w:szCs w:val="24"/>
                <w:lang w:eastAsia="zh-CN" w:bidi="ar-SA"/>
              </w:rPr>
            </w:pPr>
            <w:r>
              <w:rPr>
                <w:rFonts w:hint="default" w:ascii="Times New Roman" w:hAnsi="Times New Roman" w:eastAsia="宋体" w:cs="Times New Roman"/>
                <w:color w:val="auto"/>
                <w:sz w:val="24"/>
                <w:szCs w:val="24"/>
                <w:lang w:val="en-US" w:eastAsia="zh-CN" w:bidi="ar-SA"/>
              </w:rPr>
              <w:t>2.</w:t>
            </w:r>
            <w:r>
              <w:rPr>
                <w:rFonts w:hint="eastAsia" w:cs="Times New Roman"/>
                <w:color w:val="auto"/>
                <w:sz w:val="24"/>
                <w:szCs w:val="24"/>
                <w:lang w:val="en-US" w:eastAsia="zh-CN" w:bidi="ar-SA"/>
              </w:rPr>
              <w:t>8</w:t>
            </w:r>
            <w:r>
              <w:rPr>
                <w:rFonts w:hint="default" w:ascii="Times New Roman" w:hAnsi="Times New Roman" w:eastAsia="宋体" w:cs="Times New Roman"/>
                <w:color w:val="auto"/>
                <w:sz w:val="24"/>
                <w:szCs w:val="24"/>
                <w:lang w:val="en-US" w:eastAsia="zh-CN" w:bidi="ar-SA"/>
              </w:rPr>
              <w:t>.1</w:t>
            </w:r>
            <w:r>
              <w:rPr>
                <w:rFonts w:hint="default" w:ascii="Times New Roman" w:hAnsi="Times New Roman" w:eastAsia="宋体" w:cs="Times New Roman"/>
                <w:color w:val="auto"/>
                <w:sz w:val="24"/>
                <w:szCs w:val="24"/>
                <w:lang w:bidi="ar-SA"/>
              </w:rPr>
              <w:t>供</w:t>
            </w:r>
            <w:r>
              <w:rPr>
                <w:rFonts w:hint="eastAsia" w:cs="Times New Roman"/>
                <w:color w:val="auto"/>
                <w:sz w:val="24"/>
                <w:szCs w:val="24"/>
                <w:lang w:eastAsia="zh-CN" w:bidi="ar-SA"/>
              </w:rPr>
              <w:t>、排水</w:t>
            </w:r>
          </w:p>
          <w:p>
            <w:pPr>
              <w:keepNext w:val="0"/>
              <w:keepLines w:val="0"/>
              <w:widowControl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val="en-US" w:eastAsia="zh-CN" w:bidi="ar-SA"/>
              </w:rPr>
              <w:t>本项目用水来自当地市政给水管网。</w:t>
            </w:r>
            <w:r>
              <w:rPr>
                <w:rFonts w:hint="default" w:ascii="Times New Roman" w:hAnsi="Times New Roman" w:eastAsia="宋体" w:cs="Times New Roman"/>
                <w:color w:val="auto"/>
                <w:sz w:val="24"/>
                <w:szCs w:val="24"/>
                <w:lang w:val="zh-CN" w:eastAsia="zh-CN" w:bidi="ar-SA"/>
              </w:rPr>
              <w:t>项目用水主要为</w:t>
            </w:r>
            <w:r>
              <w:rPr>
                <w:rFonts w:hint="default" w:ascii="Times New Roman" w:hAnsi="Times New Roman" w:eastAsia="宋体" w:cs="Times New Roman"/>
                <w:color w:val="auto"/>
                <w:sz w:val="24"/>
                <w:szCs w:val="24"/>
                <w:lang w:bidi="ar-SA"/>
              </w:rPr>
              <w:t>员工生活用水。</w:t>
            </w:r>
          </w:p>
          <w:p>
            <w:pPr>
              <w:keepNext w:val="0"/>
              <w:keepLines w:val="0"/>
              <w:widowControl w:val="0"/>
              <w:numPr>
                <w:ilvl w:val="0"/>
                <w:numId w:val="0"/>
              </w:numPr>
              <w:suppressLineNumbers w:val="0"/>
              <w:spacing w:before="0" w:beforeAutospacing="0" w:after="0" w:afterAutospacing="0" w:line="360" w:lineRule="auto"/>
              <w:ind w:leftChars="200" w:right="0" w:rightChars="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eastAsia="zh-CN" w:bidi="ar-SA"/>
              </w:rPr>
              <w:t>（</w:t>
            </w:r>
            <w:r>
              <w:rPr>
                <w:rFonts w:hint="eastAsia" w:ascii="Times New Roman" w:hAnsi="Times New Roman" w:eastAsia="宋体" w:cs="Times New Roman"/>
                <w:color w:val="auto"/>
                <w:sz w:val="24"/>
                <w:szCs w:val="24"/>
                <w:lang w:val="en-US" w:eastAsia="zh-CN" w:bidi="ar-SA"/>
              </w:rPr>
              <w:t>1</w:t>
            </w:r>
            <w:r>
              <w:rPr>
                <w:rFonts w:hint="eastAsia" w:ascii="Times New Roman" w:hAnsi="Times New Roman" w:eastAsia="宋体" w:cs="Times New Roman"/>
                <w:color w:val="auto"/>
                <w:sz w:val="24"/>
                <w:szCs w:val="24"/>
                <w:lang w:eastAsia="zh-CN" w:bidi="ar-SA"/>
              </w:rPr>
              <w:t>）</w:t>
            </w:r>
            <w:r>
              <w:rPr>
                <w:rFonts w:hint="eastAsia" w:ascii="Times New Roman" w:hAnsi="Times New Roman" w:eastAsia="宋体" w:cs="Times New Roman"/>
                <w:color w:val="auto"/>
                <w:sz w:val="24"/>
                <w:szCs w:val="24"/>
                <w:lang w:val="en-US" w:eastAsia="zh-CN" w:bidi="ar-SA"/>
              </w:rPr>
              <w:t>生活用水</w:t>
            </w:r>
          </w:p>
          <w:p>
            <w:pPr>
              <w:keepNext w:val="0"/>
              <w:keepLines w:val="0"/>
              <w:widowControl w:val="0"/>
              <w:numPr>
                <w:ilvl w:val="0"/>
                <w:numId w:val="0"/>
              </w:numPr>
              <w:suppressLineNumbers w:val="0"/>
              <w:spacing w:before="0" w:beforeAutospacing="0" w:after="0" w:afterAutospacing="0" w:line="360" w:lineRule="auto"/>
              <w:ind w:right="0" w:rightChars="0" w:firstLine="480" w:firstLineChars="200"/>
              <w:rPr>
                <w:rFonts w:hint="eastAsia" w:ascii="Times New Roman" w:hAnsi="Times New Roman" w:eastAsia="宋体" w:cs="Times New Roman"/>
                <w:color w:val="auto"/>
                <w:sz w:val="24"/>
                <w:szCs w:val="24"/>
                <w:lang w:eastAsia="zh-CN" w:bidi="ar-SA"/>
              </w:rPr>
            </w:pPr>
            <w:r>
              <w:rPr>
                <w:rFonts w:hint="default" w:ascii="Times New Roman" w:hAnsi="Times New Roman" w:eastAsia="宋体" w:cs="Times New Roman"/>
                <w:color w:val="auto"/>
                <w:sz w:val="24"/>
                <w:szCs w:val="24"/>
                <w:lang w:val="en-US" w:eastAsia="zh-CN" w:bidi="ar-SA"/>
              </w:rPr>
              <w:t>本项目劳动定员</w:t>
            </w:r>
            <w:r>
              <w:rPr>
                <w:rFonts w:hint="eastAsia" w:ascii="Times New Roman" w:hAnsi="Times New Roman" w:eastAsia="宋体" w:cs="Times New Roman"/>
                <w:color w:val="auto"/>
                <w:sz w:val="24"/>
                <w:szCs w:val="24"/>
                <w:lang w:val="en-US" w:eastAsia="zh-CN" w:bidi="ar-SA"/>
              </w:rPr>
              <w:t>10</w:t>
            </w:r>
            <w:r>
              <w:rPr>
                <w:rFonts w:hint="default" w:ascii="Times New Roman" w:hAnsi="Times New Roman" w:eastAsia="宋体" w:cs="Times New Roman"/>
                <w:color w:val="auto"/>
                <w:sz w:val="24"/>
                <w:szCs w:val="24"/>
                <w:lang w:val="en-US" w:eastAsia="zh-CN" w:bidi="ar-SA"/>
              </w:rPr>
              <w:t>人，员工生活用水按照《新疆维吾尔自治区工业和生活用水定额》（新政办发[2007]105号）中的厂区职工生活用水定额0.08m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/人·d计，则本项目员工生活用水量为</w:t>
            </w:r>
            <w:r>
              <w:rPr>
                <w:rFonts w:hint="eastAsia" w:ascii="Times New Roman" w:hAnsi="Times New Roman" w:eastAsia="宋体" w:cs="Times New Roman"/>
                <w:color w:val="auto"/>
                <w:sz w:val="24"/>
                <w:szCs w:val="24"/>
                <w:lang w:val="en-US" w:eastAsia="zh-CN" w:bidi="ar-SA"/>
              </w:rPr>
              <w:t>0.8</w:t>
            </w:r>
            <w:r>
              <w:rPr>
                <w:rFonts w:hint="default" w:ascii="Times New Roman" w:hAnsi="Times New Roman" w:eastAsia="宋体" w:cs="Times New Roman"/>
                <w:color w:val="auto"/>
                <w:sz w:val="24"/>
                <w:szCs w:val="24"/>
                <w:lang w:val="en-US" w:eastAsia="zh-CN" w:bidi="ar-SA"/>
              </w:rPr>
              <w:t>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/d（</w:t>
            </w:r>
            <w:r>
              <w:rPr>
                <w:rFonts w:hint="eastAsia" w:ascii="Times New Roman" w:hAnsi="Times New Roman" w:eastAsia="宋体" w:cs="Times New Roman"/>
                <w:color w:val="auto"/>
                <w:sz w:val="24"/>
                <w:szCs w:val="24"/>
                <w:lang w:val="en-US" w:eastAsia="zh-CN" w:bidi="ar-SA"/>
              </w:rPr>
              <w:t>192</w:t>
            </w:r>
            <w:r>
              <w:rPr>
                <w:rFonts w:hint="default" w:ascii="Times New Roman" w:hAnsi="Times New Roman" w:eastAsia="宋体" w:cs="Times New Roman"/>
                <w:color w:val="auto"/>
                <w:sz w:val="24"/>
                <w:szCs w:val="24"/>
                <w:lang w:val="en-US" w:eastAsia="zh-CN" w:bidi="ar-SA"/>
              </w:rPr>
              <w:t>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/a）</w:t>
            </w:r>
            <w:r>
              <w:rPr>
                <w:rFonts w:hint="eastAsia"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eastAsia="zh-CN" w:bidi="ar-SA"/>
              </w:rPr>
              <w:t>生活污水</w:t>
            </w:r>
            <w:r>
              <w:rPr>
                <w:rFonts w:hint="default" w:ascii="Times New Roman" w:hAnsi="Times New Roman" w:eastAsia="宋体" w:cs="Times New Roman"/>
                <w:color w:val="auto"/>
                <w:sz w:val="24"/>
                <w:szCs w:val="24"/>
                <w:lang w:val="en-US" w:eastAsia="zh-CN" w:bidi="ar-SA"/>
              </w:rPr>
              <w:t>以用水量</w:t>
            </w:r>
            <w:r>
              <w:rPr>
                <w:rFonts w:hint="eastAsia" w:ascii="Times New Roman" w:hAnsi="Times New Roman" w:eastAsia="宋体" w:cs="Times New Roman"/>
                <w:color w:val="auto"/>
                <w:sz w:val="24"/>
                <w:szCs w:val="24"/>
                <w:lang w:val="en-US" w:eastAsia="zh-CN" w:bidi="ar-SA"/>
              </w:rPr>
              <w:t>80</w:t>
            </w:r>
            <w:r>
              <w:rPr>
                <w:rFonts w:hint="default" w:ascii="Times New Roman" w:hAnsi="Times New Roman" w:eastAsia="宋体" w:cs="Times New Roman"/>
                <w:color w:val="auto"/>
                <w:sz w:val="24"/>
                <w:szCs w:val="24"/>
                <w:lang w:val="en-US" w:eastAsia="zh-CN" w:bidi="ar-SA"/>
              </w:rPr>
              <w:t>%计算</w:t>
            </w:r>
            <w:r>
              <w:rPr>
                <w:rFonts w:hint="eastAsia" w:ascii="Times New Roman" w:hAnsi="Times New Roman" w:eastAsia="宋体" w:cs="Times New Roman"/>
                <w:color w:val="auto"/>
                <w:sz w:val="24"/>
              </w:rPr>
              <w:t>，则</w:t>
            </w:r>
            <w:r>
              <w:rPr>
                <w:rFonts w:ascii="Times New Roman" w:hAnsi="Times New Roman" w:eastAsia="宋体" w:cs="Times New Roman"/>
                <w:color w:val="auto"/>
                <w:sz w:val="24"/>
              </w:rPr>
              <w:t>生活污水产生量为</w:t>
            </w:r>
            <w:r>
              <w:rPr>
                <w:rFonts w:hint="eastAsia" w:ascii="Times New Roman" w:hAnsi="Times New Roman" w:eastAsia="宋体" w:cs="Times New Roman"/>
                <w:color w:val="auto"/>
                <w:sz w:val="24"/>
                <w:lang w:val="en-US" w:eastAsia="zh-CN"/>
              </w:rPr>
              <w:t>0.64</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153.6</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ascii="Times New Roman" w:hAnsi="Times New Roman" w:eastAsia="宋体" w:cs="Times New Roman"/>
                <w:color w:val="auto"/>
                <w:sz w:val="24"/>
                <w:szCs w:val="24"/>
                <w:lang w:val="en-US" w:eastAsia="zh-CN" w:bidi="ar-SA"/>
              </w:rPr>
              <w:t>。</w:t>
            </w:r>
            <w:r>
              <w:rPr>
                <w:rFonts w:hint="eastAsia" w:cs="Times New Roman"/>
                <w:color w:val="auto"/>
                <w:sz w:val="24"/>
                <w:szCs w:val="24"/>
                <w:lang w:eastAsia="zh-CN" w:bidi="ar-SA"/>
              </w:rPr>
              <w:t>生活污水</w:t>
            </w:r>
            <w:r>
              <w:rPr>
                <w:rFonts w:hint="default" w:ascii="Times New Roman" w:hAnsi="Times New Roman" w:eastAsia="宋体" w:cs="Times New Roman"/>
                <w:color w:val="auto"/>
                <w:sz w:val="24"/>
                <w:szCs w:val="24"/>
                <w:lang w:eastAsia="zh-CN" w:bidi="ar-SA"/>
              </w:rPr>
              <w:t>排入园区污水管网，最终进入胡杨河经济技术开发区南园区污水处理厂处理</w:t>
            </w:r>
            <w:r>
              <w:rPr>
                <w:rFonts w:hint="eastAsia" w:cs="Times New Roman"/>
                <w:color w:val="auto"/>
                <w:sz w:val="24"/>
                <w:szCs w:val="24"/>
                <w:lang w:eastAsia="zh-CN" w:bidi="ar-SA"/>
              </w:rPr>
              <w:t>。</w:t>
            </w:r>
          </w:p>
          <w:p>
            <w:pPr>
              <w:keepNext w:val="0"/>
              <w:keepLines w:val="0"/>
              <w:widowControl w:val="0"/>
              <w:numPr>
                <w:ilvl w:val="0"/>
                <w:numId w:val="0"/>
              </w:numPr>
              <w:suppressLineNumbers w:val="0"/>
              <w:spacing w:before="0" w:beforeAutospacing="0" w:after="0" w:afterAutospacing="0" w:line="360" w:lineRule="auto"/>
              <w:ind w:right="0" w:rightChars="0" w:firstLine="480" w:firstLineChars="200"/>
              <w:rPr>
                <w:rFonts w:hint="eastAsia" w:ascii="Times New Roman" w:hAnsi="Times New Roman" w:eastAsia="宋体" w:cs="Times New Roman"/>
                <w:color w:val="auto"/>
                <w:sz w:val="24"/>
                <w:szCs w:val="24"/>
                <w:lang w:eastAsia="zh-CN" w:bidi="ar-SA"/>
              </w:rPr>
            </w:pPr>
            <w:r>
              <w:rPr>
                <w:rFonts w:hint="eastAsia" w:ascii="Times New Roman" w:hAnsi="Times New Roman" w:eastAsia="宋体" w:cs="Times New Roman"/>
                <w:color w:val="auto"/>
                <w:sz w:val="24"/>
                <w:szCs w:val="24"/>
                <w:lang w:val="en-US" w:eastAsia="zh-CN" w:bidi="ar-SA"/>
              </w:rPr>
              <w:t>（2）生产用水</w:t>
            </w:r>
          </w:p>
          <w:p>
            <w:pPr>
              <w:keepNext w:val="0"/>
              <w:keepLines w:val="0"/>
              <w:widowControl w:val="0"/>
              <w:numPr>
                <w:ilvl w:val="0"/>
                <w:numId w:val="0"/>
              </w:numPr>
              <w:suppressLineNumbers w:val="0"/>
              <w:spacing w:before="0" w:beforeAutospacing="0" w:after="0" w:afterAutospacing="0" w:line="360" w:lineRule="auto"/>
              <w:ind w:right="0" w:rightChars="0"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项目无需生产用水。</w:t>
            </w:r>
          </w:p>
          <w:p>
            <w:pPr>
              <w:spacing w:line="360" w:lineRule="auto"/>
              <w:rPr>
                <w:rFonts w:hint="default" w:ascii="Times New Roman" w:hAnsi="Times New Roman" w:eastAsia="宋体" w:cs="Times New Roman"/>
                <w:color w:val="auto"/>
                <w:sz w:val="24"/>
                <w:szCs w:val="22"/>
                <w:lang w:bidi="ar-SA"/>
              </w:rPr>
            </w:pPr>
            <w:r>
              <w:rPr>
                <w:rFonts w:hint="default" w:ascii="Times New Roman" w:hAnsi="Times New Roman" w:eastAsia="宋体" w:cs="Times New Roman"/>
                <w:color w:val="auto"/>
                <w:sz w:val="24"/>
                <w:szCs w:val="22"/>
                <w:lang w:val="en-US" w:eastAsia="zh-CN" w:bidi="ar-SA"/>
              </w:rPr>
              <w:t>2.</w:t>
            </w:r>
            <w:r>
              <w:rPr>
                <w:rFonts w:hint="eastAsia" w:cs="Times New Roman"/>
                <w:color w:val="auto"/>
                <w:sz w:val="24"/>
                <w:szCs w:val="22"/>
                <w:lang w:val="en-US" w:eastAsia="zh-CN" w:bidi="ar-SA"/>
              </w:rPr>
              <w:t>8</w:t>
            </w:r>
            <w:r>
              <w:rPr>
                <w:rFonts w:hint="default" w:ascii="Times New Roman" w:hAnsi="Times New Roman" w:eastAsia="宋体" w:cs="Times New Roman"/>
                <w:color w:val="auto"/>
                <w:sz w:val="24"/>
                <w:szCs w:val="22"/>
                <w:lang w:val="en-US" w:eastAsia="zh-CN" w:bidi="ar-SA"/>
              </w:rPr>
              <w:t>.</w:t>
            </w:r>
            <w:r>
              <w:rPr>
                <w:rFonts w:hint="eastAsia" w:cs="Times New Roman"/>
                <w:color w:val="auto"/>
                <w:sz w:val="24"/>
                <w:szCs w:val="22"/>
                <w:lang w:val="en-US" w:eastAsia="zh-CN" w:bidi="ar-SA"/>
              </w:rPr>
              <w:t>2</w:t>
            </w:r>
            <w:r>
              <w:rPr>
                <w:rFonts w:hint="default" w:ascii="Times New Roman" w:hAnsi="Times New Roman" w:eastAsia="宋体" w:cs="Times New Roman"/>
                <w:color w:val="auto"/>
                <w:sz w:val="24"/>
                <w:szCs w:val="22"/>
                <w:lang w:bidi="ar-SA"/>
              </w:rPr>
              <w:t>供暖</w:t>
            </w:r>
          </w:p>
          <w:p>
            <w:pPr>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本项目冬季采暖由园区</w:t>
            </w:r>
            <w:r>
              <w:rPr>
                <w:rFonts w:hint="eastAsia" w:cs="Times New Roman"/>
                <w:color w:val="auto"/>
                <w:sz w:val="24"/>
                <w:szCs w:val="24"/>
                <w:lang w:eastAsia="zh-CN" w:bidi="ar-SA"/>
              </w:rPr>
              <w:t>集中</w:t>
            </w:r>
            <w:r>
              <w:rPr>
                <w:rFonts w:hint="default" w:ascii="Times New Roman" w:hAnsi="Times New Roman" w:eastAsia="宋体" w:cs="Times New Roman"/>
                <w:color w:val="auto"/>
                <w:sz w:val="24"/>
                <w:szCs w:val="24"/>
                <w:lang w:bidi="ar-SA"/>
              </w:rPr>
              <w:t>供暖。</w:t>
            </w:r>
          </w:p>
          <w:p>
            <w:pPr>
              <w:spacing w:line="360" w:lineRule="auto"/>
              <w:rPr>
                <w:rFonts w:hint="default" w:ascii="Times New Roman" w:hAnsi="Times New Roman" w:eastAsia="宋体" w:cs="Times New Roman"/>
                <w:color w:val="auto"/>
                <w:sz w:val="24"/>
                <w:szCs w:val="22"/>
                <w:lang w:val="en-US" w:eastAsia="zh-CN" w:bidi="ar-SA"/>
              </w:rPr>
            </w:pPr>
            <w:r>
              <w:rPr>
                <w:rFonts w:hint="default" w:ascii="Times New Roman" w:hAnsi="Times New Roman" w:eastAsia="宋体" w:cs="Times New Roman"/>
                <w:color w:val="auto"/>
                <w:sz w:val="24"/>
                <w:szCs w:val="22"/>
                <w:lang w:val="en-US" w:eastAsia="zh-CN" w:bidi="ar-SA"/>
              </w:rPr>
              <w:t>2.</w:t>
            </w:r>
            <w:r>
              <w:rPr>
                <w:rFonts w:hint="eastAsia" w:cs="Times New Roman"/>
                <w:color w:val="auto"/>
                <w:sz w:val="24"/>
                <w:szCs w:val="22"/>
                <w:lang w:val="en-US" w:eastAsia="zh-CN" w:bidi="ar-SA"/>
              </w:rPr>
              <w:t>8</w:t>
            </w:r>
            <w:r>
              <w:rPr>
                <w:rFonts w:hint="default" w:ascii="Times New Roman" w:hAnsi="Times New Roman" w:eastAsia="宋体" w:cs="Times New Roman"/>
                <w:color w:val="auto"/>
                <w:sz w:val="24"/>
                <w:szCs w:val="22"/>
                <w:lang w:val="en-US" w:eastAsia="zh-CN" w:bidi="ar-SA"/>
              </w:rPr>
              <w:t>.</w:t>
            </w:r>
            <w:r>
              <w:rPr>
                <w:rFonts w:hint="eastAsia" w:cs="Times New Roman"/>
                <w:color w:val="auto"/>
                <w:sz w:val="24"/>
                <w:szCs w:val="22"/>
                <w:lang w:val="en-US" w:eastAsia="zh-CN" w:bidi="ar-SA"/>
              </w:rPr>
              <w:t>3</w:t>
            </w:r>
            <w:r>
              <w:rPr>
                <w:rFonts w:hint="default" w:ascii="Times New Roman" w:hAnsi="Times New Roman" w:eastAsia="宋体" w:cs="Times New Roman"/>
                <w:color w:val="auto"/>
                <w:sz w:val="24"/>
                <w:szCs w:val="22"/>
                <w:lang w:val="en-US" w:eastAsia="zh-CN" w:bidi="ar-SA"/>
              </w:rPr>
              <w:t>供电</w:t>
            </w:r>
          </w:p>
          <w:p>
            <w:pPr>
              <w:pStyle w:val="16"/>
              <w:spacing w:line="360" w:lineRule="auto"/>
              <w:ind w:firstLine="480" w:firstLineChars="200"/>
              <w:jc w:val="left"/>
              <w:rPr>
                <w:rFonts w:hint="default" w:ascii="Times New Roman" w:hAnsi="Times New Roman" w:eastAsia="宋体" w:cs="Times New Roman"/>
                <w:b w:val="0"/>
                <w:bCs/>
                <w:color w:val="auto"/>
                <w:lang w:bidi="ar-SA"/>
              </w:rPr>
            </w:pPr>
            <w:r>
              <w:rPr>
                <w:rFonts w:hint="default" w:ascii="Times New Roman" w:hAnsi="Times New Roman" w:eastAsia="宋体" w:cs="Times New Roman"/>
                <w:b w:val="0"/>
                <w:bCs/>
                <w:color w:val="auto"/>
                <w:sz w:val="24"/>
                <w:lang w:bidi="ar-SA"/>
              </w:rPr>
              <w:t>用电由园区现有电缆接入，可满足本项目用电负荷及对供电可靠性的要求。</w:t>
            </w:r>
          </w:p>
          <w:p>
            <w:pPr>
              <w:pStyle w:val="37"/>
              <w:spacing w:line="360" w:lineRule="auto"/>
              <w:jc w:val="both"/>
              <w:rPr>
                <w:rFonts w:hint="default" w:ascii="Times New Roman" w:hAnsi="Times New Roman" w:eastAsia="宋体" w:cs="Times New Roman"/>
                <w:b/>
                <w:color w:val="auto"/>
                <w:sz w:val="24"/>
                <w:szCs w:val="24"/>
                <w:lang w:val="en-US" w:eastAsia="zh-CN" w:bidi="ar-SA"/>
              </w:rPr>
            </w:pPr>
            <w:r>
              <w:rPr>
                <w:rFonts w:hint="default" w:ascii="Times New Roman" w:hAnsi="Times New Roman" w:eastAsia="宋体" w:cs="Times New Roman"/>
                <w:b/>
                <w:color w:val="auto"/>
                <w:sz w:val="24"/>
                <w:szCs w:val="24"/>
                <w:lang w:val="en-US" w:eastAsia="zh-CN" w:bidi="ar-SA"/>
              </w:rPr>
              <w:t>2.</w:t>
            </w:r>
            <w:r>
              <w:rPr>
                <w:rFonts w:hint="eastAsia" w:eastAsia="宋体" w:cs="Times New Roman"/>
                <w:b/>
                <w:color w:val="auto"/>
                <w:sz w:val="24"/>
                <w:szCs w:val="24"/>
                <w:lang w:val="en-US" w:eastAsia="zh-CN" w:bidi="ar-SA"/>
              </w:rPr>
              <w:t>9</w:t>
            </w:r>
            <w:r>
              <w:rPr>
                <w:rFonts w:hint="default" w:ascii="Times New Roman" w:hAnsi="Times New Roman" w:eastAsia="宋体" w:cs="Times New Roman"/>
                <w:b/>
                <w:color w:val="auto"/>
                <w:sz w:val="24"/>
                <w:szCs w:val="24"/>
                <w:lang w:val="en-US" w:eastAsia="zh-CN" w:bidi="ar-SA"/>
              </w:rPr>
              <w:t>项目总平面布置</w:t>
            </w:r>
          </w:p>
          <w:p>
            <w:pPr>
              <w:spacing w:line="360" w:lineRule="auto"/>
              <w:ind w:firstLine="480" w:firstLineChars="200"/>
              <w:rPr>
                <w:rFonts w:hint="eastAsia"/>
                <w:color w:val="auto"/>
                <w:sz w:val="24"/>
              </w:rPr>
            </w:pPr>
            <w:r>
              <w:rPr>
                <w:rFonts w:hint="eastAsia"/>
                <w:color w:val="auto"/>
                <w:sz w:val="24"/>
              </w:rPr>
              <w:t>本项目</w:t>
            </w:r>
            <w:r>
              <w:rPr>
                <w:rFonts w:hint="default" w:ascii="Times New Roman" w:hAnsi="Times New Roman" w:eastAsia="宋体" w:cs="Times New Roman"/>
                <w:color w:val="auto"/>
                <w:sz w:val="24"/>
                <w:szCs w:val="24"/>
                <w:lang w:val="en-US" w:eastAsia="zh-CN" w:bidi="ar-SA"/>
              </w:rPr>
              <w:t>位于胡杨河经济技术开发区</w:t>
            </w:r>
            <w:r>
              <w:rPr>
                <w:rFonts w:hint="eastAsia" w:ascii="Times New Roman" w:hAnsi="Times New Roman" w:eastAsia="宋体" w:cs="Times New Roman"/>
                <w:color w:val="auto"/>
                <w:sz w:val="24"/>
                <w:szCs w:val="24"/>
                <w:lang w:val="en-US" w:eastAsia="zh-CN" w:bidi="ar-SA"/>
              </w:rPr>
              <w:t>南园区31#厂房</w:t>
            </w:r>
            <w:r>
              <w:rPr>
                <w:rFonts w:hint="eastAsia"/>
                <w:color w:val="auto"/>
                <w:sz w:val="24"/>
              </w:rPr>
              <w:t>，</w:t>
            </w:r>
            <w:r>
              <w:rPr>
                <w:rFonts w:hint="eastAsia"/>
                <w:color w:val="auto"/>
                <w:sz w:val="24"/>
                <w:lang w:eastAsia="zh-CN"/>
              </w:rPr>
              <w:t>租用园区标准化厂房</w:t>
            </w:r>
            <w:r>
              <w:rPr>
                <w:rFonts w:hint="eastAsia"/>
                <w:color w:val="auto"/>
                <w:sz w:val="24"/>
                <w:lang w:val="en-US" w:eastAsia="zh-CN"/>
              </w:rPr>
              <w:t>1座，</w:t>
            </w:r>
            <w:r>
              <w:rPr>
                <w:rFonts w:hint="eastAsia"/>
                <w:color w:val="auto"/>
                <w:sz w:val="24"/>
              </w:rPr>
              <w:t>租</w:t>
            </w:r>
            <w:r>
              <w:rPr>
                <w:rFonts w:hint="eastAsia"/>
                <w:color w:val="auto"/>
                <w:sz w:val="24"/>
                <w:lang w:eastAsia="zh-CN"/>
              </w:rPr>
              <w:t>用面积</w:t>
            </w:r>
            <w:r>
              <w:rPr>
                <w:rFonts w:hint="eastAsia"/>
                <w:color w:val="auto"/>
                <w:sz w:val="24"/>
                <w:lang w:val="en-US" w:eastAsia="zh-CN"/>
              </w:rPr>
              <w:t>5000m</w:t>
            </w:r>
            <w:r>
              <w:rPr>
                <w:rFonts w:hint="eastAsia"/>
                <w:color w:val="auto"/>
                <w:sz w:val="24"/>
                <w:vertAlign w:val="superscript"/>
                <w:lang w:val="en-US" w:eastAsia="zh-CN"/>
              </w:rPr>
              <w:t>2</w:t>
            </w:r>
            <w:r>
              <w:rPr>
                <w:rFonts w:hint="eastAsia"/>
                <w:color w:val="auto"/>
                <w:sz w:val="24"/>
                <w:vertAlign w:val="baseline"/>
                <w:lang w:val="en-US" w:eastAsia="zh-CN"/>
              </w:rPr>
              <w:t>，生产车间基本呈长方形，为钢架结构厂房</w:t>
            </w:r>
            <w:r>
              <w:rPr>
                <w:rFonts w:hint="eastAsia"/>
                <w:color w:val="auto"/>
                <w:sz w:val="24"/>
              </w:rPr>
              <w:t>。</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olor w:val="auto"/>
                <w:sz w:val="24"/>
                <w:szCs w:val="24"/>
                <w:lang w:val="en-US" w:eastAsia="zh-CN"/>
              </w:rPr>
              <w:t>所租赁标准化厂房内建设1条玻璃钢夹砂管道生产线、1条玻璃钢化工设备（储罐等）生产线，厂房共设置8个安全出口，生产车间内依次布置半成品堆放区、成品区、设备装配区、玻璃钢化工设备（储罐等）缠绕区、管道加工区、原材料堆放区、模具堆放区，各构筑物间均保持安全距离</w:t>
            </w:r>
            <w:r>
              <w:rPr>
                <w:color w:val="auto"/>
                <w:sz w:val="24"/>
              </w:rPr>
              <w:t>。</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企业平面布置从方便生产、安全管理和保护环境等方面进行综合考虑，具体分析如下：</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（1）主要装置按照流程集中布置，在满足生产工艺流程要求的前提下，缩短各种管线，利于生产，便于管理，节约投资，减少占地。</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（2）平面布置充分考虑了生产线、公用工程等的防火间距，自然通风和采光的要求等。</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（3）各项公用工程尽可能靠近负荷中心，节省管线减少损耗，确保生产的需要。</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因此从环境保护角度分析，总图布置基本合理。</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综上所述，从安全生产、方便运输、便于管理、节省能源、环境保护等方面综合考虑，厂区总平面布置图基本合理。项目厂区平面布置示意图详见图2-</w:t>
            </w:r>
            <w:r>
              <w:rPr>
                <w:rFonts w:hint="eastAsia" w:ascii="Times New Roman" w:hAnsi="Times New Roman" w:eastAsia="宋体" w:cs="Times New Roman"/>
                <w:color w:val="auto"/>
                <w:sz w:val="24"/>
                <w:szCs w:val="24"/>
                <w:lang w:val="en-US" w:eastAsia="zh-CN" w:bidi="ar-SA"/>
              </w:rPr>
              <w:t>3</w:t>
            </w:r>
            <w:r>
              <w:rPr>
                <w:rFonts w:hint="default" w:ascii="Times New Roman" w:hAnsi="Times New Roman" w:eastAsia="宋体" w:cs="Times New Roman"/>
                <w:color w:val="auto"/>
                <w:sz w:val="24"/>
                <w:szCs w:val="24"/>
                <w:lang w:val="en-US" w:eastAsia="zh-CN" w:bidi="ar-SA"/>
              </w:rPr>
              <w:t>。</w:t>
            </w:r>
          </w:p>
          <w:p>
            <w:pPr>
              <w:spacing w:line="360" w:lineRule="auto"/>
              <w:jc w:val="both"/>
              <w:rPr>
                <w:rFonts w:hint="default" w:ascii="Times New Roman" w:hAnsi="Times New Roman" w:eastAsia="宋体" w:cs="Times New Roman"/>
                <w:color w:val="auto"/>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8" w:hRule="atLeast"/>
          <w:jc w:val="center"/>
        </w:trPr>
        <w:tc>
          <w:tcPr>
            <w:tcW w:w="461" w:type="dxa"/>
            <w:noWrap w:val="0"/>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工艺流程和产排污环节</w:t>
            </w:r>
          </w:p>
        </w:tc>
        <w:tc>
          <w:tcPr>
            <w:tcW w:w="8530" w:type="dxa"/>
            <w:noWrap w:val="0"/>
            <w:vAlign w:val="top"/>
          </w:tcPr>
          <w:p>
            <w:pPr>
              <w:pStyle w:val="11"/>
              <w:keepNext w:val="0"/>
              <w:keepLines w:val="0"/>
              <w:pageBreakBefore w:val="0"/>
              <w:widowControl w:val="0"/>
              <w:tabs>
                <w:tab w:val="left" w:pos="0"/>
              </w:tabs>
              <w:kinsoku/>
              <w:wordWrap/>
              <w:overflowPunct/>
              <w:topLinePunct w:val="0"/>
              <w:autoSpaceDE/>
              <w:autoSpaceDN/>
              <w:bidi w:val="0"/>
              <w:adjustRightInd/>
              <w:snapToGrid w:val="0"/>
              <w:spacing w:line="360" w:lineRule="auto"/>
              <w:ind w:left="0" w:leftChars="0" w:firstLine="0"/>
              <w:textAlignment w:val="auto"/>
              <w:rPr>
                <w:rFonts w:hint="default" w:ascii="Times New Roman" w:hAnsi="Times New Roman" w:eastAsia="宋体" w:cs="Times New Roman"/>
                <w:b/>
                <w:bCs/>
                <w:color w:val="auto"/>
                <w:lang w:bidi="ar-SA"/>
              </w:rPr>
            </w:pPr>
            <w:r>
              <w:rPr>
                <w:rFonts w:hint="default" w:ascii="Times New Roman" w:hAnsi="Times New Roman" w:eastAsia="宋体" w:cs="Times New Roman"/>
                <w:b/>
                <w:bCs/>
                <w:color w:val="auto"/>
                <w:lang w:bidi="ar-SA"/>
              </w:rPr>
              <w:t>1施工期</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bidi="ar-SA"/>
              </w:rPr>
              <w:t>本项目建设租赁现有</w:t>
            </w:r>
            <w:r>
              <w:rPr>
                <w:rFonts w:hint="eastAsia" w:cs="Times New Roman"/>
                <w:color w:val="auto"/>
                <w:sz w:val="24"/>
                <w:szCs w:val="24"/>
                <w:lang w:eastAsia="zh-CN" w:bidi="ar-SA"/>
              </w:rPr>
              <w:t>标准化</w:t>
            </w:r>
            <w:r>
              <w:rPr>
                <w:rFonts w:hint="default" w:ascii="Times New Roman" w:hAnsi="Times New Roman" w:eastAsia="宋体" w:cs="Times New Roman"/>
                <w:color w:val="auto"/>
                <w:sz w:val="24"/>
                <w:szCs w:val="24"/>
                <w:lang w:bidi="ar-SA"/>
              </w:rPr>
              <w:t>厂房，无基建施工。施工期主要为各类设备的安装调试，施工期污染主要为短期设备安装调试产生的噪声、废包装材料，施工期污染随着设备安装调试结束而消失。施工期对周边环境基本无影响，本次不再进行详细论述。</w:t>
            </w:r>
          </w:p>
          <w:p>
            <w:pPr>
              <w:pStyle w:val="11"/>
              <w:keepNext w:val="0"/>
              <w:keepLines w:val="0"/>
              <w:pageBreakBefore w:val="0"/>
              <w:widowControl w:val="0"/>
              <w:tabs>
                <w:tab w:val="left" w:pos="0"/>
              </w:tabs>
              <w:kinsoku/>
              <w:wordWrap/>
              <w:overflowPunct/>
              <w:topLinePunct w:val="0"/>
              <w:autoSpaceDE/>
              <w:autoSpaceDN/>
              <w:bidi w:val="0"/>
              <w:adjustRightInd/>
              <w:snapToGrid w:val="0"/>
              <w:spacing w:line="360" w:lineRule="auto"/>
              <w:ind w:left="0" w:leftChars="0" w:firstLine="0"/>
              <w:textAlignment w:val="auto"/>
              <w:rPr>
                <w:rFonts w:hint="default" w:ascii="Times New Roman" w:hAnsi="Times New Roman" w:eastAsia="宋体" w:cs="Times New Roman"/>
                <w:b/>
                <w:bCs/>
                <w:color w:val="auto"/>
                <w:lang w:bidi="ar-SA"/>
              </w:rPr>
            </w:pPr>
            <w:r>
              <w:rPr>
                <w:rFonts w:hint="default" w:ascii="Times New Roman" w:hAnsi="Times New Roman" w:eastAsia="宋体" w:cs="Times New Roman"/>
                <w:b/>
                <w:bCs/>
                <w:color w:val="auto"/>
                <w:lang w:bidi="ar-SA"/>
              </w:rPr>
              <w:t>2运营期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w:t>
            </w:r>
            <w:r>
              <w:rPr>
                <w:rFonts w:hint="eastAsia" w:cs="Times New Roman"/>
                <w:color w:val="auto"/>
                <w:kern w:val="2"/>
                <w:sz w:val="24"/>
                <w:szCs w:val="24"/>
                <w:lang w:val="en-US" w:eastAsia="zh-CN" w:bidi="ar-SA"/>
              </w:rPr>
              <w:t>运营</w:t>
            </w:r>
            <w:r>
              <w:rPr>
                <w:rFonts w:hint="eastAsia" w:ascii="Times New Roman" w:hAnsi="Times New Roman" w:eastAsia="宋体" w:cs="Times New Roman"/>
                <w:color w:val="auto"/>
                <w:kern w:val="2"/>
                <w:sz w:val="24"/>
                <w:szCs w:val="24"/>
                <w:lang w:val="en-US" w:eastAsia="zh-CN" w:bidi="ar-SA"/>
              </w:rPr>
              <w:t>期</w:t>
            </w:r>
            <w:r>
              <w:rPr>
                <w:rFonts w:hint="eastAsia" w:cs="Times New Roman"/>
                <w:color w:val="auto"/>
                <w:kern w:val="2"/>
                <w:sz w:val="24"/>
                <w:szCs w:val="24"/>
                <w:lang w:val="en-US" w:eastAsia="zh-CN" w:bidi="ar-SA"/>
              </w:rPr>
              <w:t>工艺流程：</w:t>
            </w:r>
          </w:p>
          <w:p>
            <w:pPr>
              <w:pStyle w:val="30"/>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（1）玻璃钢夹砂管道生产线工艺流程图：</w:t>
            </w:r>
          </w:p>
          <w:p>
            <w:pPr>
              <w:pStyle w:val="3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drawing>
                <wp:inline distT="0" distB="0" distL="114300" distR="114300">
                  <wp:extent cx="4852670" cy="5175885"/>
                  <wp:effectExtent l="0" t="0" r="5080" b="5715"/>
                  <wp:docPr id="49" name="图片 75" descr="微信截图_2024052716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5" descr="微信截图_20240527163633"/>
                          <pic:cNvPicPr>
                            <a:picLocks noChangeAspect="1"/>
                          </pic:cNvPicPr>
                        </pic:nvPicPr>
                        <pic:blipFill>
                          <a:blip r:embed="rId11"/>
                          <a:stretch>
                            <a:fillRect/>
                          </a:stretch>
                        </pic:blipFill>
                        <pic:spPr>
                          <a:xfrm>
                            <a:off x="0" y="0"/>
                            <a:ext cx="4852670" cy="5175885"/>
                          </a:xfrm>
                          <a:prstGeom prst="rect">
                            <a:avLst/>
                          </a:prstGeom>
                          <a:noFill/>
                          <a:ln>
                            <a:noFill/>
                          </a:ln>
                        </pic:spPr>
                      </pic:pic>
                    </a:graphicData>
                  </a:graphic>
                </wp:inline>
              </w:drawing>
            </w:r>
          </w:p>
          <w:p>
            <w:pPr>
              <w:pStyle w:val="3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lang w:bidi="ar-SA"/>
              </w:rPr>
              <w:t>图</w:t>
            </w:r>
            <w:r>
              <w:rPr>
                <w:rFonts w:hint="default" w:ascii="Times New Roman" w:hAnsi="Times New Roman" w:eastAsia="宋体" w:cs="Times New Roman"/>
                <w:b/>
                <w:bCs/>
                <w:color w:val="auto"/>
                <w:lang w:val="en-US" w:eastAsia="zh-CN" w:bidi="ar-SA"/>
              </w:rPr>
              <w:t>2-</w:t>
            </w:r>
            <w:r>
              <w:rPr>
                <w:rFonts w:hint="eastAsia" w:cs="Times New Roman"/>
                <w:b/>
                <w:bCs/>
                <w:color w:val="auto"/>
                <w:lang w:val="en-US" w:eastAsia="zh-CN" w:bidi="ar-SA"/>
              </w:rPr>
              <w:t>4</w:t>
            </w:r>
            <w:r>
              <w:rPr>
                <w:rFonts w:hint="default" w:ascii="Times New Roman" w:hAnsi="Times New Roman" w:eastAsia="宋体" w:cs="Times New Roman"/>
                <w:b/>
                <w:bCs/>
                <w:color w:val="auto"/>
                <w:lang w:val="en-US" w:eastAsia="zh-CN" w:bidi="ar-SA"/>
              </w:rPr>
              <w:t xml:space="preserve">  玻璃钢夹砂管道生产线工艺流程</w:t>
            </w:r>
            <w:r>
              <w:rPr>
                <w:rFonts w:hint="default" w:ascii="Times New Roman" w:hAnsi="Times New Roman" w:eastAsia="宋体" w:cs="Times New Roman"/>
                <w:b/>
                <w:bCs/>
                <w:color w:val="auto"/>
                <w:lang w:bidi="ar-SA"/>
              </w:rPr>
              <w:t>及产污环节图</w:t>
            </w:r>
          </w:p>
          <w:p>
            <w:pPr>
              <w:pStyle w:val="30"/>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）玻璃钢化工设备（储罐等）生产线工艺流程图：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center"/>
              <w:textAlignment w:val="auto"/>
              <w:rPr>
                <w:rFonts w:hint="eastAsia" w:cs="Times New Roman"/>
                <w:b/>
                <w:bCs/>
                <w:i w:val="0"/>
                <w:iCs w:val="0"/>
                <w:color w:val="auto"/>
                <w:sz w:val="24"/>
                <w:szCs w:val="24"/>
                <w:lang w:val="en-US" w:eastAsia="zh-CN" w:bidi="ar-SA"/>
              </w:rPr>
            </w:pPr>
            <w:r>
              <w:rPr>
                <w:rFonts w:hint="eastAsia" w:cs="Times New Roman"/>
                <w:b/>
                <w:bCs/>
                <w:i w:val="0"/>
                <w:iCs w:val="0"/>
                <w:color w:val="auto"/>
                <w:sz w:val="24"/>
                <w:szCs w:val="24"/>
                <w:lang w:val="en-US" w:eastAsia="zh-CN" w:bidi="ar-SA"/>
              </w:rPr>
              <w:drawing>
                <wp:inline distT="0" distB="0" distL="114300" distR="114300">
                  <wp:extent cx="4951095" cy="5412740"/>
                  <wp:effectExtent l="0" t="0" r="1905" b="16510"/>
                  <wp:docPr id="50" name="图片 76" descr="微信截图_2024052716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6" descr="微信截图_20240527163800"/>
                          <pic:cNvPicPr>
                            <a:picLocks noChangeAspect="1"/>
                          </pic:cNvPicPr>
                        </pic:nvPicPr>
                        <pic:blipFill>
                          <a:blip r:embed="rId12"/>
                          <a:stretch>
                            <a:fillRect/>
                          </a:stretch>
                        </pic:blipFill>
                        <pic:spPr>
                          <a:xfrm>
                            <a:off x="0" y="0"/>
                            <a:ext cx="4951095" cy="5412740"/>
                          </a:xfrm>
                          <a:prstGeom prst="rect">
                            <a:avLst/>
                          </a:prstGeom>
                          <a:noFill/>
                          <a:ln>
                            <a:noFill/>
                          </a:ln>
                        </pic:spPr>
                      </pic:pic>
                    </a:graphicData>
                  </a:graphic>
                </wp:inline>
              </w:drawing>
            </w:r>
          </w:p>
          <w:p>
            <w:pPr>
              <w:pStyle w:val="3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lang w:bidi="ar-SA"/>
              </w:rPr>
              <w:t>图</w:t>
            </w:r>
            <w:r>
              <w:rPr>
                <w:rFonts w:hint="default" w:ascii="Times New Roman" w:hAnsi="Times New Roman" w:eastAsia="宋体" w:cs="Times New Roman"/>
                <w:b/>
                <w:bCs/>
                <w:color w:val="auto"/>
                <w:lang w:val="en-US" w:eastAsia="zh-CN" w:bidi="ar-SA"/>
              </w:rPr>
              <w:t>2-</w:t>
            </w:r>
            <w:r>
              <w:rPr>
                <w:rFonts w:hint="eastAsia" w:cs="Times New Roman"/>
                <w:b/>
                <w:bCs/>
                <w:color w:val="auto"/>
                <w:lang w:val="en-US" w:eastAsia="zh-CN" w:bidi="ar-SA"/>
              </w:rPr>
              <w:t>5</w:t>
            </w:r>
            <w:r>
              <w:rPr>
                <w:rFonts w:hint="default" w:ascii="Times New Roman" w:hAnsi="Times New Roman" w:eastAsia="宋体" w:cs="Times New Roman"/>
                <w:b/>
                <w:bCs/>
                <w:color w:val="auto"/>
                <w:lang w:val="en-US" w:eastAsia="zh-CN" w:bidi="ar-SA"/>
              </w:rPr>
              <w:t xml:space="preserve">  玻璃钢化工设备（储罐等）生产线工艺流程</w:t>
            </w:r>
            <w:r>
              <w:rPr>
                <w:rFonts w:hint="default" w:ascii="Times New Roman" w:hAnsi="Times New Roman" w:eastAsia="宋体" w:cs="Times New Roman"/>
                <w:b/>
                <w:bCs/>
                <w:color w:val="auto"/>
                <w:lang w:bidi="ar-SA"/>
              </w:rPr>
              <w:t>及产污环节图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cs="Times New Roman"/>
                <w:b/>
                <w:bCs/>
                <w:i w:val="0"/>
                <w:iCs w:val="0"/>
                <w:color w:val="auto"/>
                <w:sz w:val="24"/>
                <w:szCs w:val="24"/>
                <w:lang w:val="en-US" w:eastAsia="zh-CN" w:bidi="ar-SA"/>
              </w:rPr>
            </w:pPr>
            <w:r>
              <w:rPr>
                <w:rFonts w:hint="eastAsia" w:cs="Times New Roman"/>
                <w:b/>
                <w:bCs/>
                <w:i w:val="0"/>
                <w:iCs w:val="0"/>
                <w:color w:val="auto"/>
                <w:sz w:val="24"/>
                <w:szCs w:val="24"/>
                <w:lang w:val="en-US" w:eastAsia="zh-CN" w:bidi="ar-SA"/>
              </w:rPr>
              <w:t>工艺流程简述：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i w:val="0"/>
                <w:iCs w:val="0"/>
                <w:color w:val="auto"/>
                <w:sz w:val="24"/>
                <w:szCs w:val="24"/>
                <w:lang w:val="en-US" w:eastAsia="zh-CN" w:bidi="ar-SA"/>
              </w:rPr>
            </w:pPr>
            <w:r>
              <w:rPr>
                <w:rFonts w:hint="eastAsia" w:ascii="Times New Roman" w:hAnsi="Times New Roman" w:eastAsia="宋体" w:cs="Times New Roman"/>
                <w:b/>
                <w:bCs/>
                <w:i w:val="0"/>
                <w:iCs w:val="0"/>
                <w:color w:val="auto"/>
                <w:sz w:val="24"/>
                <w:szCs w:val="24"/>
                <w:lang w:val="en-US" w:eastAsia="zh-CN" w:bidi="ar-SA"/>
              </w:rPr>
              <w:t>（1）玻璃钢夹砂管道生产工艺流程：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①模具的准备：根据设计要求选取模具，将模具上遗留的薄膜去掉，将模具吊装到制衬机上；检查模具是否有凹凸不平等现象并及时修补、打磨、抛光。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②配料：用液体泵将不饱和树脂、固化剂、促进剂从原料桶按比例输送至搅拌罐搅拌均匀，输送至胶槽备用。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③内衬层制作：用防水树脂胶衣均匀地涂刷在模具表面，然后在胶衣上缠一层表面毡，要求搭接宽度为2cm为宜，树脂含量控制在90%以上；根据铺层要求缠短切毡，用树脂喷涂枪喷淋上树脂交替进行，要求搭接宽度为2cm为宜；最后用上好张力的网格布缠一层，防止有气泡存在和保持内衬的外表平整、密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④缠绕成型：缠绕前将树脂按比例定好，开启树脂泵将混合后的树脂打入浸胶槽中，缠绕纱通过疏纱系统浸渍在胶液中。缠绕时控制张力器，张力应随管壁厚的增加而减小。根据铺层要求缠绕制作。要求控制含胶量</w:t>
            </w:r>
            <w:r>
              <w:rPr>
                <w:rFonts w:hint="default" w:ascii="Times New Roman" w:hAnsi="Times New Roman" w:eastAsia="宋体" w:cs="Times New Roman"/>
                <w:b w:val="0"/>
                <w:bCs w:val="0"/>
                <w:i w:val="0"/>
                <w:iCs w:val="0"/>
                <w:color w:val="auto"/>
                <w:sz w:val="24"/>
                <w:szCs w:val="24"/>
                <w:lang w:val="en-US" w:eastAsia="zh-CN" w:bidi="ar-SA"/>
              </w:rPr>
              <w:t>35％</w:t>
            </w:r>
            <w:r>
              <w:rPr>
                <w:rFonts w:hint="eastAsia" w:ascii="Times New Roman" w:hAnsi="Times New Roman" w:eastAsia="宋体" w:cs="Times New Roman"/>
                <w:b w:val="0"/>
                <w:bCs w:val="0"/>
                <w:i w:val="0"/>
                <w:iCs w:val="0"/>
                <w:color w:val="auto"/>
                <w:sz w:val="24"/>
                <w:szCs w:val="24"/>
                <w:lang w:val="en-US" w:eastAsia="zh-CN" w:bidi="ar-SA"/>
              </w:rPr>
              <w:t>左右。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⑤夹砂工艺：夹砂装置是小车带动运动，同环向缠绕一样控制好加砂带宽度、缠绕角和螺距，夹砂带一定要展开，保证夹砂带的张力和调整砂带轴距芯模距离。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⑥固化：将缠完的制品吊运到固化站固化。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⑦修整：将固化好的制品两端进行切割、打磨以保证产品尺寸和外形的要求。加工插口时一次进刀不易太快要匀速前进，防止灼伤制品。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⑧脱模：脱模时要先用顶杠绶慢均匀顶出看是否有异常情况出现，等正常后开始用卷扬机均匀将模芯安全退出，退出后将产品用吊车吊到有软垫的木板上，以防止产品损坏、变形。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⑨包装：脱模后管道承口端根据设计要求尺寸打试压孔。插口端进行二次加工，将边缘毛刺用砂布打磨掉，检查是否有气泡、开裂等缺陷。等固化后将外表面粉尘擦净，验收合格后外表缠一层薄膜用草绳或草袋进行包装，防止插口损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i w:val="0"/>
                <w:iCs w:val="0"/>
                <w:color w:val="auto"/>
                <w:sz w:val="24"/>
                <w:szCs w:val="24"/>
                <w:lang w:val="en-US" w:eastAsia="zh-CN" w:bidi="ar-SA"/>
              </w:rPr>
            </w:pPr>
            <w:r>
              <w:rPr>
                <w:rFonts w:hint="eastAsia" w:ascii="Times New Roman" w:hAnsi="Times New Roman" w:eastAsia="宋体" w:cs="Times New Roman"/>
                <w:b/>
                <w:bCs/>
                <w:i w:val="0"/>
                <w:iCs w:val="0"/>
                <w:color w:val="auto"/>
                <w:sz w:val="24"/>
                <w:szCs w:val="24"/>
                <w:lang w:val="en-US" w:eastAsia="zh-CN" w:bidi="ar-SA"/>
              </w:rPr>
              <w:t>（2）玻璃钢化工设备（储罐等）生产线工艺流程：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i w:val="0"/>
                <w:iCs w:val="0"/>
                <w:color w:val="auto"/>
                <w:sz w:val="24"/>
                <w:szCs w:val="24"/>
                <w:lang w:val="en-US" w:eastAsia="zh-CN" w:bidi="ar-SA"/>
              </w:rPr>
            </w:pPr>
            <w:r>
              <w:rPr>
                <w:rFonts w:hint="eastAsia" w:ascii="Times New Roman" w:hAnsi="Times New Roman" w:eastAsia="宋体" w:cs="Times New Roman"/>
                <w:b/>
                <w:bCs/>
                <w:i w:val="0"/>
                <w:iCs w:val="0"/>
                <w:color w:val="auto"/>
                <w:sz w:val="24"/>
                <w:szCs w:val="24"/>
                <w:lang w:val="en-US" w:eastAsia="zh-CN" w:bidi="ar-SA"/>
              </w:rPr>
              <w:t>罐体生产：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①模具的准备：根据设计要求选取模具，将模具上遗留的薄膜去掉，将模具吊装到制衬机上；检查模具是否有凹凸不平等现象并及时修补、打磨、抛光。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②配料：用液体泵将不饱和树脂、固化剂、促进剂从原料桶按比例输送至搅拌罐搅拌均匀，输送至胶槽备用。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③内衬层制作：用树脂喷淋头将胶衣均匀地涂涮在模具表面，然后在胶衣上缠一层表面毡，要求搭接宽度为2cm为宜，树脂含量控制在90%以上；根据铺层要求缠短切毡，用树脂喷涂枪喷淋上树脂交替进行，要求搭接宽度为2cm为宜；最后用上好张力的网格布缠一层，防止有气泡存在和保持内衬的外表平整、密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④缠绕成型：缠绕前将树脂按比例定好，开启树脂泵将混合后的树脂打入浸胶槽中，缠绕纱通过疏纱系统浸渍在胶液中。缠绕时控制张力器，张力应随管壁厚的增加而减小。根据铺层要求缠绕制作。要求控制含胶量</w:t>
            </w:r>
            <w:r>
              <w:rPr>
                <w:rFonts w:hint="default" w:ascii="Times New Roman" w:hAnsi="Times New Roman" w:eastAsia="宋体" w:cs="Times New Roman"/>
                <w:b w:val="0"/>
                <w:bCs w:val="0"/>
                <w:i w:val="0"/>
                <w:iCs w:val="0"/>
                <w:color w:val="auto"/>
                <w:sz w:val="24"/>
                <w:szCs w:val="24"/>
                <w:lang w:val="en-US" w:eastAsia="zh-CN" w:bidi="ar-SA"/>
              </w:rPr>
              <w:t>35％</w:t>
            </w:r>
            <w:r>
              <w:rPr>
                <w:rFonts w:hint="eastAsia" w:ascii="Times New Roman" w:hAnsi="Times New Roman" w:eastAsia="宋体" w:cs="Times New Roman"/>
                <w:b w:val="0"/>
                <w:bCs w:val="0"/>
                <w:i w:val="0"/>
                <w:iCs w:val="0"/>
                <w:color w:val="auto"/>
                <w:sz w:val="24"/>
                <w:szCs w:val="24"/>
                <w:lang w:val="en-US" w:eastAsia="zh-CN" w:bidi="ar-SA"/>
              </w:rPr>
              <w:t>左右。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⑤修整：将固化好的制品两端进行切割、打磨以保证产品尺寸和外形的要求。加工插口时一次进刀不易太快要匀速前进，防止灼伤制品。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⑥脱模：脱模时要先用顶杠绶慢均匀顶出看是否有异常情况出现，等正常后开始用卷扬机均匀将模芯安全退出，退出后将产品用吊车吊到有软垫的木板上，以防止产品损坏、变形。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i w:val="0"/>
                <w:iCs w:val="0"/>
                <w:color w:val="auto"/>
                <w:sz w:val="24"/>
                <w:szCs w:val="24"/>
                <w:lang w:val="en-US" w:eastAsia="zh-CN" w:bidi="ar-SA"/>
              </w:rPr>
            </w:pPr>
            <w:r>
              <w:rPr>
                <w:rFonts w:hint="eastAsia" w:ascii="Times New Roman" w:hAnsi="Times New Roman" w:eastAsia="宋体" w:cs="Times New Roman"/>
                <w:b/>
                <w:bCs/>
                <w:i w:val="0"/>
                <w:iCs w:val="0"/>
                <w:color w:val="auto"/>
                <w:sz w:val="24"/>
                <w:szCs w:val="24"/>
                <w:lang w:val="en-US" w:eastAsia="zh-CN" w:bidi="ar-SA"/>
              </w:rPr>
              <w:t>罐底生产：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①模具的准备：根据要求选取模具，并检查模具各部位的情况以确保安全使用。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②铺糊成型：将网格布、表面毡、缠绕纱浸渍在胶液中，层层铺设直至达到要求厚度。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③组装：将制作好的罐体与罐底通过沾有树脂的玻璃纤维粘结在一起，组装成完整的玻璃钢罐。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④修整：将固化好的储罐进行切割、打磨修整产品，同时根据需要对储罐进行打孔（进出水接口），制成成品。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⑤包装：验收合格后外表缠一层薄膜用草绳或草袋进行包装，防止罐体损伤。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2.1主要污染工序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废气：①颗粒物：夹砂管道生产时需加入石英砂，石英砂虽含尘量较少但上料时仍会产生少量颗粒物；玻璃钢制品生产线中模具和玻璃钢制品修整（</w:t>
            </w:r>
            <w:r>
              <w:rPr>
                <w:rFonts w:hint="default" w:ascii="Times New Roman" w:hAnsi="Times New Roman" w:eastAsia="宋体" w:cs="Times New Roman"/>
                <w:b w:val="0"/>
                <w:bCs w:val="0"/>
                <w:i w:val="0"/>
                <w:iCs w:val="0"/>
                <w:color w:val="auto"/>
                <w:sz w:val="24"/>
                <w:szCs w:val="24"/>
                <w:lang w:val="en-US" w:eastAsia="zh-CN" w:bidi="ar-SA"/>
              </w:rPr>
              <w:t>修补、打磨、抛光</w:t>
            </w:r>
            <w:r>
              <w:rPr>
                <w:rFonts w:hint="eastAsia" w:ascii="Times New Roman" w:hAnsi="Times New Roman" w:eastAsia="宋体" w:cs="Times New Roman"/>
                <w:b w:val="0"/>
                <w:bCs w:val="0"/>
                <w:i w:val="0"/>
                <w:iCs w:val="0"/>
                <w:color w:val="auto"/>
                <w:sz w:val="24"/>
                <w:szCs w:val="24"/>
                <w:lang w:val="en-US" w:eastAsia="zh-CN" w:bidi="ar-SA"/>
              </w:rPr>
              <w:t>、修型）工艺会产生一定量颗粒物；该工艺主要由切割机和打磨机对模具和玻璃钢制品外形进行修整达到所要求的标准。颗粒物经2个半封闭集气罩收集至布袋除尘器处理后由15m排气筒排放；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②有机废气：项目不饱和树脂、促进剂、固化剂等原辅料中，易挥发性有机物主要为</w:t>
            </w:r>
            <w:r>
              <w:rPr>
                <w:rFonts w:hint="default" w:ascii="Times New Roman" w:hAnsi="Times New Roman" w:eastAsia="宋体" w:cs="Times New Roman"/>
                <w:b w:val="0"/>
                <w:bCs w:val="0"/>
                <w:i w:val="0"/>
                <w:iCs w:val="0"/>
                <w:color w:val="auto"/>
                <w:sz w:val="24"/>
                <w:szCs w:val="24"/>
                <w:lang w:val="en-US" w:eastAsia="zh-CN" w:bidi="ar-SA"/>
              </w:rPr>
              <w:t>苯乙烯和烃类物质</w:t>
            </w:r>
            <w:r>
              <w:rPr>
                <w:rFonts w:hint="eastAsia" w:ascii="Times New Roman" w:hAnsi="Times New Roman" w:eastAsia="宋体" w:cs="Times New Roman"/>
                <w:b w:val="0"/>
                <w:bCs w:val="0"/>
                <w:i w:val="0"/>
                <w:iCs w:val="0"/>
                <w:color w:val="auto"/>
                <w:sz w:val="24"/>
                <w:szCs w:val="24"/>
                <w:lang w:val="en-US" w:eastAsia="zh-CN" w:bidi="ar-SA"/>
              </w:rPr>
              <w:t>，除密闭搅拌环节外浸胶、</w:t>
            </w:r>
            <w:r>
              <w:rPr>
                <w:rFonts w:hint="default" w:ascii="Times New Roman" w:hAnsi="Times New Roman" w:eastAsia="宋体" w:cs="Times New Roman"/>
                <w:b w:val="0"/>
                <w:bCs w:val="0"/>
                <w:i w:val="0"/>
                <w:iCs w:val="0"/>
                <w:color w:val="auto"/>
                <w:sz w:val="24"/>
                <w:szCs w:val="24"/>
                <w:lang w:val="en-US" w:eastAsia="zh-CN" w:bidi="ar-SA"/>
              </w:rPr>
              <w:t>缠绕、自然固化</w:t>
            </w:r>
            <w:r>
              <w:rPr>
                <w:rFonts w:hint="eastAsia" w:ascii="Times New Roman" w:hAnsi="Times New Roman" w:eastAsia="宋体" w:cs="Times New Roman"/>
                <w:b w:val="0"/>
                <w:bCs w:val="0"/>
                <w:i w:val="0"/>
                <w:iCs w:val="0"/>
                <w:color w:val="auto"/>
                <w:sz w:val="24"/>
                <w:szCs w:val="24"/>
                <w:lang w:val="en-US" w:eastAsia="zh-CN" w:bidi="ar-SA"/>
              </w:rPr>
              <w:t>等生产环节均在车间开放空间内进行，会产生一定挥发有机物，该部分挥发性有机物经8个半封闭集气罩收集后由活性炭吸附脱附+催化燃烧装置进行处理后由15m排气筒排放；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③臭气浓度：</w:t>
            </w:r>
            <w:r>
              <w:rPr>
                <w:rFonts w:hint="eastAsia" w:ascii="Times New Roman" w:hAnsi="Times New Roman" w:eastAsia="宋体" w:cs="Times New Roman"/>
                <w:color w:val="auto"/>
                <w:sz w:val="24"/>
                <w:lang w:val="en-US" w:eastAsia="zh-CN"/>
              </w:rPr>
              <w:t>项目生产过程中产生的臭气主要来源于树脂浸胶、缠绕、自然固化过程挥发的非甲烷总烃和</w:t>
            </w:r>
            <w:r>
              <w:rPr>
                <w:rFonts w:hint="eastAsia" w:cs="Times New Roman"/>
                <w:color w:val="auto"/>
                <w:sz w:val="24"/>
                <w:lang w:val="en-US" w:eastAsia="zh-CN"/>
              </w:rPr>
              <w:t>苯乙烯</w:t>
            </w:r>
            <w:r>
              <w:rPr>
                <w:rFonts w:hint="eastAsia" w:ascii="Times New Roman" w:hAnsi="Times New Roman" w:eastAsia="宋体" w:cs="Times New Roman"/>
                <w:color w:val="auto"/>
                <w:sz w:val="24"/>
                <w:lang w:val="en-US" w:eastAsia="zh-CN"/>
              </w:rPr>
              <w:t>，以臭气浓度表征。项目设置半封闭集气罩，大部分</w:t>
            </w:r>
            <w:r>
              <w:rPr>
                <w:rFonts w:hint="eastAsia" w:cs="Times New Roman"/>
                <w:color w:val="auto"/>
                <w:sz w:val="24"/>
                <w:lang w:val="en-US" w:eastAsia="zh-CN"/>
              </w:rPr>
              <w:t>非甲烷总烃</w:t>
            </w:r>
            <w:r>
              <w:rPr>
                <w:rFonts w:hint="eastAsia" w:ascii="Times New Roman" w:hAnsi="Times New Roman" w:eastAsia="宋体" w:cs="Times New Roman"/>
                <w:color w:val="auto"/>
                <w:sz w:val="24"/>
                <w:lang w:val="en-US" w:eastAsia="zh-CN"/>
              </w:rPr>
              <w:t>和</w:t>
            </w:r>
            <w:r>
              <w:rPr>
                <w:rFonts w:hint="eastAsia" w:cs="Times New Roman"/>
                <w:color w:val="auto"/>
                <w:sz w:val="24"/>
                <w:lang w:val="en-US" w:eastAsia="zh-CN"/>
              </w:rPr>
              <w:t>苯乙烯</w:t>
            </w:r>
            <w:r>
              <w:rPr>
                <w:rFonts w:hint="eastAsia" w:ascii="Times New Roman" w:hAnsi="Times New Roman" w:eastAsia="宋体" w:cs="Times New Roman"/>
                <w:color w:val="auto"/>
                <w:sz w:val="24"/>
                <w:lang w:val="en-US" w:eastAsia="zh-CN"/>
              </w:rPr>
              <w:t>经集气罩捕集引入废气治理设施，随后经15m高排气筒高空排放，仅有少量未捕集的</w:t>
            </w:r>
            <w:r>
              <w:rPr>
                <w:rFonts w:hint="eastAsia" w:cs="Times New Roman"/>
                <w:color w:val="auto"/>
                <w:sz w:val="24"/>
                <w:lang w:val="en-US" w:eastAsia="zh-CN"/>
              </w:rPr>
              <w:t>非甲烷总烃</w:t>
            </w:r>
            <w:r>
              <w:rPr>
                <w:rFonts w:hint="eastAsia" w:ascii="Times New Roman" w:hAnsi="Times New Roman" w:eastAsia="宋体" w:cs="Times New Roman"/>
                <w:color w:val="auto"/>
                <w:sz w:val="24"/>
                <w:lang w:val="en-US" w:eastAsia="zh-CN"/>
              </w:rPr>
              <w:t>和</w:t>
            </w:r>
            <w:r>
              <w:rPr>
                <w:rFonts w:hint="eastAsia" w:cs="Times New Roman"/>
                <w:color w:val="auto"/>
                <w:sz w:val="24"/>
                <w:lang w:val="en-US" w:eastAsia="zh-CN"/>
              </w:rPr>
              <w:t>苯乙烯</w:t>
            </w:r>
            <w:r>
              <w:rPr>
                <w:rFonts w:hint="eastAsia" w:ascii="Times New Roman" w:hAnsi="Times New Roman" w:eastAsia="宋体" w:cs="Times New Roman"/>
                <w:color w:val="auto"/>
                <w:sz w:val="24"/>
                <w:lang w:val="en-US" w:eastAsia="zh-CN"/>
              </w:rPr>
              <w:t>以无组织形式排放。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废水：</w:t>
            </w:r>
            <w:r>
              <w:rPr>
                <w:rFonts w:hint="default" w:ascii="Times New Roman" w:hAnsi="Times New Roman" w:eastAsia="宋体" w:cs="Times New Roman"/>
                <w:b w:val="0"/>
                <w:bCs w:val="0"/>
                <w:i w:val="0"/>
                <w:iCs w:val="0"/>
                <w:color w:val="auto"/>
                <w:sz w:val="24"/>
                <w:szCs w:val="24"/>
                <w:lang w:val="en-US" w:eastAsia="zh-CN" w:bidi="ar-SA"/>
              </w:rPr>
              <w:t>本项目生产无需用水，废水主要为生活污水。排入园区排水系统，最终进入</w:t>
            </w:r>
            <w:r>
              <w:rPr>
                <w:rFonts w:hint="eastAsia" w:ascii="Times New Roman" w:hAnsi="Times New Roman" w:eastAsia="宋体" w:cs="Times New Roman"/>
                <w:b w:val="0"/>
                <w:bCs w:val="0"/>
                <w:i w:val="0"/>
                <w:iCs w:val="0"/>
                <w:color w:val="auto"/>
                <w:sz w:val="24"/>
                <w:szCs w:val="24"/>
                <w:lang w:val="en-US" w:eastAsia="zh-CN" w:bidi="ar-SA"/>
              </w:rPr>
              <w:t>胡杨河经济技术开发区南园区污水处理厂</w:t>
            </w:r>
            <w:r>
              <w:rPr>
                <w:rFonts w:hint="default" w:ascii="Times New Roman" w:hAnsi="Times New Roman" w:eastAsia="宋体" w:cs="Times New Roman"/>
                <w:b w:val="0"/>
                <w:bCs w:val="0"/>
                <w:i w:val="0"/>
                <w:iCs w:val="0"/>
                <w:color w:val="auto"/>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固废：项目固废主要为一般生产固废（除尘器收集的粉尘、下脚料、不合格产品、废包装材料）收集后外售；危险废物（废活性炭、废催化剂、废</w:t>
            </w:r>
            <w:r>
              <w:rPr>
                <w:rFonts w:hint="default" w:ascii="Times New Roman" w:hAnsi="Times New Roman" w:eastAsia="宋体" w:cs="Times New Roman"/>
                <w:b w:val="0"/>
                <w:bCs w:val="0"/>
                <w:i w:val="0"/>
                <w:iCs w:val="0"/>
                <w:color w:val="auto"/>
                <w:sz w:val="24"/>
                <w:szCs w:val="24"/>
                <w:lang w:val="en-US" w:eastAsia="zh-CN" w:bidi="ar-SA"/>
              </w:rPr>
              <w:t>不饱和聚酯树脂</w:t>
            </w:r>
            <w:r>
              <w:rPr>
                <w:rFonts w:hint="eastAsia" w:ascii="Times New Roman" w:hAnsi="Times New Roman" w:eastAsia="宋体" w:cs="Times New Roman"/>
                <w:b w:val="0"/>
                <w:bCs w:val="0"/>
                <w:i w:val="0"/>
                <w:iCs w:val="0"/>
                <w:color w:val="auto"/>
                <w:sz w:val="24"/>
                <w:szCs w:val="24"/>
                <w:lang w:val="en-US" w:eastAsia="zh-CN" w:bidi="ar-SA"/>
              </w:rPr>
              <w:t>桶、废促进剂、固化剂桶）废催化剂厂家回收，废</w:t>
            </w:r>
            <w:r>
              <w:rPr>
                <w:rFonts w:hint="default" w:ascii="Times New Roman" w:hAnsi="Times New Roman" w:eastAsia="宋体" w:cs="Times New Roman"/>
                <w:b w:val="0"/>
                <w:bCs w:val="0"/>
                <w:i w:val="0"/>
                <w:iCs w:val="0"/>
                <w:color w:val="auto"/>
                <w:sz w:val="24"/>
                <w:szCs w:val="24"/>
                <w:lang w:val="en-US" w:eastAsia="zh-CN" w:bidi="ar-SA"/>
              </w:rPr>
              <w:t>不饱和聚酯树脂</w:t>
            </w:r>
            <w:r>
              <w:rPr>
                <w:rFonts w:hint="eastAsia" w:ascii="Times New Roman" w:hAnsi="Times New Roman" w:eastAsia="宋体" w:cs="Times New Roman"/>
                <w:b w:val="0"/>
                <w:bCs w:val="0"/>
                <w:i w:val="0"/>
                <w:iCs w:val="0"/>
                <w:color w:val="auto"/>
                <w:sz w:val="24"/>
                <w:szCs w:val="24"/>
                <w:lang w:val="en-US" w:eastAsia="zh-CN" w:bidi="ar-SA"/>
              </w:rPr>
              <w:t>桶厂家回收循环使用，其他危废暂存于危废暂存间定期交由资质单位处理；生活垃圾交由市政环卫部门处置。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auto"/>
                <w:sz w:val="24"/>
                <w:szCs w:val="24"/>
                <w:lang w:val="en-US" w:eastAsia="zh-CN" w:bidi="ar-SA"/>
              </w:rPr>
            </w:pPr>
            <w:r>
              <w:rPr>
                <w:rFonts w:hint="eastAsia" w:ascii="Times New Roman" w:hAnsi="Times New Roman" w:eastAsia="宋体" w:cs="Times New Roman"/>
                <w:b w:val="0"/>
                <w:bCs w:val="0"/>
                <w:i w:val="0"/>
                <w:iCs w:val="0"/>
                <w:color w:val="auto"/>
                <w:sz w:val="24"/>
                <w:szCs w:val="24"/>
                <w:lang w:val="en-US" w:eastAsia="zh-CN" w:bidi="ar-SA"/>
              </w:rPr>
              <w:t>噪声：</w:t>
            </w:r>
            <w:r>
              <w:rPr>
                <w:rFonts w:hint="default" w:ascii="Times New Roman" w:hAnsi="Times New Roman" w:eastAsia="宋体" w:cs="Times New Roman"/>
                <w:b w:val="0"/>
                <w:bCs w:val="0"/>
                <w:i w:val="0"/>
                <w:iCs w:val="0"/>
                <w:color w:val="auto"/>
                <w:sz w:val="24"/>
                <w:szCs w:val="24"/>
                <w:lang w:val="en-US" w:eastAsia="zh-CN" w:bidi="ar-SA"/>
              </w:rPr>
              <w:t>噪声主要来源于缠绕机、空压机、成型机、起重机、切割机等设备运行时产生的噪声</w:t>
            </w:r>
            <w:r>
              <w:rPr>
                <w:rFonts w:hint="eastAsia" w:ascii="Times New Roman" w:hAnsi="Times New Roman" w:eastAsia="宋体" w:cs="Times New Roman"/>
                <w:b w:val="0"/>
                <w:bCs w:val="0"/>
                <w:i w:val="0"/>
                <w:iCs w:val="0"/>
                <w:color w:val="auto"/>
                <w:sz w:val="24"/>
                <w:szCs w:val="24"/>
                <w:lang w:val="en-US" w:eastAsia="zh-CN" w:bidi="ar-SA"/>
              </w:rPr>
              <w:t>，</w:t>
            </w:r>
            <w:r>
              <w:rPr>
                <w:rFonts w:hint="default" w:ascii="Times New Roman" w:hAnsi="Times New Roman" w:eastAsia="宋体" w:cs="Times New Roman"/>
                <w:b w:val="0"/>
                <w:bCs w:val="0"/>
                <w:i w:val="0"/>
                <w:iCs w:val="0"/>
                <w:color w:val="auto"/>
                <w:sz w:val="24"/>
                <w:szCs w:val="24"/>
                <w:lang w:val="en-US" w:eastAsia="zh-CN" w:bidi="ar-SA"/>
              </w:rPr>
              <w:t>选用低噪声设备，安装减振垫，关键发声部位安装消声器</w:t>
            </w:r>
            <w:r>
              <w:rPr>
                <w:rFonts w:hint="eastAsia" w:ascii="Times New Roman" w:hAnsi="Times New Roman" w:eastAsia="宋体" w:cs="Times New Roman"/>
                <w:b w:val="0"/>
                <w:bCs w:val="0"/>
                <w:i w:val="0"/>
                <w:iCs w:val="0"/>
                <w:color w:val="auto"/>
                <w:sz w:val="24"/>
                <w:szCs w:val="24"/>
                <w:lang w:val="en-US" w:eastAsia="zh-CN" w:bidi="ar-SA"/>
              </w:rPr>
              <w:t>等措施降低噪声影响。</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kern w:val="0"/>
                <w:sz w:val="24"/>
                <w:szCs w:val="24"/>
                <w:lang w:val="en-US" w:eastAsia="zh-CN" w:bidi="ar"/>
              </w:rPr>
              <w:t>本项目主要产污节点情况见下表2-</w:t>
            </w:r>
            <w:r>
              <w:rPr>
                <w:rFonts w:hint="eastAsia"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w:t>
            </w:r>
          </w:p>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表2-</w:t>
            </w:r>
            <w:r>
              <w:rPr>
                <w:rFonts w:hint="eastAsia" w:ascii="Times New Roman" w:hAnsi="Times New Roman" w:eastAsia="宋体" w:cs="Times New Roman"/>
                <w:b/>
                <w:bCs/>
                <w:color w:val="auto"/>
                <w:lang w:val="en-US" w:eastAsia="zh-CN" w:bidi="ar-SA"/>
              </w:rPr>
              <w:t>6</w:t>
            </w:r>
            <w:r>
              <w:rPr>
                <w:rFonts w:hint="default" w:ascii="Times New Roman" w:hAnsi="Times New Roman" w:eastAsia="宋体" w:cs="Times New Roman"/>
                <w:b/>
                <w:bCs/>
                <w:color w:val="auto"/>
                <w:lang w:val="en-US" w:eastAsia="zh-CN" w:bidi="ar-SA"/>
              </w:rPr>
              <w:t xml:space="preserve">  运营期主要产污节点情况一览表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9"/>
              <w:gridCol w:w="1920"/>
              <w:gridCol w:w="1601"/>
              <w:gridCol w:w="35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269" w:type="dxa"/>
                  <w:vMerge w:val="restar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大气污染物</w:t>
                  </w:r>
                </w:p>
              </w:tc>
              <w:tc>
                <w:tcPr>
                  <w:tcW w:w="1920" w:type="dxa"/>
                  <w:vMerge w:val="restar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玻璃钢制品生产线</w:t>
                  </w:r>
                </w:p>
              </w:tc>
              <w:tc>
                <w:tcPr>
                  <w:tcW w:w="1601"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浸胶</w:t>
                  </w:r>
                </w:p>
              </w:tc>
              <w:tc>
                <w:tcPr>
                  <w:tcW w:w="3521" w:type="dxa"/>
                  <w:vMerge w:val="restar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VOCs</w:t>
                  </w:r>
                  <w:r>
                    <w:rPr>
                      <w:rFonts w:hint="eastAsia"/>
                      <w:color w:val="auto"/>
                    </w:rPr>
                    <w:t>（以非甲烷总烃计）</w:t>
                  </w:r>
                  <w:r>
                    <w:rPr>
                      <w:rFonts w:hint="eastAsia"/>
                      <w:color w:val="auto"/>
                      <w:lang w:eastAsia="zh-CN"/>
                    </w:rPr>
                    <w:t>、臭气浓度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269"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1920"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1601"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内衬制作</w:t>
                  </w:r>
                </w:p>
              </w:tc>
              <w:tc>
                <w:tcPr>
                  <w:tcW w:w="3521"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1920"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1601"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缠绕</w:t>
                  </w:r>
                </w:p>
              </w:tc>
              <w:tc>
                <w:tcPr>
                  <w:tcW w:w="3521"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1920"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1601"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自然固化</w:t>
                  </w:r>
                </w:p>
              </w:tc>
              <w:tc>
                <w:tcPr>
                  <w:tcW w:w="3521"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1920"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1601"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玻璃钢罐组装</w:t>
                  </w:r>
                </w:p>
              </w:tc>
              <w:tc>
                <w:tcPr>
                  <w:tcW w:w="3521"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1920"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1601"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模具准备</w:t>
                  </w:r>
                </w:p>
              </w:tc>
              <w:tc>
                <w:tcPr>
                  <w:tcW w:w="3521" w:type="dxa"/>
                  <w:vMerge w:val="restar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1920"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1601"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上料</w:t>
                  </w:r>
                </w:p>
              </w:tc>
              <w:tc>
                <w:tcPr>
                  <w:tcW w:w="3521"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1920"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1601"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修整</w:t>
                  </w:r>
                </w:p>
              </w:tc>
              <w:tc>
                <w:tcPr>
                  <w:tcW w:w="3521" w:type="dxa"/>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126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水污染物</w:t>
                  </w:r>
                </w:p>
              </w:tc>
              <w:tc>
                <w:tcPr>
                  <w:tcW w:w="7042" w:type="dxa"/>
                  <w:gridSpan w:val="3"/>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生活污水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269" w:type="dxa"/>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固废污染物</w:t>
                  </w:r>
                </w:p>
              </w:tc>
              <w:tc>
                <w:tcPr>
                  <w:tcW w:w="3521" w:type="dxa"/>
                  <w:gridSpan w:val="2"/>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一般工业固废</w:t>
                  </w:r>
                </w:p>
              </w:tc>
              <w:tc>
                <w:tcPr>
                  <w:tcW w:w="3521"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除尘器收集粉尘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3521" w:type="dxa"/>
                  <w:gridSpan w:val="2"/>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3521"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下脚料、不合格产品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3521" w:type="dxa"/>
                  <w:gridSpan w:val="2"/>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3521"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废包装材料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3521" w:type="dxa"/>
                  <w:gridSpan w:val="2"/>
                  <w:vMerge w:val="restar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危险废物</w:t>
                  </w:r>
                </w:p>
              </w:tc>
              <w:tc>
                <w:tcPr>
                  <w:tcW w:w="3521" w:type="dxa"/>
                  <w:noWrap w:val="0"/>
                  <w:vAlign w:val="center"/>
                </w:tcPr>
                <w:p>
                  <w:pPr>
                    <w:spacing w:line="240" w:lineRule="auto"/>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废活性炭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3521" w:type="dxa"/>
                  <w:gridSpan w:val="2"/>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3521" w:type="dxa"/>
                  <w:noWrap w:val="0"/>
                  <w:vAlign w:val="center"/>
                </w:tcPr>
                <w:p>
                  <w:pPr>
                    <w:spacing w:line="240" w:lineRule="auto"/>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废</w:t>
                  </w:r>
                  <w:r>
                    <w:rPr>
                      <w:rFonts w:hint="eastAsia" w:ascii="Times New Roman" w:hAnsi="Times New Roman" w:eastAsia="宋体" w:cs="Times New Roman"/>
                      <w:color w:val="auto"/>
                      <w:sz w:val="21"/>
                      <w:szCs w:val="21"/>
                      <w:lang w:val="zh-CN" w:eastAsia="zh-CN" w:bidi="ar-SA"/>
                    </w:rPr>
                    <w:t>催化剂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3521" w:type="dxa"/>
                  <w:gridSpan w:val="2"/>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3521" w:type="dxa"/>
                  <w:noWrap w:val="0"/>
                  <w:vAlign w:val="center"/>
                </w:tcPr>
                <w:p>
                  <w:pPr>
                    <w:spacing w:line="240" w:lineRule="auto"/>
                    <w:jc w:val="center"/>
                    <w:rPr>
                      <w:rFonts w:hint="default" w:ascii="Times New Roman" w:hAnsi="Times New Roman" w:eastAsia="宋体" w:cs="Times New Roman"/>
                      <w:color w:val="auto"/>
                      <w:sz w:val="21"/>
                      <w:szCs w:val="21"/>
                      <w:lang w:val="zh-CN" w:eastAsia="zh-CN" w:bidi="ar-SA"/>
                    </w:rPr>
                  </w:pPr>
                  <w:r>
                    <w:rPr>
                      <w:rFonts w:hint="eastAsia" w:ascii="Times New Roman" w:hAnsi="Times New Roman" w:eastAsia="宋体" w:cs="Times New Roman"/>
                      <w:color w:val="auto"/>
                      <w:sz w:val="21"/>
                      <w:szCs w:val="21"/>
                      <w:lang w:val="zh-CN" w:eastAsia="zh-CN" w:bidi="ar-SA"/>
                    </w:rPr>
                    <w:t>废促进剂、固化剂桶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3521" w:type="dxa"/>
                  <w:gridSpan w:val="2"/>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3521" w:type="dxa"/>
                  <w:noWrap w:val="0"/>
                  <w:vAlign w:val="center"/>
                </w:tcPr>
                <w:p>
                  <w:pPr>
                    <w:spacing w:line="240" w:lineRule="auto"/>
                    <w:jc w:val="center"/>
                    <w:rPr>
                      <w:rFonts w:hint="default" w:ascii="Times New Roman" w:hAnsi="Times New Roman" w:eastAsia="宋体" w:cs="Times New Roman"/>
                      <w:color w:val="auto"/>
                      <w:sz w:val="21"/>
                      <w:szCs w:val="21"/>
                      <w:lang w:val="zh-CN" w:eastAsia="zh-CN" w:bidi="ar-SA"/>
                    </w:rPr>
                  </w:pPr>
                  <w:r>
                    <w:rPr>
                      <w:rFonts w:hint="eastAsia" w:ascii="Times New Roman" w:hAnsi="Times New Roman" w:eastAsia="宋体" w:cs="Times New Roman"/>
                      <w:color w:val="auto"/>
                      <w:sz w:val="21"/>
                      <w:szCs w:val="21"/>
                      <w:lang w:val="zh-CN" w:eastAsia="zh-CN" w:bidi="ar-SA"/>
                    </w:rPr>
                    <w:t>废不饱和聚酯树脂桶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269"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3521" w:type="dxa"/>
                  <w:gridSpan w:val="2"/>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生活垃圾</w:t>
                  </w:r>
                </w:p>
              </w:tc>
              <w:tc>
                <w:tcPr>
                  <w:tcW w:w="3521" w:type="dxa"/>
                  <w:noWrap w:val="0"/>
                  <w:vAlign w:val="center"/>
                </w:tcPr>
                <w:p>
                  <w:pPr>
                    <w:spacing w:line="240" w:lineRule="auto"/>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员工生活垃圾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126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噪声污染物</w:t>
                  </w:r>
                </w:p>
              </w:tc>
              <w:tc>
                <w:tcPr>
                  <w:tcW w:w="7042" w:type="dxa"/>
                  <w:gridSpan w:val="3"/>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运营期主要为设备噪声，在</w:t>
                  </w:r>
                  <w:r>
                    <w:rPr>
                      <w:rFonts w:hint="eastAsia" w:ascii="Times New Roman" w:hAnsi="Times New Roman" w:eastAsia="宋体" w:cs="Times New Roman"/>
                      <w:color w:val="auto"/>
                      <w:sz w:val="21"/>
                      <w:szCs w:val="21"/>
                      <w:lang w:val="en-US" w:eastAsia="zh-CN" w:bidi="ar-SA"/>
                    </w:rPr>
                    <w:t>65</w:t>
                  </w:r>
                  <w:r>
                    <w:rPr>
                      <w:rFonts w:hint="default"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85</w:t>
                  </w:r>
                  <w:r>
                    <w:rPr>
                      <w:rFonts w:hint="default" w:ascii="Times New Roman" w:hAnsi="Times New Roman" w:eastAsia="宋体" w:cs="Times New Roman"/>
                      <w:color w:val="auto"/>
                      <w:sz w:val="21"/>
                      <w:szCs w:val="21"/>
                      <w:lang w:val="en-US" w:eastAsia="zh-CN" w:bidi="ar-SA"/>
                    </w:rPr>
                    <w:t>dB</w:t>
                  </w:r>
                  <w:r>
                    <w:rPr>
                      <w:rFonts w:hint="eastAsia" w:ascii="Times New Roman" w:hAnsi="Times New Roman"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A</w:t>
                  </w:r>
                  <w:r>
                    <w:rPr>
                      <w:rFonts w:hint="eastAsia" w:ascii="Times New Roman" w:hAnsi="Times New Roman"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之间</w:t>
                  </w:r>
                </w:p>
              </w:tc>
            </w:tr>
          </w:tbl>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p>
          <w:p>
            <w:pPr>
              <w:pageBreakBefore w:val="0"/>
              <w:widowControl w:val="0"/>
              <w:kinsoku/>
              <w:wordWrap/>
              <w:overflowPunct/>
              <w:topLinePunct w:val="0"/>
              <w:autoSpaceDE/>
              <w:autoSpaceDN/>
              <w:bidi w:val="0"/>
              <w:spacing w:line="360" w:lineRule="auto"/>
              <w:jc w:val="left"/>
              <w:textAlignment w:val="baseline"/>
              <w:rPr>
                <w:rFonts w:hint="default" w:ascii="Times New Roman" w:hAnsi="Times New Roman" w:eastAsia="宋体" w:cs="Times New Roman"/>
                <w:bCs/>
                <w:color w:val="auto"/>
                <w:sz w:val="24"/>
                <w:szCs w:val="24"/>
                <w:lang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0" w:hRule="atLeast"/>
          <w:jc w:val="center"/>
        </w:trPr>
        <w:tc>
          <w:tcPr>
            <w:tcW w:w="461" w:type="dxa"/>
            <w:noWrap w:val="0"/>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bCs/>
                <w:color w:val="auto"/>
                <w:kern w:val="2"/>
                <w:sz w:val="24"/>
                <w:szCs w:val="24"/>
                <w:lang w:bidi="ar-SA"/>
              </w:rPr>
              <w:t>与项目有关的原有环境污染问题</w:t>
            </w:r>
          </w:p>
        </w:tc>
        <w:tc>
          <w:tcPr>
            <w:tcW w:w="853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bidi="ar-SA"/>
              </w:rPr>
              <w:t>本项目为新建项目，</w:t>
            </w:r>
            <w:r>
              <w:rPr>
                <w:rFonts w:hint="eastAsia" w:ascii="Times New Roman" w:hAnsi="Times New Roman" w:eastAsia="宋体" w:cs="Times New Roman"/>
                <w:color w:val="auto"/>
                <w:sz w:val="24"/>
                <w:szCs w:val="24"/>
                <w:lang w:val="en-US" w:eastAsia="zh-CN" w:bidi="ar-SA"/>
              </w:rPr>
              <w:t>租用位于</w:t>
            </w:r>
            <w:r>
              <w:rPr>
                <w:rFonts w:hint="default" w:ascii="Times New Roman" w:hAnsi="Times New Roman" w:eastAsia="宋体" w:cs="Times New Roman"/>
                <w:color w:val="auto"/>
                <w:sz w:val="24"/>
                <w:szCs w:val="24"/>
                <w:lang w:val="en-US" w:eastAsia="zh-CN" w:bidi="ar-SA"/>
              </w:rPr>
              <w:t>胡杨河经济技术开发区</w:t>
            </w:r>
            <w:r>
              <w:rPr>
                <w:rFonts w:hint="eastAsia" w:ascii="Times New Roman" w:hAnsi="Times New Roman" w:eastAsia="宋体" w:cs="Times New Roman"/>
                <w:color w:val="auto"/>
                <w:sz w:val="24"/>
                <w:szCs w:val="24"/>
                <w:lang w:val="en-US" w:eastAsia="zh-CN" w:bidi="ar-SA"/>
              </w:rPr>
              <w:t>南园区31#厂房</w:t>
            </w:r>
            <w:r>
              <w:rPr>
                <w:rFonts w:hint="eastAsia"/>
                <w:color w:val="auto"/>
                <w:sz w:val="24"/>
                <w:lang w:val="en-US" w:eastAsia="zh-CN"/>
              </w:rPr>
              <w:t>，</w:t>
            </w:r>
            <w:r>
              <w:rPr>
                <w:rFonts w:hint="eastAsia"/>
                <w:color w:val="auto"/>
                <w:sz w:val="24"/>
              </w:rPr>
              <w:t>租</w:t>
            </w:r>
            <w:r>
              <w:rPr>
                <w:rFonts w:hint="eastAsia"/>
                <w:color w:val="auto"/>
                <w:sz w:val="24"/>
                <w:lang w:eastAsia="zh-CN"/>
              </w:rPr>
              <w:t>用面积</w:t>
            </w:r>
            <w:r>
              <w:rPr>
                <w:rFonts w:hint="eastAsia"/>
                <w:color w:val="auto"/>
                <w:sz w:val="24"/>
                <w:lang w:val="en-US" w:eastAsia="zh-CN"/>
              </w:rPr>
              <w:t>5000m</w:t>
            </w:r>
            <w:r>
              <w:rPr>
                <w:rFonts w:hint="eastAsia"/>
                <w:color w:val="auto"/>
                <w:sz w:val="24"/>
                <w:vertAlign w:val="superscript"/>
                <w:lang w:val="en-US" w:eastAsia="zh-CN"/>
              </w:rPr>
              <w:t>2</w:t>
            </w:r>
            <w:r>
              <w:rPr>
                <w:rFonts w:hint="eastAsia" w:ascii="Times New Roman" w:hAnsi="Times New Roman" w:cs="Times New Roman"/>
                <w:color w:val="auto"/>
                <w:sz w:val="24"/>
                <w:lang w:val="en-US" w:eastAsia="zh-CN"/>
              </w:rPr>
              <w:t>，通过现场调查，</w:t>
            </w:r>
            <w:r>
              <w:rPr>
                <w:rFonts w:hint="eastAsia" w:cs="Times New Roman"/>
                <w:color w:val="auto"/>
                <w:sz w:val="24"/>
                <w:lang w:val="en-US" w:eastAsia="zh-CN"/>
              </w:rPr>
              <w:t>厂房为园区标准化厂房，在本项目未入驻前为闲置空厂房，</w:t>
            </w:r>
            <w:r>
              <w:rPr>
                <w:rFonts w:hint="eastAsia" w:ascii="Times New Roman" w:hAnsi="Times New Roman" w:eastAsia="宋体" w:cs="Times New Roman"/>
                <w:b w:val="0"/>
                <w:bCs w:val="0"/>
                <w:i w:val="0"/>
                <w:iCs w:val="0"/>
                <w:color w:val="auto"/>
                <w:sz w:val="24"/>
                <w:szCs w:val="24"/>
                <w:lang w:val="en-US" w:eastAsia="zh-CN" w:bidi="ar-SA"/>
              </w:rPr>
              <w:t>无原有环境污染</w:t>
            </w:r>
            <w:r>
              <w:rPr>
                <w:rFonts w:hint="default" w:ascii="Times New Roman" w:hAnsi="Times New Roman" w:eastAsia="宋体" w:cs="Times New Roman"/>
                <w:color w:val="auto"/>
                <w:sz w:val="24"/>
                <w:szCs w:val="24"/>
                <w:lang w:val="en-US" w:eastAsia="zh-CN" w:bidi="ar-SA"/>
              </w:rPr>
              <w:t>情况及相应的环境问题。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pStyle w:val="30"/>
              <w:rPr>
                <w:rFonts w:hint="eastAsia" w:ascii="Times New Roman" w:hAnsi="Times New Roman" w:eastAsia="宋体" w:cs="Times New Roman"/>
                <w:b w:val="0"/>
                <w:bCs w:val="0"/>
                <w:i w:val="0"/>
                <w:iCs w:val="0"/>
                <w:color w:val="auto"/>
                <w:kern w:val="2"/>
                <w:sz w:val="24"/>
                <w:szCs w:val="24"/>
                <w:lang w:val="en-US" w:eastAsia="zh-CN" w:bidi="ar-SA"/>
              </w:rPr>
            </w:pPr>
          </w:p>
          <w:p>
            <w:pPr>
              <w:pStyle w:val="29"/>
              <w:rPr>
                <w:rFonts w:hint="eastAsia" w:ascii="Times New Roman" w:hAnsi="Times New Roman" w:eastAsia="宋体" w:cs="Times New Roman"/>
                <w:b w:val="0"/>
                <w:bCs w:val="0"/>
                <w:i w:val="0"/>
                <w:iCs w:val="0"/>
                <w:color w:val="auto"/>
                <w:kern w:val="2"/>
                <w:sz w:val="24"/>
                <w:szCs w:val="24"/>
                <w:lang w:val="en-US" w:eastAsia="zh-CN" w:bidi="ar-SA"/>
              </w:rPr>
            </w:pPr>
          </w:p>
          <w:p>
            <w:pPr>
              <w:rPr>
                <w:rFonts w:hint="eastAsia" w:ascii="Times New Roman" w:hAnsi="Times New Roman" w:eastAsia="宋体" w:cs="Times New Roman"/>
                <w:b w:val="0"/>
                <w:bCs w:val="0"/>
                <w:i w:val="0"/>
                <w:iCs w:val="0"/>
                <w:color w:val="auto"/>
                <w:kern w:val="2"/>
                <w:sz w:val="24"/>
                <w:szCs w:val="24"/>
                <w:lang w:val="en-US" w:eastAsia="zh-CN" w:bidi="ar-SA"/>
              </w:rPr>
            </w:pPr>
          </w:p>
          <w:p>
            <w:pPr>
              <w:pStyle w:val="30"/>
              <w:rPr>
                <w:rFonts w:hint="eastAsia" w:ascii="Times New Roman" w:hAnsi="Times New Roman" w:eastAsia="宋体" w:cs="Times New Roman"/>
                <w:b w:val="0"/>
                <w:bCs w:val="0"/>
                <w:i w:val="0"/>
                <w:iCs w:val="0"/>
                <w:color w:val="auto"/>
                <w:kern w:val="2"/>
                <w:sz w:val="24"/>
                <w:szCs w:val="24"/>
                <w:lang w:val="en-US" w:eastAsia="zh-CN" w:bidi="ar-SA"/>
              </w:rPr>
            </w:pPr>
          </w:p>
          <w:p>
            <w:pPr>
              <w:pStyle w:val="29"/>
              <w:rPr>
                <w:rFonts w:hint="eastAsia" w:ascii="Times New Roman" w:hAnsi="Times New Roman" w:eastAsia="宋体" w:cs="Times New Roman"/>
                <w:b w:val="0"/>
                <w:bCs w:val="0"/>
                <w:i w:val="0"/>
                <w:iCs w:val="0"/>
                <w:color w:val="auto"/>
                <w:kern w:val="2"/>
                <w:sz w:val="24"/>
                <w:szCs w:val="24"/>
                <w:lang w:val="en-US" w:eastAsia="zh-CN" w:bidi="ar-SA"/>
              </w:rPr>
            </w:pPr>
          </w:p>
          <w:p>
            <w:pPr>
              <w:rPr>
                <w:rFonts w:hint="eastAsia" w:ascii="Times New Roman" w:hAnsi="Times New Roman" w:eastAsia="宋体" w:cs="Times New Roman"/>
                <w:b w:val="0"/>
                <w:bCs w:val="0"/>
                <w:i w:val="0"/>
                <w:iCs w:val="0"/>
                <w:color w:val="auto"/>
                <w:kern w:val="2"/>
                <w:sz w:val="24"/>
                <w:szCs w:val="24"/>
                <w:lang w:val="en-US" w:eastAsia="zh-CN" w:bidi="ar-SA"/>
              </w:rPr>
            </w:pPr>
          </w:p>
          <w:p>
            <w:pPr>
              <w:pStyle w:val="30"/>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i w:val="0"/>
                <w:iCs w:val="0"/>
                <w:color w:val="auto"/>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Cs/>
                <w:color w:val="auto"/>
                <w:sz w:val="24"/>
                <w:szCs w:val="24"/>
                <w:lang w:eastAsia="zh-CN" w:bidi="ar-SA"/>
              </w:rPr>
            </w:pPr>
          </w:p>
        </w:tc>
      </w:tr>
    </w:tbl>
    <w:p>
      <w:pPr>
        <w:pStyle w:val="27"/>
        <w:adjustRightInd w:val="0"/>
        <w:snapToGrid w:val="0"/>
        <w:spacing w:before="0" w:beforeAutospacing="0" w:after="0" w:afterAutospacing="0" w:line="14" w:lineRule="auto"/>
        <w:jc w:val="center"/>
        <w:outlineLvl w:val="9"/>
        <w:rPr>
          <w:rFonts w:hint="eastAsia" w:ascii="黑体" w:eastAsia="黑体"/>
          <w:snapToGrid w:val="0"/>
          <w:color w:val="auto"/>
          <w:sz w:val="30"/>
          <w:szCs w:val="30"/>
        </w:rPr>
      </w:pPr>
    </w:p>
    <w:p>
      <w:pPr>
        <w:spacing w:line="360" w:lineRule="auto"/>
        <w:jc w:val="both"/>
        <w:rPr>
          <w:rFonts w:hint="eastAsia" w:ascii="黑体" w:eastAsia="黑体" w:cs="黑体"/>
          <w:color w:val="auto"/>
          <w:sz w:val="30"/>
          <w:szCs w:val="30"/>
          <w:lang w:bidi="ar-SA"/>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spacing w:line="360" w:lineRule="auto"/>
        <w:jc w:val="center"/>
        <w:outlineLvl w:val="0"/>
        <w:rPr>
          <w:rFonts w:hint="eastAsia" w:ascii="黑体" w:eastAsia="黑体" w:cs="黑体"/>
          <w:color w:val="auto"/>
          <w:sz w:val="30"/>
          <w:szCs w:val="30"/>
          <w:lang w:bidi="ar-SA"/>
        </w:rPr>
      </w:pPr>
      <w:r>
        <w:rPr>
          <w:rFonts w:hint="eastAsia" w:ascii="黑体" w:eastAsia="黑体" w:cs="黑体"/>
          <w:color w:val="auto"/>
          <w:sz w:val="30"/>
          <w:szCs w:val="30"/>
          <w:lang w:bidi="ar-SA"/>
        </w:rPr>
        <w:t>三、区域环境质量现状、环境保护目标及评价标准</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5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456" w:type="dxa"/>
            <w:noWrap w:val="0"/>
            <w:vAlign w:val="center"/>
          </w:tcPr>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区域</w:t>
            </w:r>
          </w:p>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环境</w:t>
            </w:r>
          </w:p>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质量</w:t>
            </w:r>
          </w:p>
          <w:p>
            <w:pPr>
              <w:adjustRightInd w:val="0"/>
              <w:snapToGrid w:val="0"/>
              <w:jc w:val="center"/>
              <w:rPr>
                <w:rFonts w:hint="eastAsia" w:ascii="宋体" w:cs="宋体"/>
                <w:color w:val="auto"/>
                <w:kern w:val="0"/>
                <w:szCs w:val="21"/>
                <w:lang w:bidi="ar-SA"/>
              </w:rPr>
            </w:pPr>
            <w:r>
              <w:rPr>
                <w:rFonts w:hint="eastAsia" w:ascii="宋体" w:cs="宋体"/>
                <w:color w:val="auto"/>
                <w:kern w:val="0"/>
                <w:sz w:val="24"/>
                <w:szCs w:val="24"/>
                <w:lang w:bidi="ar-SA"/>
              </w:rPr>
              <w:t>现状</w:t>
            </w:r>
          </w:p>
        </w:tc>
        <w:tc>
          <w:tcPr>
            <w:tcW w:w="8564" w:type="dxa"/>
            <w:noWrap w:val="0"/>
            <w:vAlign w:val="center"/>
          </w:tcPr>
          <w:p>
            <w:pPr>
              <w:pStyle w:val="26"/>
              <w:adjustRightInd w:val="0"/>
              <w:snapToGrid w:val="0"/>
              <w:spacing w:line="360" w:lineRule="auto"/>
              <w:ind w:firstLine="0" w:firstLineChars="0"/>
              <w:rPr>
                <w:rStyle w:val="34"/>
                <w:rFonts w:hint="default" w:ascii="Times New Roman" w:hAnsi="Times New Roman" w:cs="Times New Roman"/>
                <w:color w:val="auto"/>
                <w:sz w:val="24"/>
                <w:szCs w:val="24"/>
                <w:lang w:val="en-US" w:eastAsia="zh-CN" w:bidi="ar-SA"/>
              </w:rPr>
            </w:pPr>
            <w:r>
              <w:rPr>
                <w:rStyle w:val="34"/>
                <w:rFonts w:hint="eastAsia" w:ascii="Times New Roman" w:hAnsi="Times New Roman" w:cs="Times New Roman"/>
                <w:color w:val="auto"/>
                <w:sz w:val="24"/>
                <w:szCs w:val="24"/>
                <w:lang w:val="en-US" w:eastAsia="zh-CN" w:bidi="ar-SA"/>
              </w:rPr>
              <w:t>1</w:t>
            </w:r>
            <w:r>
              <w:rPr>
                <w:rStyle w:val="34"/>
                <w:rFonts w:hint="default" w:ascii="Times New Roman" w:hAnsi="Times New Roman" w:cs="Times New Roman"/>
                <w:color w:val="auto"/>
                <w:sz w:val="24"/>
                <w:szCs w:val="24"/>
                <w:lang w:val="en-US" w:eastAsia="zh-CN" w:bidi="ar-SA"/>
              </w:rPr>
              <w:t>大气环境质量现状调查与评价</w:t>
            </w:r>
          </w:p>
          <w:p>
            <w:pPr>
              <w:spacing w:line="360" w:lineRule="auto"/>
              <w:ind w:firstLine="480" w:firstLineChars="200"/>
              <w:rPr>
                <w:rFonts w:hint="eastAsia" w:ascii="Times New Roman" w:hAnsi="Times New Roman" w:cs="Times New Roman"/>
                <w:b/>
                <w:bCs/>
                <w:color w:val="auto"/>
                <w:sz w:val="24"/>
                <w:szCs w:val="24"/>
                <w:lang w:val="en-US" w:eastAsia="zh-CN" w:bidi="ar-SA"/>
              </w:rPr>
            </w:pPr>
            <w:bookmarkStart w:id="3" w:name="_Toc8436"/>
            <w:r>
              <w:rPr>
                <w:rFonts w:hint="eastAsia" w:ascii="Times New Roman" w:hAnsi="Times New Roman" w:eastAsia="宋体" w:cs="Times New Roman"/>
                <w:color w:val="auto"/>
                <w:sz w:val="24"/>
                <w:szCs w:val="24"/>
                <w:lang w:bidi="ar-SA"/>
              </w:rPr>
              <w:t>根据《建设项目环境影响报告表编制技术指南（污染影响类）（试行）》：大气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2"/>
              <w:rPr>
                <w:rFonts w:hint="default" w:ascii="Times New Roman" w:hAnsi="Times New Roman" w:eastAsia="宋体" w:cs="Times New Roman"/>
                <w:b/>
                <w:bCs/>
                <w:color w:val="auto"/>
                <w:sz w:val="24"/>
                <w:szCs w:val="24"/>
                <w:lang w:bidi="ar-SA"/>
              </w:rPr>
            </w:pPr>
            <w:r>
              <w:rPr>
                <w:rFonts w:hint="eastAsia" w:ascii="Times New Roman" w:hAnsi="Times New Roman" w:cs="Times New Roman"/>
                <w:b/>
                <w:bCs/>
                <w:color w:val="auto"/>
                <w:sz w:val="24"/>
                <w:szCs w:val="24"/>
                <w:lang w:val="en-US" w:eastAsia="zh-CN" w:bidi="ar-SA"/>
              </w:rPr>
              <w:t>1.1</w:t>
            </w:r>
            <w:r>
              <w:rPr>
                <w:rFonts w:hint="default" w:ascii="Times New Roman" w:hAnsi="Times New Roman" w:eastAsia="宋体" w:cs="Times New Roman"/>
                <w:b/>
                <w:bCs/>
                <w:color w:val="auto"/>
                <w:sz w:val="24"/>
                <w:szCs w:val="24"/>
                <w:lang w:bidi="ar-SA"/>
              </w:rPr>
              <w:t>项目所在区域空气质量达标区判定</w:t>
            </w:r>
            <w:bookmarkEnd w:id="3"/>
          </w:p>
          <w:p>
            <w:pPr>
              <w:spacing w:line="360" w:lineRule="auto"/>
              <w:ind w:firstLine="480" w:firstLineChars="200"/>
              <w:rPr>
                <w:rFonts w:hint="default" w:ascii="Times New Roman" w:hAnsi="Times New Roman" w:cs="Times New Roman"/>
                <w:color w:val="auto"/>
                <w:sz w:val="24"/>
                <w:szCs w:val="24"/>
                <w:lang w:bidi="ar-SA"/>
              </w:rPr>
            </w:pPr>
            <w:r>
              <w:rPr>
                <w:rFonts w:hint="default" w:ascii="Times New Roman" w:hAnsi="Times New Roman" w:cs="Times New Roman"/>
                <w:color w:val="auto"/>
                <w:sz w:val="24"/>
                <w:szCs w:val="24"/>
                <w:lang w:bidi="ar-SA"/>
              </w:rPr>
              <w:t>本次评价采用距离本项目区最近的胡杨河空气自动站2022年监测数据作为环境空气现状评价基本污染物SO</w:t>
            </w:r>
            <w:r>
              <w:rPr>
                <w:rFonts w:hint="default" w:ascii="Times New Roman" w:hAnsi="Times New Roman" w:cs="Times New Roman"/>
                <w:color w:val="auto"/>
                <w:sz w:val="24"/>
                <w:szCs w:val="24"/>
                <w:vertAlign w:val="subscript"/>
                <w:lang w:bidi="ar-SA"/>
              </w:rPr>
              <w:t>2</w:t>
            </w:r>
            <w:r>
              <w:rPr>
                <w:rFonts w:hint="default" w:ascii="Times New Roman" w:hAnsi="Times New Roman" w:cs="Times New Roman"/>
                <w:color w:val="auto"/>
                <w:sz w:val="24"/>
                <w:szCs w:val="24"/>
                <w:lang w:bidi="ar-SA"/>
              </w:rPr>
              <w:t>、NO</w:t>
            </w:r>
            <w:r>
              <w:rPr>
                <w:rFonts w:hint="default" w:ascii="Times New Roman" w:hAnsi="Times New Roman" w:cs="Times New Roman"/>
                <w:color w:val="auto"/>
                <w:sz w:val="24"/>
                <w:szCs w:val="24"/>
                <w:vertAlign w:val="subscript"/>
                <w:lang w:bidi="ar-SA"/>
              </w:rPr>
              <w:t>2</w:t>
            </w:r>
            <w:r>
              <w:rPr>
                <w:rFonts w:hint="default" w:ascii="Times New Roman" w:hAnsi="Times New Roman" w:cs="Times New Roman"/>
                <w:color w:val="auto"/>
                <w:sz w:val="24"/>
                <w:szCs w:val="24"/>
                <w:lang w:bidi="ar-SA"/>
              </w:rPr>
              <w:t>、PM</w:t>
            </w:r>
            <w:r>
              <w:rPr>
                <w:rFonts w:hint="default" w:ascii="Times New Roman" w:hAnsi="Times New Roman" w:cs="Times New Roman"/>
                <w:color w:val="auto"/>
                <w:sz w:val="24"/>
                <w:szCs w:val="24"/>
                <w:vertAlign w:val="subscript"/>
                <w:lang w:bidi="ar-SA"/>
              </w:rPr>
              <w:t>10</w:t>
            </w:r>
            <w:r>
              <w:rPr>
                <w:rFonts w:hint="default" w:ascii="Times New Roman" w:hAnsi="Times New Roman" w:cs="Times New Roman"/>
                <w:color w:val="auto"/>
                <w:sz w:val="24"/>
                <w:szCs w:val="24"/>
                <w:lang w:bidi="ar-SA"/>
              </w:rPr>
              <w:t>、PM</w:t>
            </w:r>
            <w:r>
              <w:rPr>
                <w:rFonts w:hint="default" w:ascii="Times New Roman" w:hAnsi="Times New Roman" w:cs="Times New Roman"/>
                <w:color w:val="auto"/>
                <w:sz w:val="24"/>
                <w:szCs w:val="24"/>
                <w:vertAlign w:val="subscript"/>
                <w:lang w:bidi="ar-SA"/>
              </w:rPr>
              <w:t>2.5</w:t>
            </w:r>
            <w:r>
              <w:rPr>
                <w:rFonts w:hint="default" w:ascii="Times New Roman" w:hAnsi="Times New Roman" w:cs="Times New Roman"/>
                <w:color w:val="auto"/>
                <w:sz w:val="24"/>
                <w:szCs w:val="24"/>
                <w:lang w:bidi="ar-SA"/>
              </w:rPr>
              <w:t>、CO和O</w:t>
            </w:r>
            <w:r>
              <w:rPr>
                <w:rFonts w:hint="default" w:ascii="Times New Roman" w:hAnsi="Times New Roman" w:cs="Times New Roman"/>
                <w:color w:val="auto"/>
                <w:sz w:val="24"/>
                <w:szCs w:val="24"/>
                <w:vertAlign w:val="subscript"/>
                <w:lang w:bidi="ar-SA"/>
              </w:rPr>
              <w:t>3</w:t>
            </w:r>
            <w:r>
              <w:rPr>
                <w:rFonts w:hint="default" w:ascii="Times New Roman" w:hAnsi="Times New Roman" w:cs="Times New Roman"/>
                <w:color w:val="auto"/>
                <w:sz w:val="24"/>
                <w:szCs w:val="24"/>
                <w:lang w:bidi="ar-SA"/>
              </w:rPr>
              <w:t>的数据来源。</w:t>
            </w:r>
          </w:p>
          <w:p>
            <w:pPr>
              <w:keepNext w:val="0"/>
              <w:keepLines w:val="0"/>
              <w:pageBreakBefore w:val="0"/>
              <w:widowControl w:val="0"/>
              <w:kinsoku/>
              <w:wordWrap/>
              <w:overflowPunct/>
              <w:topLinePunct w:val="0"/>
              <w:bidi w:val="0"/>
              <w:jc w:val="center"/>
              <w:outlineLvl w:val="9"/>
              <w:rPr>
                <w:rFonts w:hint="eastAsia" w:ascii="Times New Roman" w:hAnsi="Times New Roman" w:eastAsia="宋体" w:cs="Times New Roman"/>
                <w:b/>
                <w:bCs/>
                <w:color w:val="auto"/>
                <w:lang w:val="en-US" w:eastAsia="zh-CN" w:bidi="ar-SA"/>
              </w:rPr>
            </w:pPr>
            <w:r>
              <w:rPr>
                <w:rFonts w:hint="eastAsia" w:ascii="Times New Roman" w:hAnsi="Times New Roman" w:eastAsia="宋体" w:cs="Times New Roman"/>
                <w:b/>
                <w:bCs/>
                <w:color w:val="auto"/>
                <w:lang w:val="en-US" w:eastAsia="zh-CN" w:bidi="ar-SA"/>
              </w:rPr>
              <w:t>表</w:t>
            </w:r>
            <w:r>
              <w:rPr>
                <w:rFonts w:hint="eastAsia" w:ascii="Times New Roman" w:hAnsi="Times New Roman" w:cs="Times New Roman"/>
                <w:b/>
                <w:bCs/>
                <w:color w:val="auto"/>
                <w:lang w:val="en-US" w:eastAsia="zh-CN" w:bidi="ar-SA"/>
              </w:rPr>
              <w:t>3-1</w:t>
            </w:r>
            <w:r>
              <w:rPr>
                <w:rFonts w:hint="eastAsia" w:ascii="Times New Roman" w:hAnsi="Times New Roman" w:eastAsia="宋体" w:cs="Times New Roman"/>
                <w:b/>
                <w:bCs/>
                <w:color w:val="auto"/>
                <w:lang w:val="en-US" w:eastAsia="zh-CN" w:bidi="ar-SA"/>
              </w:rPr>
              <w:t xml:space="preserve">  2022年胡杨河空气自动站大气环境监测结果</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2604"/>
              <w:gridCol w:w="1219"/>
              <w:gridCol w:w="1314"/>
              <w:gridCol w:w="1184"/>
              <w:gridCol w:w="10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dxa"/>
                  <w:tcBorders>
                    <w:bottom w:val="single" w:color="auto" w:sz="12" w:space="0"/>
                  </w:tcBorders>
                  <w:noWrap w:val="0"/>
                  <w:vAlign w:val="center"/>
                </w:tcPr>
                <w:p>
                  <w:pPr>
                    <w:jc w:val="center"/>
                    <w:rPr>
                      <w:rFonts w:hint="default" w:ascii="Times New Roman" w:hAnsi="Times New Roman" w:eastAsia="宋体" w:cs="Times New Roman"/>
                      <w:b/>
                      <w:bCs/>
                      <w:color w:val="auto"/>
                      <w:szCs w:val="21"/>
                      <w:lang w:bidi="ar-SA"/>
                    </w:rPr>
                  </w:pPr>
                  <w:r>
                    <w:rPr>
                      <w:rFonts w:hint="default" w:ascii="Times New Roman" w:hAnsi="Times New Roman" w:eastAsia="宋体" w:cs="Times New Roman"/>
                      <w:b/>
                      <w:bCs/>
                      <w:color w:val="auto"/>
                      <w:szCs w:val="21"/>
                      <w:lang w:bidi="ar-SA"/>
                    </w:rPr>
                    <w:t>污染物</w:t>
                  </w:r>
                </w:p>
              </w:tc>
              <w:tc>
                <w:tcPr>
                  <w:tcW w:w="2627" w:type="dxa"/>
                  <w:tcBorders>
                    <w:bottom w:val="single" w:color="auto" w:sz="12" w:space="0"/>
                  </w:tcBorders>
                  <w:noWrap w:val="0"/>
                  <w:vAlign w:val="center"/>
                </w:tcPr>
                <w:p>
                  <w:pPr>
                    <w:jc w:val="center"/>
                    <w:rPr>
                      <w:rFonts w:hint="default" w:ascii="Times New Roman" w:hAnsi="Times New Roman" w:eastAsia="宋体" w:cs="Times New Roman"/>
                      <w:b/>
                      <w:bCs/>
                      <w:color w:val="auto"/>
                      <w:szCs w:val="21"/>
                      <w:lang w:bidi="ar-SA"/>
                    </w:rPr>
                  </w:pPr>
                  <w:r>
                    <w:rPr>
                      <w:rFonts w:hint="default" w:ascii="Times New Roman" w:hAnsi="Times New Roman" w:eastAsia="宋体" w:cs="Times New Roman"/>
                      <w:b/>
                      <w:bCs/>
                      <w:color w:val="auto"/>
                      <w:szCs w:val="21"/>
                      <w:lang w:bidi="ar-SA"/>
                    </w:rPr>
                    <w:t>年评价指标</w:t>
                  </w:r>
                </w:p>
              </w:tc>
              <w:tc>
                <w:tcPr>
                  <w:tcW w:w="1189" w:type="dxa"/>
                  <w:tcBorders>
                    <w:bottom w:val="single" w:color="auto" w:sz="12" w:space="0"/>
                  </w:tcBorders>
                  <w:noWrap w:val="0"/>
                  <w:vAlign w:val="center"/>
                </w:tcPr>
                <w:p>
                  <w:pPr>
                    <w:jc w:val="center"/>
                    <w:rPr>
                      <w:rFonts w:hint="default" w:ascii="Times New Roman" w:hAnsi="Times New Roman" w:eastAsia="宋体" w:cs="Times New Roman"/>
                      <w:b/>
                      <w:bCs/>
                      <w:color w:val="auto"/>
                      <w:szCs w:val="21"/>
                      <w:lang w:bidi="ar-SA"/>
                    </w:rPr>
                  </w:pPr>
                  <w:r>
                    <w:rPr>
                      <w:rFonts w:hint="default" w:ascii="Times New Roman" w:hAnsi="Times New Roman" w:eastAsia="宋体" w:cs="Times New Roman"/>
                      <w:b/>
                      <w:bCs/>
                      <w:color w:val="auto"/>
                      <w:szCs w:val="21"/>
                      <w:lang w:bidi="ar-SA"/>
                    </w:rPr>
                    <w:t>评价标准（</w:t>
                  </w:r>
                  <w:r>
                    <w:rPr>
                      <w:rFonts w:hint="eastAsia" w:cs="Times New Roman"/>
                      <w:b/>
                      <w:bCs/>
                      <w:color w:val="auto"/>
                      <w:szCs w:val="21"/>
                      <w:lang w:val="en-US" w:eastAsia="zh-CN" w:bidi="ar-SA"/>
                    </w:rPr>
                    <w:t>m</w:t>
                  </w:r>
                  <w:r>
                    <w:rPr>
                      <w:rFonts w:hint="default" w:ascii="Times New Roman" w:hAnsi="Times New Roman" w:eastAsia="宋体" w:cs="Times New Roman"/>
                      <w:b/>
                      <w:bCs/>
                      <w:color w:val="auto"/>
                      <w:szCs w:val="21"/>
                      <w:lang w:bidi="ar-SA"/>
                    </w:rPr>
                    <w:t>g/</w:t>
                  </w:r>
                  <w:r>
                    <w:rPr>
                      <w:rFonts w:hint="default" w:ascii="Times New Roman" w:hAnsi="Times New Roman" w:eastAsia="宋体" w:cs="Times New Roman"/>
                      <w:b/>
                      <w:bCs/>
                      <w:color w:val="auto"/>
                      <w:szCs w:val="21"/>
                      <w:highlight w:val="none"/>
                      <w:lang w:bidi="ar-SA"/>
                    </w:rPr>
                    <w:t>m</w:t>
                  </w:r>
                  <w:r>
                    <w:rPr>
                      <w:rFonts w:hint="default" w:ascii="Times New Roman" w:hAnsi="Times New Roman" w:eastAsia="宋体" w:cs="Times New Roman"/>
                      <w:b/>
                      <w:bCs/>
                      <w:color w:val="auto"/>
                      <w:szCs w:val="21"/>
                      <w:highlight w:val="none"/>
                      <w:vertAlign w:val="superscript"/>
                      <w:lang w:bidi="ar-SA"/>
                    </w:rPr>
                    <w:t>3</w:t>
                  </w:r>
                  <w:r>
                    <w:rPr>
                      <w:rFonts w:hint="default" w:ascii="Times New Roman" w:hAnsi="Times New Roman" w:eastAsia="宋体" w:cs="Times New Roman"/>
                      <w:b/>
                      <w:bCs/>
                      <w:color w:val="auto"/>
                      <w:szCs w:val="21"/>
                      <w:lang w:bidi="ar-SA"/>
                    </w:rPr>
                    <w:t>）</w:t>
                  </w:r>
                </w:p>
              </w:tc>
              <w:tc>
                <w:tcPr>
                  <w:tcW w:w="1315" w:type="dxa"/>
                  <w:tcBorders>
                    <w:bottom w:val="single" w:color="auto" w:sz="12" w:space="0"/>
                  </w:tcBorders>
                  <w:noWrap w:val="0"/>
                  <w:vAlign w:val="center"/>
                </w:tcPr>
                <w:p>
                  <w:pPr>
                    <w:jc w:val="center"/>
                    <w:rPr>
                      <w:rFonts w:hint="default" w:ascii="Times New Roman" w:hAnsi="Times New Roman" w:eastAsia="宋体" w:cs="Times New Roman"/>
                      <w:b/>
                      <w:bCs/>
                      <w:color w:val="auto"/>
                      <w:szCs w:val="21"/>
                      <w:lang w:bidi="ar-SA"/>
                    </w:rPr>
                  </w:pPr>
                  <w:r>
                    <w:rPr>
                      <w:rFonts w:hint="default" w:ascii="Times New Roman" w:hAnsi="Times New Roman" w:eastAsia="宋体" w:cs="Times New Roman"/>
                      <w:b/>
                      <w:bCs/>
                      <w:color w:val="auto"/>
                      <w:szCs w:val="21"/>
                      <w:lang w:bidi="ar-SA"/>
                    </w:rPr>
                    <w:t>现状浓度（</w:t>
                  </w:r>
                  <w:r>
                    <w:rPr>
                      <w:rFonts w:hint="eastAsia" w:cs="Times New Roman"/>
                      <w:b/>
                      <w:bCs/>
                      <w:color w:val="auto"/>
                      <w:szCs w:val="21"/>
                      <w:lang w:val="en-US" w:eastAsia="zh-CN" w:bidi="ar-SA"/>
                    </w:rPr>
                    <w:t>m</w:t>
                  </w:r>
                  <w:r>
                    <w:rPr>
                      <w:rFonts w:hint="default" w:ascii="Times New Roman" w:hAnsi="Times New Roman" w:eastAsia="宋体" w:cs="Times New Roman"/>
                      <w:b/>
                      <w:bCs/>
                      <w:color w:val="auto"/>
                      <w:szCs w:val="21"/>
                      <w:lang w:bidi="ar-SA"/>
                    </w:rPr>
                    <w:t>g/</w:t>
                  </w:r>
                  <w:r>
                    <w:rPr>
                      <w:rFonts w:hint="default" w:ascii="Times New Roman" w:hAnsi="Times New Roman" w:eastAsia="宋体" w:cs="Times New Roman"/>
                      <w:b/>
                      <w:bCs/>
                      <w:color w:val="auto"/>
                      <w:szCs w:val="21"/>
                      <w:highlight w:val="none"/>
                      <w:lang w:bidi="ar-SA"/>
                    </w:rPr>
                    <w:t>m</w:t>
                  </w:r>
                  <w:r>
                    <w:rPr>
                      <w:rFonts w:hint="default" w:ascii="Times New Roman" w:hAnsi="Times New Roman" w:eastAsia="宋体" w:cs="Times New Roman"/>
                      <w:b/>
                      <w:bCs/>
                      <w:color w:val="auto"/>
                      <w:szCs w:val="21"/>
                      <w:highlight w:val="none"/>
                      <w:vertAlign w:val="superscript"/>
                      <w:lang w:bidi="ar-SA"/>
                    </w:rPr>
                    <w:t>3</w:t>
                  </w:r>
                  <w:r>
                    <w:rPr>
                      <w:rFonts w:hint="default" w:ascii="Times New Roman" w:hAnsi="Times New Roman" w:eastAsia="宋体" w:cs="Times New Roman"/>
                      <w:b/>
                      <w:bCs/>
                      <w:color w:val="auto"/>
                      <w:szCs w:val="21"/>
                      <w:lang w:bidi="ar-SA"/>
                    </w:rPr>
                    <w:t>）</w:t>
                  </w:r>
                </w:p>
              </w:tc>
              <w:tc>
                <w:tcPr>
                  <w:tcW w:w="1189" w:type="dxa"/>
                  <w:tcBorders>
                    <w:bottom w:val="single" w:color="auto" w:sz="12" w:space="0"/>
                  </w:tcBorders>
                  <w:noWrap w:val="0"/>
                  <w:vAlign w:val="center"/>
                </w:tcPr>
                <w:p>
                  <w:pPr>
                    <w:jc w:val="center"/>
                    <w:rPr>
                      <w:rFonts w:hint="default" w:ascii="Times New Roman" w:hAnsi="Times New Roman" w:eastAsia="宋体" w:cs="Times New Roman"/>
                      <w:b/>
                      <w:bCs/>
                      <w:color w:val="auto"/>
                      <w:szCs w:val="21"/>
                      <w:lang w:bidi="ar-SA"/>
                    </w:rPr>
                  </w:pPr>
                  <w:r>
                    <w:rPr>
                      <w:rFonts w:hint="default" w:ascii="Times New Roman" w:hAnsi="Times New Roman" w:eastAsia="宋体" w:cs="Times New Roman"/>
                      <w:b/>
                      <w:bCs/>
                      <w:color w:val="auto"/>
                      <w:szCs w:val="21"/>
                      <w:lang w:bidi="ar-SA"/>
                    </w:rPr>
                    <w:t>占标率%</w:t>
                  </w:r>
                </w:p>
              </w:tc>
              <w:tc>
                <w:tcPr>
                  <w:tcW w:w="1065" w:type="dxa"/>
                  <w:tcBorders>
                    <w:bottom w:val="single" w:color="auto" w:sz="12" w:space="0"/>
                  </w:tcBorders>
                  <w:noWrap w:val="0"/>
                  <w:vAlign w:val="center"/>
                </w:tcPr>
                <w:p>
                  <w:pPr>
                    <w:jc w:val="center"/>
                    <w:rPr>
                      <w:rFonts w:hint="default" w:ascii="Times New Roman" w:hAnsi="Times New Roman" w:eastAsia="宋体" w:cs="Times New Roman"/>
                      <w:b/>
                      <w:bCs/>
                      <w:color w:val="auto"/>
                      <w:szCs w:val="21"/>
                      <w:lang w:bidi="ar-SA"/>
                    </w:rPr>
                  </w:pPr>
                  <w:r>
                    <w:rPr>
                      <w:rFonts w:hint="default" w:ascii="Times New Roman" w:hAnsi="Times New Roman" w:eastAsia="宋体" w:cs="Times New Roman"/>
                      <w:b/>
                      <w:bCs/>
                      <w:color w:val="auto"/>
                      <w:szCs w:val="21"/>
                      <w:lang w:bidi="ar-SA"/>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dxa"/>
                  <w:tcBorders>
                    <w:top w:val="single" w:color="auto" w:sz="12" w:space="0"/>
                  </w:tcBorders>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PM</w:t>
                  </w:r>
                  <w:r>
                    <w:rPr>
                      <w:rFonts w:hint="default" w:ascii="Times New Roman" w:hAnsi="Times New Roman" w:eastAsia="宋体" w:cs="Times New Roman"/>
                      <w:color w:val="auto"/>
                      <w:szCs w:val="21"/>
                      <w:vertAlign w:val="subscript"/>
                      <w:lang w:bidi="ar-SA"/>
                    </w:rPr>
                    <w:t>10</w:t>
                  </w:r>
                </w:p>
              </w:tc>
              <w:tc>
                <w:tcPr>
                  <w:tcW w:w="2627" w:type="dxa"/>
                  <w:tcBorders>
                    <w:top w:val="single" w:color="auto" w:sz="12" w:space="0"/>
                  </w:tcBorders>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年平均</w:t>
                  </w:r>
                </w:p>
              </w:tc>
              <w:tc>
                <w:tcPr>
                  <w:tcW w:w="1189" w:type="dxa"/>
                  <w:tcBorders>
                    <w:top w:val="single" w:color="auto" w:sz="12" w:space="0"/>
                  </w:tcBorders>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0.07</w:t>
                  </w:r>
                </w:p>
              </w:tc>
              <w:tc>
                <w:tcPr>
                  <w:tcW w:w="1315" w:type="dxa"/>
                  <w:tcBorders>
                    <w:top w:val="single" w:color="auto" w:sz="12" w:space="0"/>
                  </w:tcBorders>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0.058</w:t>
                  </w:r>
                </w:p>
              </w:tc>
              <w:tc>
                <w:tcPr>
                  <w:tcW w:w="1189" w:type="dxa"/>
                  <w:tcBorders>
                    <w:top w:val="single" w:color="auto" w:sz="12" w:space="0"/>
                  </w:tcBorders>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82.86</w:t>
                  </w:r>
                </w:p>
              </w:tc>
              <w:tc>
                <w:tcPr>
                  <w:tcW w:w="1065" w:type="dxa"/>
                  <w:tcBorders>
                    <w:top w:val="single" w:color="auto" w:sz="12" w:space="0"/>
                  </w:tcBorders>
                  <w:noWrap w:val="0"/>
                  <w:vAlign w:val="center"/>
                </w:tcPr>
                <w:p>
                  <w:pPr>
                    <w:jc w:val="center"/>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PM</w:t>
                  </w:r>
                  <w:r>
                    <w:rPr>
                      <w:rFonts w:hint="default" w:ascii="Times New Roman" w:hAnsi="Times New Roman" w:eastAsia="宋体" w:cs="Times New Roman"/>
                      <w:color w:val="auto"/>
                      <w:szCs w:val="21"/>
                      <w:vertAlign w:val="subscript"/>
                      <w:lang w:bidi="ar-SA"/>
                    </w:rPr>
                    <w:t>2.5</w:t>
                  </w:r>
                </w:p>
              </w:tc>
              <w:tc>
                <w:tcPr>
                  <w:tcW w:w="2627"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年平均</w:t>
                  </w:r>
                </w:p>
              </w:tc>
              <w:tc>
                <w:tcPr>
                  <w:tcW w:w="1189"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0.035</w:t>
                  </w:r>
                </w:p>
              </w:tc>
              <w:tc>
                <w:tcPr>
                  <w:tcW w:w="1315" w:type="dxa"/>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0.032</w:t>
                  </w:r>
                </w:p>
              </w:tc>
              <w:tc>
                <w:tcPr>
                  <w:tcW w:w="1189" w:type="dxa"/>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91.43</w:t>
                  </w:r>
                </w:p>
              </w:tc>
              <w:tc>
                <w:tcPr>
                  <w:tcW w:w="1065" w:type="dxa"/>
                  <w:noWrap w:val="0"/>
                  <w:vAlign w:val="center"/>
                </w:tcPr>
                <w:p>
                  <w:pPr>
                    <w:jc w:val="center"/>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SO</w:t>
                  </w:r>
                  <w:r>
                    <w:rPr>
                      <w:rFonts w:hint="default" w:ascii="Times New Roman" w:hAnsi="Times New Roman" w:eastAsia="宋体" w:cs="Times New Roman"/>
                      <w:color w:val="auto"/>
                      <w:szCs w:val="21"/>
                      <w:vertAlign w:val="subscript"/>
                      <w:lang w:bidi="ar-SA"/>
                    </w:rPr>
                    <w:t>2</w:t>
                  </w:r>
                </w:p>
              </w:tc>
              <w:tc>
                <w:tcPr>
                  <w:tcW w:w="2627"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年平均</w:t>
                  </w:r>
                </w:p>
              </w:tc>
              <w:tc>
                <w:tcPr>
                  <w:tcW w:w="1189"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0.06</w:t>
                  </w:r>
                </w:p>
              </w:tc>
              <w:tc>
                <w:tcPr>
                  <w:tcW w:w="1315" w:type="dxa"/>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0.012</w:t>
                  </w:r>
                </w:p>
              </w:tc>
              <w:tc>
                <w:tcPr>
                  <w:tcW w:w="1189" w:type="dxa"/>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20</w:t>
                  </w:r>
                </w:p>
              </w:tc>
              <w:tc>
                <w:tcPr>
                  <w:tcW w:w="1065" w:type="dxa"/>
                  <w:noWrap w:val="0"/>
                  <w:vAlign w:val="center"/>
                </w:tcPr>
                <w:p>
                  <w:pPr>
                    <w:jc w:val="center"/>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NO</w:t>
                  </w:r>
                  <w:r>
                    <w:rPr>
                      <w:rFonts w:hint="default" w:ascii="Times New Roman" w:hAnsi="Times New Roman" w:eastAsia="宋体" w:cs="Times New Roman"/>
                      <w:color w:val="auto"/>
                      <w:szCs w:val="21"/>
                      <w:vertAlign w:val="subscript"/>
                      <w:lang w:bidi="ar-SA"/>
                    </w:rPr>
                    <w:t>2</w:t>
                  </w:r>
                </w:p>
              </w:tc>
              <w:tc>
                <w:tcPr>
                  <w:tcW w:w="2627"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年平均</w:t>
                  </w:r>
                </w:p>
              </w:tc>
              <w:tc>
                <w:tcPr>
                  <w:tcW w:w="1189"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0.04</w:t>
                  </w:r>
                </w:p>
              </w:tc>
              <w:tc>
                <w:tcPr>
                  <w:tcW w:w="1315" w:type="dxa"/>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0.010</w:t>
                  </w:r>
                </w:p>
              </w:tc>
              <w:tc>
                <w:tcPr>
                  <w:tcW w:w="1189" w:type="dxa"/>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25</w:t>
                  </w:r>
                </w:p>
              </w:tc>
              <w:tc>
                <w:tcPr>
                  <w:tcW w:w="1065" w:type="dxa"/>
                  <w:noWrap w:val="0"/>
                  <w:vAlign w:val="center"/>
                </w:tcPr>
                <w:p>
                  <w:pPr>
                    <w:jc w:val="center"/>
                    <w:rPr>
                      <w:rFonts w:hint="eastAsia"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CO</w:t>
                  </w:r>
                </w:p>
              </w:tc>
              <w:tc>
                <w:tcPr>
                  <w:tcW w:w="2627"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24小时平均第95百分位数</w:t>
                  </w:r>
                </w:p>
              </w:tc>
              <w:tc>
                <w:tcPr>
                  <w:tcW w:w="1189"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4</w:t>
                  </w:r>
                </w:p>
              </w:tc>
              <w:tc>
                <w:tcPr>
                  <w:tcW w:w="1315" w:type="dxa"/>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2.2</w:t>
                  </w:r>
                </w:p>
              </w:tc>
              <w:tc>
                <w:tcPr>
                  <w:tcW w:w="1189" w:type="dxa"/>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55</w:t>
                  </w:r>
                </w:p>
              </w:tc>
              <w:tc>
                <w:tcPr>
                  <w:tcW w:w="1065" w:type="dxa"/>
                  <w:noWrap w:val="0"/>
                  <w:vAlign w:val="center"/>
                </w:tcPr>
                <w:p>
                  <w:pPr>
                    <w:jc w:val="center"/>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O</w:t>
                  </w:r>
                  <w:r>
                    <w:rPr>
                      <w:rFonts w:hint="default" w:ascii="Times New Roman" w:hAnsi="Times New Roman" w:eastAsia="宋体" w:cs="Times New Roman"/>
                      <w:color w:val="auto"/>
                      <w:szCs w:val="21"/>
                      <w:vertAlign w:val="subscript"/>
                      <w:lang w:bidi="ar-SA"/>
                    </w:rPr>
                    <w:t>3</w:t>
                  </w:r>
                </w:p>
              </w:tc>
              <w:tc>
                <w:tcPr>
                  <w:tcW w:w="2627" w:type="dxa"/>
                  <w:noWrap w:val="0"/>
                  <w:vAlign w:val="center"/>
                </w:tcPr>
                <w:p>
                  <w:pPr>
                    <w:jc w:val="center"/>
                    <w:rPr>
                      <w:rFonts w:hint="default" w:ascii="Times New Roman" w:hAnsi="Times New Roman" w:eastAsia="宋体" w:cs="Times New Roman"/>
                      <w:color w:val="auto"/>
                      <w:szCs w:val="21"/>
                      <w:lang w:bidi="ar-SA"/>
                    </w:rPr>
                  </w:pPr>
                  <w:r>
                    <w:rPr>
                      <w:rFonts w:hint="default" w:ascii="Times New Roman" w:hAnsi="Times New Roman" w:eastAsia="宋体" w:cs="Times New Roman"/>
                      <w:color w:val="auto"/>
                      <w:szCs w:val="21"/>
                      <w:lang w:bidi="ar-SA"/>
                    </w:rPr>
                    <w:t>8小时平均第90百分位数</w:t>
                  </w:r>
                </w:p>
              </w:tc>
              <w:tc>
                <w:tcPr>
                  <w:tcW w:w="1189" w:type="dxa"/>
                  <w:noWrap w:val="0"/>
                  <w:vAlign w:val="center"/>
                </w:tcPr>
                <w:p>
                  <w:pPr>
                    <w:jc w:val="center"/>
                    <w:rPr>
                      <w:rFonts w:hint="default" w:ascii="Times New Roman" w:hAnsi="Times New Roman" w:eastAsia="宋体" w:cs="Times New Roman"/>
                      <w:color w:val="auto"/>
                      <w:szCs w:val="21"/>
                      <w:lang w:val="en-US" w:eastAsia="zh-CN" w:bidi="ar-SA"/>
                    </w:rPr>
                  </w:pPr>
                  <w:r>
                    <w:rPr>
                      <w:rFonts w:hint="eastAsia" w:cs="Times New Roman"/>
                      <w:color w:val="auto"/>
                      <w:szCs w:val="21"/>
                      <w:lang w:val="en-US" w:eastAsia="zh-CN" w:bidi="ar-SA"/>
                    </w:rPr>
                    <w:t>0.160</w:t>
                  </w:r>
                </w:p>
              </w:tc>
              <w:tc>
                <w:tcPr>
                  <w:tcW w:w="1315" w:type="dxa"/>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0.127</w:t>
                  </w:r>
                </w:p>
              </w:tc>
              <w:tc>
                <w:tcPr>
                  <w:tcW w:w="1189" w:type="dxa"/>
                  <w:noWrap w:val="0"/>
                  <w:vAlign w:val="center"/>
                </w:tcPr>
                <w:p>
                  <w:pPr>
                    <w:jc w:val="center"/>
                    <w:rPr>
                      <w:rFonts w:hint="default"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79.38</w:t>
                  </w:r>
                </w:p>
              </w:tc>
              <w:tc>
                <w:tcPr>
                  <w:tcW w:w="1065" w:type="dxa"/>
                  <w:noWrap w:val="0"/>
                  <w:vAlign w:val="center"/>
                </w:tcPr>
                <w:p>
                  <w:pPr>
                    <w:jc w:val="center"/>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szCs w:val="21"/>
                      <w:lang w:val="en-US" w:eastAsia="zh-CN" w:bidi="ar-SA"/>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由上表可知，由上表可知，SO</w:t>
            </w:r>
            <w:r>
              <w:rPr>
                <w:rFonts w:hint="default" w:ascii="Times New Roman" w:hAnsi="Times New Roman" w:eastAsia="宋体" w:cs="Times New Roman"/>
                <w:color w:val="auto"/>
                <w:sz w:val="24"/>
                <w:szCs w:val="24"/>
                <w:vertAlign w:val="subscript"/>
                <w:lang w:bidi="ar-SA"/>
              </w:rPr>
              <w:t>2</w:t>
            </w:r>
            <w:r>
              <w:rPr>
                <w:rFonts w:hint="default" w:ascii="Times New Roman" w:hAnsi="Times New Roman" w:eastAsia="宋体" w:cs="Times New Roman"/>
                <w:color w:val="auto"/>
                <w:sz w:val="24"/>
                <w:szCs w:val="24"/>
                <w:lang w:bidi="ar-SA"/>
              </w:rPr>
              <w:t>、NO</w:t>
            </w:r>
            <w:r>
              <w:rPr>
                <w:rFonts w:hint="default" w:ascii="Times New Roman" w:hAnsi="Times New Roman" w:eastAsia="宋体" w:cs="Times New Roman"/>
                <w:color w:val="auto"/>
                <w:sz w:val="24"/>
                <w:szCs w:val="24"/>
                <w:vertAlign w:val="subscript"/>
                <w:lang w:bidi="ar-SA"/>
              </w:rPr>
              <w:t>2</w:t>
            </w:r>
            <w:r>
              <w:rPr>
                <w:rFonts w:hint="default" w:ascii="Times New Roman" w:hAnsi="Times New Roman" w:eastAsia="宋体" w:cs="Times New Roman"/>
                <w:color w:val="auto"/>
                <w:sz w:val="24"/>
                <w:szCs w:val="24"/>
                <w:lang w:bidi="ar-SA"/>
              </w:rPr>
              <w:t>、PM</w:t>
            </w:r>
            <w:r>
              <w:rPr>
                <w:rFonts w:hint="default" w:ascii="Times New Roman" w:hAnsi="Times New Roman" w:eastAsia="宋体" w:cs="Times New Roman"/>
                <w:color w:val="auto"/>
                <w:sz w:val="24"/>
                <w:szCs w:val="24"/>
                <w:vertAlign w:val="subscript"/>
                <w:lang w:bidi="ar-SA"/>
              </w:rPr>
              <w:t>2.5</w:t>
            </w:r>
            <w:r>
              <w:rPr>
                <w:rFonts w:hint="default" w:ascii="Times New Roman" w:hAnsi="Times New Roman" w:eastAsia="宋体" w:cs="Times New Roman"/>
                <w:color w:val="auto"/>
                <w:sz w:val="24"/>
                <w:szCs w:val="24"/>
                <w:lang w:bidi="ar-SA"/>
              </w:rPr>
              <w:t>、PM</w:t>
            </w:r>
            <w:r>
              <w:rPr>
                <w:rFonts w:hint="default" w:ascii="Times New Roman" w:hAnsi="Times New Roman" w:eastAsia="宋体" w:cs="Times New Roman"/>
                <w:color w:val="auto"/>
                <w:sz w:val="24"/>
                <w:szCs w:val="24"/>
                <w:vertAlign w:val="subscript"/>
                <w:lang w:bidi="ar-SA"/>
              </w:rPr>
              <w:t>10</w:t>
            </w:r>
            <w:r>
              <w:rPr>
                <w:rFonts w:hint="default" w:ascii="Times New Roman" w:hAnsi="Times New Roman" w:eastAsia="宋体" w:cs="Times New Roman"/>
                <w:color w:val="auto"/>
                <w:sz w:val="24"/>
                <w:szCs w:val="24"/>
                <w:lang w:bidi="ar-SA"/>
              </w:rPr>
              <w:t>年平均，CO的95百分位24小时平均、O</w:t>
            </w:r>
            <w:r>
              <w:rPr>
                <w:rFonts w:hint="default" w:ascii="Times New Roman" w:hAnsi="Times New Roman" w:eastAsia="宋体" w:cs="Times New Roman"/>
                <w:color w:val="auto"/>
                <w:sz w:val="24"/>
                <w:szCs w:val="24"/>
                <w:vertAlign w:val="subscript"/>
                <w:lang w:bidi="ar-SA"/>
              </w:rPr>
              <w:t>3</w:t>
            </w:r>
            <w:r>
              <w:rPr>
                <w:rFonts w:hint="default" w:ascii="Times New Roman" w:hAnsi="Times New Roman" w:eastAsia="宋体" w:cs="Times New Roman"/>
                <w:color w:val="auto"/>
                <w:sz w:val="24"/>
                <w:szCs w:val="24"/>
                <w:lang w:bidi="ar-SA"/>
              </w:rPr>
              <w:t>的90百分位8小时平均浓度值均满足《环境空气质量标准》（GB3095-2012）</w:t>
            </w:r>
            <w:r>
              <w:rPr>
                <w:rFonts w:hint="eastAsia" w:ascii="Times New Roman" w:hAnsi="Times New Roman" w:eastAsia="宋体" w:cs="Times New Roman"/>
                <w:color w:val="auto"/>
                <w:sz w:val="24"/>
                <w:highlight w:val="none"/>
                <w:lang w:eastAsia="zh-CN"/>
              </w:rPr>
              <w:t>及</w:t>
            </w:r>
            <w:r>
              <w:rPr>
                <w:rFonts w:hint="eastAsia" w:ascii="Times New Roman" w:hAnsi="Times New Roman" w:eastAsia="宋体" w:cs="Times New Roman"/>
                <w:color w:val="auto"/>
                <w:sz w:val="24"/>
                <w:highlight w:val="none"/>
                <w:lang w:val="en-US" w:eastAsia="zh-CN"/>
              </w:rPr>
              <w:t>2018年修改单</w:t>
            </w:r>
            <w:r>
              <w:rPr>
                <w:rFonts w:hint="eastAsia" w:ascii="Times New Roman" w:hAnsi="Times New Roman" w:eastAsia="宋体" w:cs="Times New Roman"/>
                <w:color w:val="auto"/>
                <w:sz w:val="24"/>
                <w:highlight w:val="none"/>
              </w:rPr>
              <w:t>中</w:t>
            </w:r>
            <w:r>
              <w:rPr>
                <w:rFonts w:hint="default" w:ascii="Times New Roman" w:hAnsi="Times New Roman" w:eastAsia="宋体" w:cs="Times New Roman"/>
                <w:color w:val="auto"/>
                <w:sz w:val="24"/>
                <w:szCs w:val="24"/>
                <w:lang w:bidi="ar-SA"/>
              </w:rPr>
              <w:t>二级标准，项目区域环境空气质量较好。</w:t>
            </w:r>
          </w:p>
          <w:p>
            <w:pPr>
              <w:pStyle w:val="26"/>
              <w:adjustRightInd w:val="0"/>
              <w:snapToGrid w:val="0"/>
              <w:spacing w:line="360" w:lineRule="auto"/>
              <w:ind w:firstLine="0" w:firstLineChars="0"/>
              <w:rPr>
                <w:rStyle w:val="34"/>
                <w:rFonts w:hint="default" w:ascii="Times New Roman" w:hAnsi="Times New Roman" w:eastAsia="宋体" w:cs="Times New Roman"/>
                <w:color w:val="auto"/>
                <w:sz w:val="24"/>
                <w:szCs w:val="24"/>
                <w:lang w:val="en-US" w:eastAsia="zh-CN" w:bidi="ar-SA"/>
              </w:rPr>
            </w:pPr>
            <w:r>
              <w:rPr>
                <w:rStyle w:val="34"/>
                <w:rFonts w:hint="default" w:ascii="Times New Roman" w:hAnsi="Times New Roman" w:eastAsia="宋体" w:cs="Times New Roman"/>
                <w:color w:val="auto"/>
                <w:sz w:val="24"/>
                <w:szCs w:val="24"/>
                <w:lang w:val="en-US" w:eastAsia="zh-CN" w:bidi="ar-SA"/>
              </w:rPr>
              <w:t>1.2特征污染物监测结果及评价</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rPr>
              <w:t>本次评价针对本项目涉及的</w:t>
            </w:r>
            <w:r>
              <w:rPr>
                <w:rFonts w:hint="default" w:ascii="Times New Roman" w:hAnsi="Times New Roman" w:eastAsia="宋体" w:cs="Times New Roman"/>
                <w:color w:val="auto"/>
                <w:sz w:val="24"/>
                <w:lang w:eastAsia="zh-CN" w:bidi="ar-SA"/>
              </w:rPr>
              <w:t>特征污染物</w:t>
            </w:r>
            <w:r>
              <w:rPr>
                <w:rFonts w:hint="eastAsia" w:ascii="Times New Roman" w:hAnsi="Times New Roman" w:eastAsia="宋体" w:cs="Times New Roman"/>
                <w:color w:val="auto"/>
                <w:sz w:val="24"/>
                <w:szCs w:val="24"/>
                <w:lang w:eastAsia="zh-CN" w:bidi="ar-SA"/>
              </w:rPr>
              <w:t>（TSP、非甲烷总烃、苯乙烯）进行了补充监测。</w:t>
            </w:r>
            <w:r>
              <w:rPr>
                <w:rFonts w:hint="default" w:ascii="Times New Roman" w:hAnsi="Times New Roman" w:eastAsia="宋体" w:cs="Times New Roman"/>
                <w:color w:val="auto"/>
                <w:sz w:val="24"/>
                <w:szCs w:val="24"/>
              </w:rPr>
              <w:t>本次评价委托</w:t>
            </w:r>
            <w:r>
              <w:rPr>
                <w:rFonts w:hint="eastAsia" w:ascii="Times New Roman" w:hAnsi="Times New Roman" w:eastAsia="宋体" w:cs="Times New Roman"/>
                <w:color w:val="auto"/>
                <w:sz w:val="24"/>
                <w:szCs w:val="24"/>
                <w:lang w:eastAsia="zh-CN"/>
              </w:rPr>
              <w:t>新疆国科检测有限公司</w:t>
            </w:r>
            <w:r>
              <w:rPr>
                <w:rFonts w:hint="default" w:ascii="Times New Roman" w:hAnsi="Times New Roman" w:eastAsia="宋体" w:cs="Times New Roman"/>
                <w:color w:val="auto"/>
                <w:sz w:val="24"/>
                <w:szCs w:val="24"/>
              </w:rPr>
              <w:t>进行采样分析，监测因子为</w:t>
            </w:r>
            <w:r>
              <w:rPr>
                <w:rFonts w:hint="eastAsia" w:ascii="Times New Roman" w:hAnsi="Times New Roman" w:eastAsia="宋体" w:cs="Times New Roman"/>
                <w:color w:val="auto"/>
                <w:sz w:val="24"/>
                <w:szCs w:val="24"/>
                <w:lang w:eastAsia="zh-CN" w:bidi="ar-SA"/>
              </w:rPr>
              <w:t>TSP、非甲烷总烃、苯乙烯</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bidi="ar-SA"/>
              </w:rPr>
              <w:t>监测点位布置图见附图3-1</w:t>
            </w:r>
            <w:r>
              <w:rPr>
                <w:rFonts w:hint="eastAsia" w:ascii="Times New Roman" w:hAnsi="Times New Roman" w:eastAsia="宋体" w:cs="Times New Roman"/>
                <w:color w:val="auto"/>
                <w:sz w:val="24"/>
                <w:szCs w:val="24"/>
                <w:lang w:bidi="ar-SA"/>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（1）监测项目：</w:t>
            </w:r>
            <w:r>
              <w:rPr>
                <w:rFonts w:hint="eastAsia" w:ascii="Times New Roman" w:hAnsi="Times New Roman" w:eastAsia="宋体" w:cs="Times New Roman"/>
                <w:color w:val="auto"/>
                <w:sz w:val="24"/>
                <w:szCs w:val="24"/>
                <w:lang w:eastAsia="zh-CN" w:bidi="ar-SA"/>
              </w:rPr>
              <w:t>TSP、非甲烷总烃、苯乙烯</w:t>
            </w:r>
            <w:r>
              <w:rPr>
                <w:rFonts w:hint="default" w:ascii="Times New Roman" w:hAnsi="Times New Roman" w:eastAsia="宋体" w:cs="Times New Roman"/>
                <w:color w:val="auto"/>
                <w:sz w:val="24"/>
                <w:szCs w:val="24"/>
              </w:rPr>
              <w:t>。</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）监测时间：监测时间为</w:t>
            </w:r>
            <w:r>
              <w:rPr>
                <w:rFonts w:hint="eastAsia" w:ascii="Times New Roman" w:hAnsi="Times New Roman" w:eastAsia="宋体" w:cs="Times New Roman"/>
                <w:color w:val="auto"/>
                <w:sz w:val="24"/>
                <w:szCs w:val="24"/>
                <w:lang w:val="en-US" w:eastAsia="zh-CN"/>
              </w:rPr>
              <w:t>2024</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rPr>
              <w:t>日-</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rPr>
              <w:t>日</w:t>
            </w:r>
            <w:r>
              <w:rPr>
                <w:rFonts w:hint="eastAsia" w:ascii="Times New Roman" w:hAnsi="Times New Roman" w:eastAsia="宋体" w:cs="Times New Roman"/>
                <w:color w:val="auto"/>
                <w:sz w:val="24"/>
                <w:szCs w:val="24"/>
                <w:lang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）监测分析方法：各监测因子采样方法和分析方法按《环境监测技术规范》（大气部分）执行。</w:t>
            </w:r>
          </w:p>
          <w:p>
            <w:pPr>
              <w:adjustRightInd w:val="0"/>
              <w:snapToGrid w:val="0"/>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）环境空气现状监测结果及分析结果见表</w:t>
            </w:r>
            <w:r>
              <w:rPr>
                <w:rFonts w:hint="eastAsia"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bidi w:val="0"/>
              <w:jc w:val="center"/>
              <w:outlineLvl w:val="9"/>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w:t>
            </w:r>
            <w:r>
              <w:rPr>
                <w:rFonts w:hint="eastAsia" w:ascii="Times New Roman" w:hAnsi="Times New Roman" w:eastAsia="宋体" w:cs="Times New Roman"/>
                <w:b/>
                <w:bCs/>
                <w:color w:val="auto"/>
                <w:lang w:val="en-US" w:eastAsia="zh-CN"/>
              </w:rPr>
              <w:t>3-2</w:t>
            </w:r>
            <w:r>
              <w:rPr>
                <w:rFonts w:hint="default" w:ascii="Times New Roman" w:hAnsi="Times New Roman" w:eastAsia="宋体" w:cs="Times New Roman"/>
                <w:b/>
                <w:bCs/>
                <w:color w:val="auto"/>
                <w:lang w:val="en-US" w:eastAsia="zh-CN"/>
              </w:rPr>
              <w:t xml:space="preserve">  环境空气现状监测结果  单位：mg/</w:t>
            </w:r>
            <w:r>
              <w:rPr>
                <w:rFonts w:hint="default" w:ascii="Times New Roman" w:hAnsi="Times New Roman" w:eastAsia="宋体" w:cs="Times New Roman"/>
                <w:b/>
                <w:bCs/>
                <w:color w:val="auto"/>
                <w:highlight w:val="none"/>
                <w:lang w:val="en-US" w:eastAsia="zh-CN"/>
              </w:rPr>
              <w:t>m</w:t>
            </w:r>
            <w:r>
              <w:rPr>
                <w:rFonts w:hint="default" w:ascii="Times New Roman" w:hAnsi="Times New Roman" w:eastAsia="宋体" w:cs="Times New Roman"/>
                <w:b/>
                <w:bCs/>
                <w:color w:val="auto"/>
                <w:highlight w:val="none"/>
                <w:vertAlign w:val="superscript"/>
                <w:lang w:val="en-US" w:eastAsia="zh-CN"/>
              </w:rPr>
              <w:t>3</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694"/>
              <w:gridCol w:w="1423"/>
              <w:gridCol w:w="1430"/>
              <w:gridCol w:w="1428"/>
              <w:gridCol w:w="14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tcBorders>
                    <w:bottom w:val="single" w:color="auto" w:sz="12" w:space="0"/>
                    <w:right w:val="single" w:color="auto" w:sz="4" w:space="0"/>
                  </w:tcBorders>
                  <w:noWrap w:val="0"/>
                  <w:vAlign w:val="center"/>
                </w:tcPr>
                <w:p>
                  <w:pPr>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点位</w:t>
                  </w:r>
                </w:p>
              </w:tc>
              <w:tc>
                <w:tcPr>
                  <w:tcW w:w="1712" w:type="dxa"/>
                  <w:tcBorders>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日期</w:t>
                  </w:r>
                </w:p>
              </w:tc>
              <w:tc>
                <w:tcPr>
                  <w:tcW w:w="1437" w:type="dxa"/>
                  <w:tcBorders>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采样频次</w:t>
                  </w:r>
                </w:p>
              </w:tc>
              <w:tc>
                <w:tcPr>
                  <w:tcW w:w="1437" w:type="dxa"/>
                  <w:tcBorders>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苯乙烯</w:t>
                  </w:r>
                </w:p>
              </w:tc>
              <w:tc>
                <w:tcPr>
                  <w:tcW w:w="1440" w:type="dxa"/>
                  <w:tcBorders>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非甲烷总烃</w:t>
                  </w:r>
                </w:p>
              </w:tc>
              <w:tc>
                <w:tcPr>
                  <w:tcW w:w="1440" w:type="dxa"/>
                  <w:tcBorders>
                    <w:left w:val="single" w:color="auto" w:sz="4" w:space="0"/>
                    <w:bottom w:val="single" w:color="auto" w:sz="12" w:space="0"/>
                  </w:tcBorders>
                  <w:noWrap w:val="0"/>
                  <w:vAlign w:val="center"/>
                </w:tcPr>
                <w:p>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TSP（日均值）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restart"/>
                  <w:tcBorders>
                    <w:top w:val="single" w:color="auto" w:sz="12"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项目区下风向</w:t>
                  </w:r>
                  <w:r>
                    <w:rPr>
                      <w:rFonts w:hint="default" w:ascii="Times New Roman" w:hAnsi="Times New Roman" w:eastAsia="宋体" w:cs="Times New Roman"/>
                      <w:color w:val="auto"/>
                      <w:lang w:val="en-US" w:eastAsia="zh-CN"/>
                    </w:rPr>
                    <w:t>1#</w:t>
                  </w:r>
                </w:p>
              </w:tc>
              <w:tc>
                <w:tcPr>
                  <w:tcW w:w="1712" w:type="dxa"/>
                  <w:vMerge w:val="restart"/>
                  <w:tcBorders>
                    <w:top w:val="single" w:color="auto" w:sz="12"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6月</w:t>
                  </w:r>
                  <w:r>
                    <w:rPr>
                      <w:rFonts w:hint="eastAsia" w:cs="Times New Roman"/>
                      <w:color w:val="auto"/>
                      <w:lang w:val="en-US" w:eastAsia="zh-CN"/>
                    </w:rPr>
                    <w:t>13</w:t>
                  </w:r>
                  <w:r>
                    <w:rPr>
                      <w:rFonts w:hint="default" w:ascii="Times New Roman" w:hAnsi="Times New Roman" w:eastAsia="宋体" w:cs="Times New Roman"/>
                      <w:color w:val="auto"/>
                      <w:lang w:val="en-US" w:eastAsia="zh-CN"/>
                    </w:rPr>
                    <w:t>日</w:t>
                  </w:r>
                </w:p>
              </w:tc>
              <w:tc>
                <w:tcPr>
                  <w:tcW w:w="1437" w:type="dxa"/>
                  <w:tcBorders>
                    <w:top w:val="single" w:color="auto" w:sz="12"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第一次</w:t>
                  </w:r>
                </w:p>
              </w:tc>
              <w:tc>
                <w:tcPr>
                  <w:tcW w:w="1437" w:type="dxa"/>
                  <w:tcBorders>
                    <w:top w:val="single" w:color="auto" w:sz="12"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top w:val="single" w:color="auto" w:sz="12"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0.60</w:t>
                  </w:r>
                </w:p>
              </w:tc>
              <w:tc>
                <w:tcPr>
                  <w:tcW w:w="1440" w:type="dxa"/>
                  <w:vMerge w:val="restart"/>
                  <w:tcBorders>
                    <w:top w:val="single" w:color="auto" w:sz="12" w:space="0"/>
                    <w:lef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continue"/>
                  <w:tcBorders>
                    <w:right w:val="single" w:color="auto" w:sz="4" w:space="0"/>
                  </w:tcBorders>
                  <w:noWrap w:val="0"/>
                  <w:vAlign w:val="center"/>
                </w:tcPr>
                <w:p>
                  <w:pPr>
                    <w:jc w:val="center"/>
                    <w:rPr>
                      <w:rFonts w:hint="default" w:ascii="Times New Roman" w:hAnsi="Times New Roman" w:eastAsia="宋体" w:cs="Times New Roman"/>
                      <w:color w:val="auto"/>
                    </w:rPr>
                  </w:pPr>
                </w:p>
              </w:tc>
              <w:tc>
                <w:tcPr>
                  <w:tcW w:w="1712"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第二次</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0.57</w:t>
                  </w:r>
                </w:p>
              </w:tc>
              <w:tc>
                <w:tcPr>
                  <w:tcW w:w="1440" w:type="dxa"/>
                  <w:vMerge w:val="continue"/>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continue"/>
                  <w:tcBorders>
                    <w:right w:val="single" w:color="auto" w:sz="4" w:space="0"/>
                  </w:tcBorders>
                  <w:noWrap w:val="0"/>
                  <w:vAlign w:val="center"/>
                </w:tcPr>
                <w:p>
                  <w:pPr>
                    <w:jc w:val="center"/>
                    <w:rPr>
                      <w:rFonts w:hint="default" w:ascii="Times New Roman" w:hAnsi="Times New Roman" w:eastAsia="宋体" w:cs="Times New Roman"/>
                      <w:color w:val="auto"/>
                    </w:rPr>
                  </w:pPr>
                </w:p>
              </w:tc>
              <w:tc>
                <w:tcPr>
                  <w:tcW w:w="1712"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第三次</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0.56</w:t>
                  </w:r>
                </w:p>
              </w:tc>
              <w:tc>
                <w:tcPr>
                  <w:tcW w:w="1440" w:type="dxa"/>
                  <w:vMerge w:val="continue"/>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continue"/>
                  <w:tcBorders>
                    <w:right w:val="single" w:color="auto" w:sz="4" w:space="0"/>
                  </w:tcBorders>
                  <w:noWrap w:val="0"/>
                  <w:vAlign w:val="center"/>
                </w:tcPr>
                <w:p>
                  <w:pPr>
                    <w:jc w:val="center"/>
                    <w:rPr>
                      <w:rFonts w:hint="default" w:ascii="Times New Roman" w:hAnsi="Times New Roman" w:eastAsia="宋体" w:cs="Times New Roman"/>
                      <w:color w:val="auto"/>
                    </w:rPr>
                  </w:pPr>
                </w:p>
              </w:tc>
              <w:tc>
                <w:tcPr>
                  <w:tcW w:w="1712"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第四次</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0.56</w:t>
                  </w:r>
                </w:p>
              </w:tc>
              <w:tc>
                <w:tcPr>
                  <w:tcW w:w="1440" w:type="dxa"/>
                  <w:vMerge w:val="continue"/>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continue"/>
                  <w:tcBorders>
                    <w:right w:val="single" w:color="auto" w:sz="4" w:space="0"/>
                  </w:tcBorders>
                  <w:noWrap w:val="0"/>
                  <w:vAlign w:val="center"/>
                </w:tcPr>
                <w:p>
                  <w:pPr>
                    <w:jc w:val="center"/>
                    <w:rPr>
                      <w:rFonts w:hint="default" w:ascii="Times New Roman" w:hAnsi="Times New Roman" w:eastAsia="宋体" w:cs="Times New Roman"/>
                      <w:color w:val="auto"/>
                    </w:rPr>
                  </w:pPr>
                </w:p>
              </w:tc>
              <w:tc>
                <w:tcPr>
                  <w:tcW w:w="1712"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6月</w:t>
                  </w:r>
                  <w:r>
                    <w:rPr>
                      <w:rFonts w:hint="eastAsia" w:cs="Times New Roman"/>
                      <w:color w:val="auto"/>
                      <w:lang w:val="en-US" w:eastAsia="zh-CN"/>
                    </w:rPr>
                    <w:t>14</w:t>
                  </w:r>
                  <w:r>
                    <w:rPr>
                      <w:rFonts w:hint="default" w:ascii="Times New Roman" w:hAnsi="Times New Roman" w:eastAsia="宋体" w:cs="Times New Roman"/>
                      <w:color w:val="auto"/>
                      <w:lang w:val="en-US" w:eastAsia="zh-CN"/>
                    </w:rPr>
                    <w:t>日</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第一次</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0.59</w:t>
                  </w:r>
                </w:p>
              </w:tc>
              <w:tc>
                <w:tcPr>
                  <w:tcW w:w="1440" w:type="dxa"/>
                  <w:vMerge w:val="restart"/>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continue"/>
                  <w:tcBorders>
                    <w:right w:val="single" w:color="auto" w:sz="4" w:space="0"/>
                  </w:tcBorders>
                  <w:noWrap w:val="0"/>
                  <w:vAlign w:val="center"/>
                </w:tcPr>
                <w:p>
                  <w:pPr>
                    <w:jc w:val="center"/>
                    <w:rPr>
                      <w:rFonts w:hint="default" w:ascii="Times New Roman" w:hAnsi="Times New Roman" w:eastAsia="宋体" w:cs="Times New Roman"/>
                      <w:color w:val="auto"/>
                    </w:rPr>
                  </w:pPr>
                </w:p>
              </w:tc>
              <w:tc>
                <w:tcPr>
                  <w:tcW w:w="1712"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第二次</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0.57</w:t>
                  </w:r>
                </w:p>
              </w:tc>
              <w:tc>
                <w:tcPr>
                  <w:tcW w:w="1440" w:type="dxa"/>
                  <w:vMerge w:val="continue"/>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continue"/>
                  <w:tcBorders>
                    <w:right w:val="single" w:color="auto" w:sz="4" w:space="0"/>
                  </w:tcBorders>
                  <w:noWrap w:val="0"/>
                  <w:vAlign w:val="center"/>
                </w:tcPr>
                <w:p>
                  <w:pPr>
                    <w:jc w:val="center"/>
                    <w:rPr>
                      <w:rFonts w:hint="default" w:ascii="Times New Roman" w:hAnsi="Times New Roman" w:eastAsia="宋体" w:cs="Times New Roman"/>
                      <w:color w:val="auto"/>
                    </w:rPr>
                  </w:pPr>
                </w:p>
              </w:tc>
              <w:tc>
                <w:tcPr>
                  <w:tcW w:w="1712"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第三次</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0.55</w:t>
                  </w:r>
                </w:p>
              </w:tc>
              <w:tc>
                <w:tcPr>
                  <w:tcW w:w="1440" w:type="dxa"/>
                  <w:vMerge w:val="continue"/>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continue"/>
                  <w:tcBorders>
                    <w:right w:val="single" w:color="auto" w:sz="4" w:space="0"/>
                  </w:tcBorders>
                  <w:noWrap w:val="0"/>
                  <w:vAlign w:val="center"/>
                </w:tcPr>
                <w:p>
                  <w:pPr>
                    <w:jc w:val="center"/>
                    <w:rPr>
                      <w:rFonts w:hint="default" w:ascii="Times New Roman" w:hAnsi="Times New Roman" w:eastAsia="宋体" w:cs="Times New Roman"/>
                      <w:color w:val="auto"/>
                    </w:rPr>
                  </w:pPr>
                </w:p>
              </w:tc>
              <w:tc>
                <w:tcPr>
                  <w:tcW w:w="1712"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第四次</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0.57</w:t>
                  </w:r>
                </w:p>
              </w:tc>
              <w:tc>
                <w:tcPr>
                  <w:tcW w:w="1440" w:type="dxa"/>
                  <w:vMerge w:val="continue"/>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continue"/>
                  <w:tcBorders>
                    <w:right w:val="single" w:color="auto" w:sz="4" w:space="0"/>
                  </w:tcBorders>
                  <w:noWrap w:val="0"/>
                  <w:vAlign w:val="center"/>
                </w:tcPr>
                <w:p>
                  <w:pPr>
                    <w:jc w:val="center"/>
                    <w:rPr>
                      <w:rFonts w:hint="default" w:ascii="Times New Roman" w:hAnsi="Times New Roman" w:eastAsia="宋体" w:cs="Times New Roman"/>
                      <w:color w:val="auto"/>
                    </w:rPr>
                  </w:pPr>
                </w:p>
              </w:tc>
              <w:tc>
                <w:tcPr>
                  <w:tcW w:w="1712"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6月</w:t>
                  </w:r>
                  <w:r>
                    <w:rPr>
                      <w:rFonts w:hint="eastAsia" w:cs="Times New Roman"/>
                      <w:color w:val="auto"/>
                      <w:lang w:val="en-US" w:eastAsia="zh-CN"/>
                    </w:rPr>
                    <w:t>15</w:t>
                  </w:r>
                  <w:r>
                    <w:rPr>
                      <w:rFonts w:hint="default" w:ascii="Times New Roman" w:hAnsi="Times New Roman" w:eastAsia="宋体" w:cs="Times New Roman"/>
                      <w:color w:val="auto"/>
                      <w:lang w:val="en-US" w:eastAsia="zh-CN"/>
                    </w:rPr>
                    <w:t>日</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第一次</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0.58</w:t>
                  </w:r>
                </w:p>
              </w:tc>
              <w:tc>
                <w:tcPr>
                  <w:tcW w:w="1440" w:type="dxa"/>
                  <w:vMerge w:val="restart"/>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0.171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continue"/>
                  <w:tcBorders>
                    <w:right w:val="single" w:color="auto" w:sz="4" w:space="0"/>
                  </w:tcBorders>
                  <w:noWrap w:val="0"/>
                  <w:vAlign w:val="center"/>
                </w:tcPr>
                <w:p>
                  <w:pPr>
                    <w:jc w:val="center"/>
                    <w:rPr>
                      <w:rFonts w:hint="default" w:ascii="Times New Roman" w:hAnsi="Times New Roman" w:eastAsia="宋体" w:cs="Times New Roman"/>
                      <w:color w:val="auto"/>
                    </w:rPr>
                  </w:pPr>
                </w:p>
              </w:tc>
              <w:tc>
                <w:tcPr>
                  <w:tcW w:w="1712"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第二次</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0.56</w:t>
                  </w:r>
                </w:p>
              </w:tc>
              <w:tc>
                <w:tcPr>
                  <w:tcW w:w="1440" w:type="dxa"/>
                  <w:vMerge w:val="continue"/>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continue"/>
                  <w:tcBorders>
                    <w:right w:val="single" w:color="auto" w:sz="4" w:space="0"/>
                  </w:tcBorders>
                  <w:noWrap w:val="0"/>
                  <w:vAlign w:val="center"/>
                </w:tcPr>
                <w:p>
                  <w:pPr>
                    <w:jc w:val="center"/>
                    <w:rPr>
                      <w:rFonts w:hint="default" w:ascii="Times New Roman" w:hAnsi="Times New Roman" w:eastAsia="宋体" w:cs="Times New Roman"/>
                      <w:color w:val="auto"/>
                    </w:rPr>
                  </w:pPr>
                </w:p>
              </w:tc>
              <w:tc>
                <w:tcPr>
                  <w:tcW w:w="1712"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第三次</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0.59</w:t>
                  </w:r>
                </w:p>
              </w:tc>
              <w:tc>
                <w:tcPr>
                  <w:tcW w:w="1440" w:type="dxa"/>
                  <w:vMerge w:val="continue"/>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dxa"/>
                  <w:vMerge w:val="continue"/>
                  <w:tcBorders>
                    <w:right w:val="single" w:color="auto" w:sz="4" w:space="0"/>
                  </w:tcBorders>
                  <w:noWrap w:val="0"/>
                  <w:vAlign w:val="center"/>
                </w:tcPr>
                <w:p>
                  <w:pPr>
                    <w:jc w:val="center"/>
                    <w:rPr>
                      <w:rFonts w:hint="default" w:ascii="Times New Roman" w:hAnsi="Times New Roman" w:eastAsia="宋体" w:cs="Times New Roman"/>
                      <w:color w:val="auto"/>
                    </w:rPr>
                  </w:pPr>
                </w:p>
              </w:tc>
              <w:tc>
                <w:tcPr>
                  <w:tcW w:w="1712"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第四次</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0.58</w:t>
                  </w:r>
                </w:p>
              </w:tc>
              <w:tc>
                <w:tcPr>
                  <w:tcW w:w="1440" w:type="dxa"/>
                  <w:vMerge w:val="continue"/>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96" w:type="dxa"/>
                  <w:gridSpan w:val="3"/>
                  <w:tcBorders>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最大值</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&lt;0.0015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0.60</w:t>
                  </w:r>
                </w:p>
              </w:tc>
              <w:tc>
                <w:tcPr>
                  <w:tcW w:w="1440" w:type="dxa"/>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96" w:type="dxa"/>
                  <w:gridSpan w:val="3"/>
                  <w:tcBorders>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标准限值</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0.01</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1440" w:type="dxa"/>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96" w:type="dxa"/>
                  <w:gridSpan w:val="3"/>
                  <w:tcBorders>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占标率</w:t>
                  </w:r>
                </w:p>
              </w:tc>
              <w:tc>
                <w:tcPr>
                  <w:tcW w:w="143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&lt;15</w:t>
                  </w:r>
                </w:p>
              </w:tc>
              <w:tc>
                <w:tcPr>
                  <w:tcW w:w="144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1440" w:type="dxa"/>
                  <w:tcBorders>
                    <w:left w:val="single" w:color="auto" w:sz="4"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57.7</w:t>
                  </w:r>
                </w:p>
              </w:tc>
            </w:tr>
          </w:tbl>
          <w:p>
            <w:pPr>
              <w:adjustRightInd w:val="0"/>
              <w:snapToGrid w:val="0"/>
              <w:spacing w:line="360" w:lineRule="auto"/>
              <w:ind w:firstLine="480" w:firstLineChars="200"/>
              <w:rPr>
                <w:rFonts w:hint="default" w:ascii="Times New Roman" w:hAnsi="Times New Roman" w:eastAsia="宋体" w:cs="Times New Roman"/>
                <w:color w:val="auto"/>
                <w:sz w:val="24"/>
                <w:szCs w:val="24"/>
                <w:lang w:bidi="ar-SA"/>
              </w:rPr>
            </w:pPr>
            <w:r>
              <w:rPr>
                <w:rFonts w:hint="eastAsia" w:ascii="Times New Roman" w:hAnsi="Times New Roman" w:eastAsia="宋体" w:cs="Times New Roman"/>
                <w:color w:val="auto"/>
                <w:sz w:val="24"/>
                <w:szCs w:val="24"/>
                <w:lang w:bidi="ar-SA"/>
              </w:rPr>
              <w:t>根据以上监测结果可知，TSP最大浓度能够满足</w:t>
            </w:r>
            <w:r>
              <w:rPr>
                <w:rFonts w:hint="eastAsia" w:ascii="Times New Roman" w:hAnsi="Times New Roman" w:eastAsia="宋体" w:cs="Times New Roman"/>
                <w:color w:val="auto"/>
                <w:sz w:val="24"/>
                <w:szCs w:val="24"/>
                <w:lang w:eastAsia="zh-CN" w:bidi="ar-SA"/>
              </w:rPr>
              <w:t>《环境空气质量标准》（GB3095-2012）</w:t>
            </w:r>
            <w:r>
              <w:rPr>
                <w:rFonts w:hint="eastAsia" w:ascii="Times New Roman" w:hAnsi="Times New Roman" w:eastAsia="宋体" w:cs="Times New Roman"/>
                <w:color w:val="auto"/>
                <w:sz w:val="24"/>
                <w:highlight w:val="none"/>
                <w:lang w:eastAsia="zh-CN"/>
              </w:rPr>
              <w:t>及</w:t>
            </w:r>
            <w:r>
              <w:rPr>
                <w:rFonts w:hint="eastAsia" w:ascii="Times New Roman" w:hAnsi="Times New Roman" w:eastAsia="宋体" w:cs="Times New Roman"/>
                <w:color w:val="auto"/>
                <w:sz w:val="24"/>
                <w:highlight w:val="none"/>
                <w:lang w:val="en-US" w:eastAsia="zh-CN"/>
              </w:rPr>
              <w:t>2018年修改单</w:t>
            </w:r>
            <w:r>
              <w:rPr>
                <w:rFonts w:hint="eastAsia" w:ascii="Times New Roman" w:hAnsi="Times New Roman" w:eastAsia="宋体" w:cs="Times New Roman"/>
                <w:color w:val="auto"/>
                <w:sz w:val="24"/>
                <w:szCs w:val="24"/>
                <w:lang w:eastAsia="zh-CN" w:bidi="ar-SA"/>
              </w:rPr>
              <w:t>二级标准值；非甲烷总烃最大浓度能够满足</w:t>
            </w:r>
            <w:r>
              <w:rPr>
                <w:rFonts w:hint="default" w:ascii="Times New Roman" w:hAnsi="Times New Roman" w:eastAsia="宋体" w:cs="Times New Roman"/>
                <w:color w:val="auto"/>
                <w:sz w:val="24"/>
                <w:szCs w:val="24"/>
                <w:lang w:bidi="ar-SA"/>
              </w:rPr>
              <w:t>《大气污染物综合排放标准详解》中标准值2.0mg/m</w:t>
            </w:r>
            <w:r>
              <w:rPr>
                <w:rFonts w:hint="default" w:ascii="Times New Roman" w:hAnsi="Times New Roman" w:eastAsia="宋体" w:cs="Times New Roman"/>
                <w:color w:val="auto"/>
                <w:sz w:val="24"/>
                <w:szCs w:val="24"/>
                <w:vertAlign w:val="superscript"/>
                <w:lang w:bidi="ar-SA"/>
              </w:rPr>
              <w:t>3</w:t>
            </w:r>
            <w:r>
              <w:rPr>
                <w:rFonts w:hint="eastAsia" w:ascii="Times New Roman" w:hAnsi="Times New Roman" w:eastAsia="宋体" w:cs="Times New Roman"/>
                <w:color w:val="auto"/>
                <w:sz w:val="24"/>
                <w:szCs w:val="24"/>
                <w:vertAlign w:val="baseline"/>
                <w:lang w:eastAsia="zh-CN" w:bidi="ar-SA"/>
              </w:rPr>
              <w:t>；</w:t>
            </w:r>
            <w:r>
              <w:rPr>
                <w:rFonts w:hint="default" w:ascii="Times New Roman" w:hAnsi="Times New Roman" w:eastAsia="宋体" w:cs="Times New Roman"/>
                <w:color w:val="auto"/>
                <w:sz w:val="24"/>
                <w:szCs w:val="24"/>
                <w:lang w:val="en-US" w:eastAsia="zh-CN" w:bidi="ar-SA"/>
              </w:rPr>
              <w:t>苯乙烯最大浓度能够满足《环境影响评价技术导则大气环境》附录D苯乙烯质量浓度参考限值</w:t>
            </w:r>
            <w:r>
              <w:rPr>
                <w:rFonts w:hint="eastAsia" w:ascii="Times New Roman" w:hAnsi="Times New Roman" w:eastAsia="宋体" w:cs="Times New Roman"/>
                <w:color w:val="auto"/>
                <w:sz w:val="24"/>
                <w:szCs w:val="24"/>
                <w:lang w:bidi="ar-SA"/>
              </w:rPr>
              <w:t>。</w:t>
            </w:r>
          </w:p>
          <w:p>
            <w:pPr>
              <w:keepNext w:val="0"/>
              <w:keepLines w:val="0"/>
              <w:widowControl w:val="0"/>
              <w:suppressLineNumbers w:val="0"/>
              <w:spacing w:before="0" w:beforeAutospacing="0" w:after="0" w:afterAutospacing="0" w:line="360" w:lineRule="auto"/>
              <w:ind w:left="0" w:right="0"/>
              <w:rPr>
                <w:rFonts w:hint="default" w:ascii="Times New Roman" w:hAnsi="Times New Roman" w:cs="Times New Roman"/>
                <w:b/>
                <w:color w:val="auto"/>
                <w:sz w:val="24"/>
                <w:szCs w:val="24"/>
                <w:lang w:bidi="ar-SA"/>
              </w:rPr>
            </w:pPr>
            <w:r>
              <w:rPr>
                <w:rFonts w:hint="default" w:ascii="Times New Roman" w:hAnsi="Times New Roman" w:cs="Times New Roman"/>
                <w:b/>
                <w:color w:val="auto"/>
                <w:sz w:val="24"/>
                <w:szCs w:val="24"/>
                <w:lang w:bidi="ar-SA"/>
              </w:rPr>
              <w:t>2地表水环境现状调查与评价</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bidi="ar-SA"/>
              </w:rPr>
            </w:pPr>
            <w:bookmarkStart w:id="4" w:name="_Toc10913"/>
            <w:bookmarkStart w:id="5" w:name="_Toc22488"/>
            <w:bookmarkStart w:id="6" w:name="_Toc8997"/>
            <w:bookmarkStart w:id="7" w:name="_Toc31825"/>
            <w:bookmarkStart w:id="8" w:name="_Toc441397897"/>
            <w:bookmarkStart w:id="9" w:name="_Toc5704"/>
            <w:r>
              <w:rPr>
                <w:rFonts w:hint="default" w:ascii="Times New Roman" w:hAnsi="Times New Roman" w:eastAsia="宋体" w:cs="Times New Roman"/>
                <w:color w:val="auto"/>
                <w:sz w:val="24"/>
                <w:szCs w:val="24"/>
                <w:highlight w:val="none"/>
                <w:lang w:val="en-US" w:eastAsia="zh-CN" w:bidi="ar-SA"/>
              </w:rPr>
              <w:t>项目区周边无地表水，生产过程无废水产生，生活污水进入园区下水管网。因此，本次不进行地表水环境现状调查。</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bCs/>
                <w:color w:val="auto"/>
                <w:sz w:val="24"/>
                <w:szCs w:val="24"/>
                <w:lang w:bidi="ar-SA"/>
              </w:rPr>
            </w:pPr>
            <w:r>
              <w:rPr>
                <w:rFonts w:hint="eastAsia" w:ascii="Times New Roman" w:hAnsi="Times New Roman" w:eastAsia="宋体" w:cs="Times New Roman"/>
                <w:b/>
                <w:bCs/>
                <w:color w:val="auto"/>
                <w:sz w:val="24"/>
                <w:szCs w:val="24"/>
                <w:lang w:val="en-US" w:eastAsia="zh-CN" w:bidi="ar-SA"/>
              </w:rPr>
              <w:t>3</w:t>
            </w:r>
            <w:bookmarkEnd w:id="4"/>
            <w:bookmarkEnd w:id="5"/>
            <w:bookmarkEnd w:id="6"/>
            <w:bookmarkEnd w:id="7"/>
            <w:bookmarkEnd w:id="8"/>
            <w:bookmarkEnd w:id="9"/>
            <w:r>
              <w:rPr>
                <w:rFonts w:hint="default" w:ascii="Times New Roman" w:hAnsi="Times New Roman" w:cs="Times New Roman"/>
                <w:b/>
                <w:color w:val="auto"/>
                <w:sz w:val="24"/>
                <w:szCs w:val="24"/>
                <w:lang w:bidi="ar-SA"/>
              </w:rPr>
              <w:t>声环境质量现状调查与评价</w:t>
            </w:r>
          </w:p>
          <w:p>
            <w:pPr>
              <w:widowControl/>
              <w:adjustRightInd w:val="0"/>
              <w:spacing w:line="360" w:lineRule="auto"/>
              <w:ind w:firstLine="480" w:firstLineChars="200"/>
              <w:jc w:val="left"/>
              <w:rPr>
                <w:rFonts w:hint="default" w:ascii="Times New Roman" w:hAnsi="Times New Roman" w:cs="Times New Roman"/>
                <w:color w:val="auto"/>
                <w:sz w:val="24"/>
                <w:szCs w:val="24"/>
                <w:lang w:bidi="ar-SA"/>
              </w:rPr>
            </w:pPr>
            <w:r>
              <w:rPr>
                <w:rFonts w:hint="default" w:ascii="Times New Roman" w:hAnsi="Times New Roman" w:cs="Times New Roman"/>
                <w:color w:val="auto"/>
                <w:sz w:val="24"/>
                <w:szCs w:val="24"/>
                <w:lang w:bidi="ar-SA"/>
              </w:rPr>
              <w:t>根据《建设项目环境影响报告表编制技术指南》（污染影响类）（试行）要求，厂界外周边50m范围内存在声环境保护目标的建设项目，应监测保护目标声环境质量现状并评价达标情况。</w:t>
            </w:r>
          </w:p>
          <w:p>
            <w:pPr>
              <w:widowControl/>
              <w:adjustRightInd w:val="0"/>
              <w:spacing w:line="360" w:lineRule="auto"/>
              <w:ind w:firstLine="480" w:firstLineChars="200"/>
              <w:jc w:val="left"/>
              <w:rPr>
                <w:rFonts w:hint="default" w:ascii="Times New Roman" w:hAnsi="Times New Roman" w:cs="Times New Roman"/>
                <w:color w:val="auto"/>
                <w:sz w:val="24"/>
                <w:szCs w:val="24"/>
                <w:lang w:bidi="ar-SA"/>
              </w:rPr>
            </w:pPr>
            <w:r>
              <w:rPr>
                <w:rFonts w:hint="eastAsia" w:cs="Times New Roman"/>
                <w:color w:val="auto"/>
                <w:sz w:val="24"/>
                <w:szCs w:val="24"/>
                <w:lang w:val="en-US" w:eastAsia="zh-CN" w:bidi="ar-SA"/>
              </w:rPr>
              <w:t>本</w:t>
            </w:r>
            <w:r>
              <w:rPr>
                <w:rFonts w:hint="default" w:ascii="Times New Roman" w:hAnsi="Times New Roman" w:eastAsia="宋体" w:cs="Times New Roman"/>
                <w:color w:val="auto"/>
                <w:sz w:val="24"/>
                <w:szCs w:val="24"/>
                <w:lang w:val="en-US" w:eastAsia="zh-CN" w:bidi="ar-SA"/>
              </w:rPr>
              <w:t>项目位于胡杨河经济技术开发区</w:t>
            </w:r>
            <w:r>
              <w:rPr>
                <w:rFonts w:hint="eastAsia" w:ascii="Times New Roman" w:hAnsi="Times New Roman" w:eastAsia="宋体" w:cs="Times New Roman"/>
                <w:color w:val="auto"/>
                <w:sz w:val="24"/>
                <w:szCs w:val="24"/>
                <w:lang w:val="en-US" w:eastAsia="zh-CN" w:bidi="ar-SA"/>
              </w:rPr>
              <w:t>南园区31#厂房</w:t>
            </w:r>
            <w:r>
              <w:rPr>
                <w:rFonts w:hint="eastAsia"/>
                <w:bCs/>
                <w:color w:val="auto"/>
                <w:kern w:val="0"/>
                <w:sz w:val="24"/>
              </w:rPr>
              <w:t>，</w:t>
            </w:r>
            <w:r>
              <w:rPr>
                <w:rFonts w:hint="eastAsia" w:cs="Times New Roman"/>
                <w:color w:val="auto"/>
                <w:sz w:val="24"/>
                <w:szCs w:val="24"/>
                <w:lang w:eastAsia="zh-CN" w:bidi="ar-SA"/>
              </w:rPr>
              <w:t>周边</w:t>
            </w:r>
            <w:r>
              <w:rPr>
                <w:rFonts w:hint="default" w:ascii="Times New Roman" w:hAnsi="Times New Roman" w:cs="Times New Roman"/>
                <w:color w:val="auto"/>
                <w:sz w:val="24"/>
                <w:szCs w:val="24"/>
                <w:lang w:bidi="ar-SA"/>
              </w:rPr>
              <w:t>50m范围内无声环境保护目标，因此不对声环境质量现状进行调查。</w:t>
            </w:r>
          </w:p>
          <w:p>
            <w:pPr>
              <w:widowControl/>
              <w:adjustRightInd w:val="0"/>
              <w:spacing w:line="360" w:lineRule="auto"/>
              <w:jc w:val="left"/>
              <w:rPr>
                <w:b/>
                <w:bCs/>
                <w:color w:val="auto"/>
                <w:sz w:val="24"/>
              </w:rPr>
            </w:pPr>
            <w:r>
              <w:rPr>
                <w:rFonts w:hint="eastAsia"/>
                <w:b/>
                <w:bCs/>
                <w:color w:val="auto"/>
                <w:sz w:val="24"/>
                <w:lang w:val="en-US" w:eastAsia="zh-CN"/>
              </w:rPr>
              <w:t>4</w:t>
            </w:r>
            <w:r>
              <w:rPr>
                <w:rFonts w:hint="eastAsia"/>
                <w:b/>
                <w:bCs/>
                <w:color w:val="auto"/>
                <w:sz w:val="24"/>
                <w:lang w:eastAsia="zh-CN"/>
              </w:rPr>
              <w:t>地下水、</w:t>
            </w:r>
            <w:r>
              <w:rPr>
                <w:b/>
                <w:bCs/>
                <w:color w:val="auto"/>
                <w:sz w:val="24"/>
              </w:rPr>
              <w:t>土壤环境</w:t>
            </w:r>
          </w:p>
          <w:p>
            <w:pPr>
              <w:spacing w:line="360" w:lineRule="auto"/>
              <w:ind w:firstLine="480" w:firstLineChars="200"/>
              <w:rPr>
                <w:rFonts w:hint="eastAsia" w:eastAsia="宋体"/>
                <w:color w:val="auto"/>
                <w:sz w:val="24"/>
                <w:lang w:eastAsia="zh-CN"/>
              </w:rPr>
            </w:pPr>
            <w:r>
              <w:rPr>
                <w:rFonts w:hint="eastAsia" w:ascii="Times New Roman" w:hAnsi="Times New Roman" w:eastAsia="宋体" w:cs="Times New Roman"/>
                <w:color w:val="auto"/>
                <w:sz w:val="24"/>
                <w:szCs w:val="24"/>
                <w:lang w:eastAsia="zh-CN" w:bidi="ar-SA"/>
              </w:rPr>
              <w:t>根据生态环境部办公厅2020年12月24日印发的《建设项目环境影响报告表编制技术指南（污染影响类）</w:t>
            </w:r>
            <w:r>
              <w:rPr>
                <w:rFonts w:hint="eastAsia" w:ascii="Times New Roman" w:hAnsi="Times New Roman" w:eastAsia="宋体" w:cs="Times New Roman"/>
                <w:color w:val="auto"/>
                <w:sz w:val="24"/>
                <w:szCs w:val="24"/>
                <w:lang w:val="en-US" w:eastAsia="zh-CN" w:bidi="ar-SA"/>
              </w:rPr>
              <w:t>（试行）</w:t>
            </w:r>
            <w:r>
              <w:rPr>
                <w:rFonts w:hint="eastAsia" w:ascii="Times New Roman" w:hAnsi="Times New Roman" w:eastAsia="宋体" w:cs="Times New Roman"/>
                <w:color w:val="auto"/>
                <w:sz w:val="24"/>
                <w:szCs w:val="24"/>
                <w:lang w:eastAsia="zh-CN" w:bidi="ar-SA"/>
              </w:rPr>
              <w:t>》，</w:t>
            </w:r>
            <w:r>
              <w:rPr>
                <w:rFonts w:hint="eastAsia"/>
                <w:color w:val="auto"/>
                <w:sz w:val="24"/>
                <w:lang w:eastAsia="zh-CN"/>
              </w:rPr>
              <w:t>中要求原则上不开展环境质量现状调查。建设项目存在土壤、地下水环境污染途径的，应结合污染源、保护目标分布情况开展现状调查以留作背景值。本项目运营期将对生产车间进行分区防渗工作，对危废暂存间、原材料堆放区加强防渗工作，无地下水及土壤污染途径，因此可不开展环境质量现状调查。</w:t>
            </w:r>
          </w:p>
          <w:p>
            <w:pPr>
              <w:widowControl/>
              <w:adjustRightInd w:val="0"/>
              <w:spacing w:line="360" w:lineRule="auto"/>
              <w:jc w:val="left"/>
              <w:rPr>
                <w:rFonts w:hint="default" w:ascii="Times New Roman" w:hAnsi="Times New Roman" w:eastAsia="宋体" w:cs="Times New Roman"/>
                <w:b/>
                <w:bCs/>
                <w:color w:val="auto"/>
                <w:sz w:val="24"/>
                <w:szCs w:val="24"/>
                <w:lang w:bidi="ar-SA"/>
              </w:rPr>
            </w:pPr>
            <w:r>
              <w:rPr>
                <w:rFonts w:hint="eastAsia" w:cs="Times New Roman"/>
                <w:b/>
                <w:bCs/>
                <w:color w:val="auto"/>
                <w:sz w:val="24"/>
                <w:szCs w:val="24"/>
                <w:lang w:val="en-US" w:eastAsia="zh-CN" w:bidi="ar-SA"/>
              </w:rPr>
              <w:t>5</w:t>
            </w:r>
            <w:r>
              <w:rPr>
                <w:rFonts w:hint="default" w:ascii="Times New Roman" w:hAnsi="Times New Roman" w:eastAsia="宋体" w:cs="Times New Roman"/>
                <w:b/>
                <w:bCs/>
                <w:color w:val="auto"/>
                <w:sz w:val="24"/>
                <w:szCs w:val="24"/>
                <w:lang w:eastAsia="zh-CN" w:bidi="ar-SA"/>
              </w:rPr>
              <w:t>生态</w:t>
            </w:r>
            <w:r>
              <w:rPr>
                <w:rFonts w:hint="default" w:ascii="Times New Roman" w:hAnsi="Times New Roman" w:eastAsia="宋体" w:cs="Times New Roman"/>
                <w:b/>
                <w:bCs/>
                <w:color w:val="auto"/>
                <w:sz w:val="24"/>
                <w:szCs w:val="24"/>
                <w:lang w:bidi="ar-SA"/>
              </w:rPr>
              <w:t>环境</w:t>
            </w:r>
          </w:p>
          <w:p>
            <w:pPr>
              <w:spacing w:line="360" w:lineRule="auto"/>
              <w:ind w:firstLine="480" w:firstLineChars="200"/>
              <w:rPr>
                <w:rFonts w:hint="eastAsia" w:ascii="Times New Roman" w:hAnsi="Times New Roman" w:eastAsia="宋体" w:cs="Times New Roman"/>
                <w:color w:val="auto"/>
                <w:sz w:val="24"/>
                <w:szCs w:val="24"/>
                <w:lang w:eastAsia="zh-CN" w:bidi="ar-SA"/>
              </w:rPr>
            </w:pPr>
            <w:r>
              <w:rPr>
                <w:rFonts w:hint="eastAsia" w:ascii="Times New Roman" w:hAnsi="Times New Roman" w:eastAsia="宋体" w:cs="Times New Roman"/>
                <w:color w:val="auto"/>
                <w:sz w:val="24"/>
                <w:szCs w:val="24"/>
                <w:lang w:eastAsia="zh-CN" w:bidi="ar-SA"/>
              </w:rPr>
              <w:t>根据生态环境部办公厅2020年12月24日印发的《建设项目环境影响报告表编制技术指南（污染影响类）</w:t>
            </w:r>
            <w:r>
              <w:rPr>
                <w:rFonts w:hint="eastAsia" w:ascii="Times New Roman" w:hAnsi="Times New Roman" w:eastAsia="宋体" w:cs="Times New Roman"/>
                <w:color w:val="auto"/>
                <w:sz w:val="24"/>
                <w:szCs w:val="24"/>
                <w:lang w:val="en-US" w:eastAsia="zh-CN" w:bidi="ar-SA"/>
              </w:rPr>
              <w:t>（试行）</w:t>
            </w:r>
            <w:r>
              <w:rPr>
                <w:rFonts w:hint="eastAsia" w:ascii="Times New Roman" w:hAnsi="Times New Roman" w:eastAsia="宋体" w:cs="Times New Roman"/>
                <w:color w:val="auto"/>
                <w:sz w:val="24"/>
                <w:szCs w:val="24"/>
                <w:lang w:eastAsia="zh-CN" w:bidi="ar-SA"/>
              </w:rPr>
              <w:t>》，产业园区外建设项目新增用地且用地范围内含有生态环境保护目标时，应进行生态现状调查。</w:t>
            </w:r>
          </w:p>
          <w:p>
            <w:pPr>
              <w:spacing w:line="360" w:lineRule="auto"/>
              <w:ind w:firstLine="480" w:firstLineChars="200"/>
              <w:rPr>
                <w:rFonts w:hint="eastAsia" w:ascii="宋体" w:eastAsia="宋体" w:cs="宋体"/>
                <w:color w:val="auto"/>
                <w:kern w:val="0"/>
                <w:szCs w:val="21"/>
                <w:lang w:val="en-US" w:eastAsia="zh-CN" w:bidi="ar-SA"/>
              </w:rPr>
            </w:pPr>
            <w:r>
              <w:rPr>
                <w:rFonts w:hint="eastAsia" w:ascii="Times New Roman" w:hAnsi="Times New Roman" w:eastAsia="宋体" w:cs="Times New Roman"/>
                <w:color w:val="auto"/>
                <w:sz w:val="24"/>
                <w:szCs w:val="24"/>
                <w:lang w:eastAsia="zh-CN" w:bidi="ar-SA"/>
              </w:rPr>
              <w:t>本项目为新建项目，</w:t>
            </w:r>
            <w:r>
              <w:rPr>
                <w:rFonts w:hint="eastAsia"/>
                <w:bCs/>
                <w:color w:val="auto"/>
                <w:kern w:val="0"/>
                <w:sz w:val="24"/>
              </w:rPr>
              <w:t>项目位于胡杨河经济技术开发区</w:t>
            </w:r>
            <w:r>
              <w:rPr>
                <w:rFonts w:hint="eastAsia"/>
                <w:bCs/>
                <w:color w:val="auto"/>
                <w:kern w:val="0"/>
                <w:sz w:val="24"/>
                <w:lang w:eastAsia="zh-CN"/>
              </w:rPr>
              <w:t>南园区</w:t>
            </w:r>
            <w:r>
              <w:rPr>
                <w:rFonts w:hint="eastAsia"/>
                <w:bCs/>
                <w:color w:val="auto"/>
                <w:kern w:val="0"/>
                <w:sz w:val="24"/>
                <w:lang w:val="en-US" w:eastAsia="zh-CN"/>
              </w:rPr>
              <w:t>31#厂房</w:t>
            </w:r>
            <w:r>
              <w:rPr>
                <w:rFonts w:hint="eastAsia"/>
                <w:bCs/>
                <w:color w:val="auto"/>
                <w:kern w:val="0"/>
                <w:sz w:val="24"/>
              </w:rPr>
              <w:t>，</w:t>
            </w:r>
            <w:r>
              <w:rPr>
                <w:rFonts w:hint="eastAsia" w:ascii="Times New Roman" w:hAnsi="Times New Roman" w:eastAsia="宋体" w:cs="Times New Roman"/>
                <w:color w:val="auto"/>
                <w:sz w:val="24"/>
                <w:szCs w:val="24"/>
                <w:lang w:eastAsia="zh-CN" w:bidi="ar-SA"/>
              </w:rPr>
              <w:t>项目周围无生态环境敏感目标，故不需进行生态现状调查。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1" w:hRule="atLeast"/>
          <w:jc w:val="center"/>
        </w:trPr>
        <w:tc>
          <w:tcPr>
            <w:tcW w:w="456" w:type="dxa"/>
            <w:noWrap w:val="0"/>
            <w:vAlign w:val="center"/>
          </w:tcPr>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环境</w:t>
            </w:r>
          </w:p>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保护</w:t>
            </w:r>
          </w:p>
          <w:p>
            <w:pPr>
              <w:adjustRightInd w:val="0"/>
              <w:snapToGrid w:val="0"/>
              <w:jc w:val="center"/>
              <w:rPr>
                <w:rFonts w:hint="eastAsia" w:ascii="宋体" w:cs="宋体"/>
                <w:color w:val="auto"/>
                <w:kern w:val="0"/>
                <w:szCs w:val="21"/>
                <w:lang w:bidi="ar-SA"/>
              </w:rPr>
            </w:pPr>
            <w:r>
              <w:rPr>
                <w:rFonts w:hint="eastAsia" w:ascii="宋体" w:cs="宋体"/>
                <w:color w:val="auto"/>
                <w:kern w:val="0"/>
                <w:sz w:val="24"/>
                <w:szCs w:val="24"/>
                <w:lang w:bidi="ar-SA"/>
              </w:rPr>
              <w:t>目标</w:t>
            </w:r>
          </w:p>
        </w:tc>
        <w:tc>
          <w:tcPr>
            <w:tcW w:w="8564" w:type="dxa"/>
            <w:noWrap w:val="0"/>
            <w:vAlign w:val="center"/>
          </w:tcPr>
          <w:p>
            <w:pPr>
              <w:keepNext w:val="0"/>
              <w:keepLines w:val="0"/>
              <w:widowControl w:val="0"/>
              <w:suppressLineNumbers w:val="0"/>
              <w:spacing w:before="0" w:beforeAutospacing="0" w:after="0" w:afterAutospacing="0" w:line="360" w:lineRule="auto"/>
              <w:ind w:right="0" w:firstLine="480" w:firstLineChars="200"/>
              <w:jc w:val="left"/>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一、大气环境保护目标</w:t>
            </w:r>
            <w:r>
              <w:rPr>
                <w:rFonts w:hint="eastAsia"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项目厂界500m范围内全部为工业企业，无自然保护区、风景名胜区、居住区、文化区和人群较集中的区域。</w:t>
            </w:r>
          </w:p>
          <w:p>
            <w:pPr>
              <w:keepNext w:val="0"/>
              <w:keepLines w:val="0"/>
              <w:widowControl w:val="0"/>
              <w:suppressLineNumbers w:val="0"/>
              <w:spacing w:before="0" w:beforeAutospacing="0" w:after="0" w:afterAutospacing="0" w:line="360" w:lineRule="auto"/>
              <w:ind w:right="0" w:firstLine="480" w:firstLineChars="200"/>
              <w:jc w:val="left"/>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二、声环境保护目标</w:t>
            </w:r>
            <w:r>
              <w:rPr>
                <w:rFonts w:hint="eastAsia"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项目厂界50m范围无特殊声环境保护目标。</w:t>
            </w:r>
          </w:p>
          <w:p>
            <w:pPr>
              <w:keepNext w:val="0"/>
              <w:keepLines w:val="0"/>
              <w:widowControl w:val="0"/>
              <w:suppressLineNumbers w:val="0"/>
              <w:spacing w:before="0" w:beforeAutospacing="0" w:after="0" w:afterAutospacing="0" w:line="360" w:lineRule="auto"/>
              <w:ind w:right="0" w:firstLine="480" w:firstLineChars="200"/>
              <w:jc w:val="left"/>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三、地下水环境保护目标</w:t>
            </w:r>
            <w:r>
              <w:rPr>
                <w:rFonts w:hint="eastAsia"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项目厂界外500m范围内无地下水集中式饮用水水源保护区，不涉及热水、矿泉水、温泉等特殊地下水资源。</w:t>
            </w:r>
          </w:p>
          <w:p>
            <w:pPr>
              <w:keepNext w:val="0"/>
              <w:keepLines w:val="0"/>
              <w:widowControl w:val="0"/>
              <w:suppressLineNumbers w:val="0"/>
              <w:spacing w:before="0" w:beforeAutospacing="0" w:after="0" w:afterAutospacing="0" w:line="360" w:lineRule="auto"/>
              <w:ind w:right="0" w:firstLine="480" w:firstLineChars="200"/>
              <w:jc w:val="left"/>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四、生态环境保护目标</w:t>
            </w:r>
            <w:r>
              <w:rPr>
                <w:rFonts w:hint="eastAsia"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项目位于</w:t>
            </w:r>
            <w:r>
              <w:rPr>
                <w:rFonts w:hint="eastAsia" w:cs="Times New Roman"/>
                <w:color w:val="auto"/>
                <w:sz w:val="24"/>
                <w:szCs w:val="24"/>
                <w:lang w:val="en-US" w:eastAsia="zh-CN" w:bidi="ar-SA"/>
              </w:rPr>
              <w:t>胡杨河经济技术开发区南园区31#厂房</w:t>
            </w:r>
            <w:r>
              <w:rPr>
                <w:rFonts w:hint="eastAsia" w:ascii="Times New Roman" w:hAnsi="Times New Roman" w:eastAsia="宋体" w:cs="Times New Roman"/>
                <w:color w:val="auto"/>
                <w:sz w:val="24"/>
                <w:szCs w:val="24"/>
                <w:lang w:val="en-US" w:eastAsia="zh-CN" w:bidi="ar-SA"/>
              </w:rPr>
              <w:t>，用地范围内无生态环境保护目标。</w:t>
            </w:r>
          </w:p>
          <w:p>
            <w:pPr>
              <w:keepNext w:val="0"/>
              <w:keepLines w:val="0"/>
              <w:widowControl w:val="0"/>
              <w:suppressLineNumbers w:val="0"/>
              <w:spacing w:before="0" w:beforeAutospacing="0" w:after="0" w:afterAutospacing="0" w:line="360" w:lineRule="auto"/>
              <w:ind w:right="0" w:firstLine="480" w:firstLineChars="200"/>
              <w:jc w:val="left"/>
              <w:rPr>
                <w:rFonts w:hint="eastAsia" w:ascii="Times New Roman" w:hAnsi="Times New Roman" w:eastAsia="宋体" w:cs="Times New Roman"/>
                <w:color w:val="auto"/>
                <w:sz w:val="24"/>
                <w:szCs w:val="24"/>
                <w:lang w:val="en-US" w:eastAsia="zh-CN" w:bidi="ar-SA"/>
              </w:rPr>
            </w:pPr>
          </w:p>
          <w:p>
            <w:pPr>
              <w:keepNext w:val="0"/>
              <w:keepLines w:val="0"/>
              <w:widowControl w:val="0"/>
              <w:suppressLineNumbers w:val="0"/>
              <w:spacing w:before="0" w:beforeAutospacing="0" w:after="0" w:afterAutospacing="0" w:line="360" w:lineRule="auto"/>
              <w:ind w:right="0" w:firstLine="480" w:firstLineChars="200"/>
              <w:jc w:val="left"/>
              <w:rPr>
                <w:rFonts w:hint="eastAsia" w:ascii="Times New Roman" w:hAnsi="Times New Roman" w:eastAsia="宋体" w:cs="Times New Roman"/>
                <w:color w:val="auto"/>
                <w:sz w:val="24"/>
                <w:szCs w:val="24"/>
                <w:lang w:val="en-US" w:eastAsia="zh-CN" w:bidi="ar-SA"/>
              </w:rPr>
            </w:pPr>
          </w:p>
          <w:p>
            <w:pPr>
              <w:keepNext w:val="0"/>
              <w:keepLines w:val="0"/>
              <w:widowControl w:val="0"/>
              <w:suppressLineNumbers w:val="0"/>
              <w:spacing w:before="0" w:beforeAutospacing="0" w:after="0" w:afterAutospacing="0" w:line="360" w:lineRule="auto"/>
              <w:ind w:right="0" w:firstLine="480" w:firstLineChars="200"/>
              <w:jc w:val="left"/>
              <w:rPr>
                <w:rFonts w:hint="eastAsia" w:ascii="Times New Roman" w:hAnsi="Times New Roman" w:eastAsia="宋体" w:cs="Times New Roman"/>
                <w:color w:val="auto"/>
                <w:sz w:val="24"/>
                <w:szCs w:val="24"/>
                <w:lang w:val="en-US" w:eastAsia="zh-CN" w:bidi="ar-SA"/>
              </w:rPr>
            </w:pPr>
          </w:p>
          <w:p>
            <w:pPr>
              <w:keepNext w:val="0"/>
              <w:keepLines w:val="0"/>
              <w:widowControl w:val="0"/>
              <w:suppressLineNumbers w:val="0"/>
              <w:spacing w:before="0" w:beforeAutospacing="0" w:after="0" w:afterAutospacing="0" w:line="360" w:lineRule="auto"/>
              <w:ind w:right="0" w:firstLine="480" w:firstLineChars="200"/>
              <w:jc w:val="left"/>
              <w:rPr>
                <w:rFonts w:hint="eastAsia" w:ascii="Times New Roman" w:hAnsi="Times New Roman" w:eastAsia="宋体" w:cs="Times New Roman"/>
                <w:color w:val="auto"/>
                <w:sz w:val="24"/>
                <w:szCs w:val="24"/>
                <w:lang w:val="en-US" w:eastAsia="zh-CN" w:bidi="ar-SA"/>
              </w:rPr>
            </w:pPr>
          </w:p>
          <w:p>
            <w:pPr>
              <w:keepNext w:val="0"/>
              <w:keepLines w:val="0"/>
              <w:widowControl w:val="0"/>
              <w:suppressLineNumbers w:val="0"/>
              <w:spacing w:before="0" w:beforeAutospacing="0" w:after="0" w:afterAutospacing="0" w:line="360" w:lineRule="auto"/>
              <w:ind w:right="0" w:firstLine="480" w:firstLineChars="200"/>
              <w:jc w:val="left"/>
              <w:rPr>
                <w:rFonts w:hint="eastAsia" w:ascii="Times New Roman" w:hAnsi="Times New Roman" w:eastAsia="宋体" w:cs="Times New Roman"/>
                <w:color w:val="auto"/>
                <w:sz w:val="24"/>
                <w:szCs w:val="24"/>
                <w:lang w:val="en-US" w:eastAsia="zh-CN" w:bidi="ar-SA"/>
              </w:rPr>
            </w:pPr>
          </w:p>
          <w:p>
            <w:pPr>
              <w:keepNext w:val="0"/>
              <w:keepLines w:val="0"/>
              <w:widowControl w:val="0"/>
              <w:suppressLineNumbers w:val="0"/>
              <w:spacing w:before="0" w:beforeAutospacing="0" w:after="0" w:afterAutospacing="0" w:line="360" w:lineRule="auto"/>
              <w:ind w:right="0" w:firstLine="480" w:firstLineChars="200"/>
              <w:jc w:val="left"/>
              <w:rPr>
                <w:rFonts w:hint="eastAsia" w:ascii="Times New Roman" w:hAnsi="Times New Roman" w:eastAsia="宋体" w:cs="Times New Roman"/>
                <w:color w:val="auto"/>
                <w:sz w:val="24"/>
                <w:szCs w:val="24"/>
                <w:lang w:val="en-US" w:eastAsia="zh-CN" w:bidi="ar-SA"/>
              </w:rPr>
            </w:pPr>
          </w:p>
          <w:p>
            <w:pPr>
              <w:keepNext w:val="0"/>
              <w:keepLines w:val="0"/>
              <w:widowControl w:val="0"/>
              <w:suppressLineNumbers w:val="0"/>
              <w:spacing w:before="0" w:beforeAutospacing="0" w:after="0" w:afterAutospacing="0" w:line="360" w:lineRule="auto"/>
              <w:ind w:right="0" w:firstLine="480" w:firstLineChars="200"/>
              <w:jc w:val="left"/>
              <w:rPr>
                <w:rFonts w:hint="eastAsia" w:ascii="Times New Roman" w:hAnsi="Times New Roman" w:eastAsia="宋体" w:cs="Times New Roman"/>
                <w:color w:val="auto"/>
                <w:sz w:val="24"/>
                <w:szCs w:val="24"/>
                <w:lang w:val="en-US" w:eastAsia="zh-CN" w:bidi="ar-SA"/>
              </w:rPr>
            </w:pPr>
          </w:p>
          <w:p>
            <w:pPr>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85" w:hRule="atLeast"/>
          <w:jc w:val="center"/>
        </w:trPr>
        <w:tc>
          <w:tcPr>
            <w:tcW w:w="456" w:type="dxa"/>
            <w:noWrap w:val="0"/>
            <w:tcMar>
              <w:left w:w="28" w:type="dxa"/>
              <w:right w:w="28" w:type="dxa"/>
            </w:tcMar>
            <w:vAlign w:val="center"/>
          </w:tcPr>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污染</w:t>
            </w:r>
          </w:p>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物排</w:t>
            </w:r>
          </w:p>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放控</w:t>
            </w:r>
          </w:p>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制标</w:t>
            </w:r>
          </w:p>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准</w:t>
            </w:r>
          </w:p>
        </w:tc>
        <w:tc>
          <w:tcPr>
            <w:tcW w:w="8564" w:type="dxa"/>
            <w:noWrap w:val="0"/>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废气污染物排放标准</w:t>
            </w:r>
            <w:r>
              <w:rPr>
                <w:rFonts w:hint="default" w:ascii="Times New Roman" w:hAnsi="Times New Roman" w:eastAsia="宋体" w:cs="Times New Roman"/>
                <w:color w:val="auto"/>
                <w:sz w:val="24"/>
                <w:szCs w:val="24"/>
                <w:lang w:eastAsia="zh-CN"/>
              </w:rPr>
              <w:t>：项目石英砂上料、修整工序产生的</w:t>
            </w:r>
            <w:r>
              <w:rPr>
                <w:rFonts w:hint="eastAsia"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有组织排放</w:t>
            </w:r>
            <w:r>
              <w:rPr>
                <w:rFonts w:hint="default" w:ascii="Times New Roman" w:hAnsi="Times New Roman" w:eastAsia="宋体" w:cs="Times New Roman"/>
                <w:color w:val="auto"/>
                <w:sz w:val="24"/>
                <w:szCs w:val="24"/>
                <w:lang w:eastAsia="zh-CN"/>
              </w:rPr>
              <w:t>执行《合成树脂工业污染物排放标准》（GB31572-2015）中表5大气污染物特别排放标准（20mg/m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lang w:val="en-US" w:eastAsia="zh-CN"/>
              </w:rPr>
              <w:t>组织排放</w:t>
            </w:r>
            <w:r>
              <w:rPr>
                <w:rFonts w:hint="default" w:ascii="Times New Roman" w:hAnsi="Times New Roman" w:eastAsia="宋体" w:cs="Times New Roman"/>
                <w:color w:val="auto"/>
                <w:sz w:val="24"/>
                <w:szCs w:val="24"/>
                <w:lang w:eastAsia="zh-CN"/>
              </w:rPr>
              <w:t>执行《合成树脂工业污染物排放标准》（GB31572-2015）中表9企业边界大气污染物浓度限值（1.0mg/m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p>
          <w:p>
            <w:pPr>
              <w:spacing w:line="360" w:lineRule="auto"/>
              <w:ind w:left="0" w:firstLine="480" w:firstLineChars="200"/>
              <w:rPr>
                <w:rFonts w:hint="default" w:ascii="Times New Roman" w:hAnsi="Times New Roman" w:eastAsia="宋体" w:cs="Times New Roman"/>
                <w:color w:val="auto"/>
                <w:sz w:val="24"/>
                <w:szCs w:val="24"/>
                <w:lang w:val="en-US" w:eastAsia="en-US" w:bidi="ar-SA"/>
              </w:rPr>
            </w:pPr>
            <w:r>
              <w:rPr>
                <w:rFonts w:hint="default" w:ascii="Times New Roman" w:hAnsi="Times New Roman" w:eastAsia="宋体" w:cs="Times New Roman"/>
                <w:color w:val="auto"/>
                <w:sz w:val="24"/>
                <w:szCs w:val="24"/>
                <w:lang w:eastAsia="zh-CN"/>
              </w:rPr>
              <w:t>项目浸胶、缠绕、自然固化工序</w:t>
            </w:r>
            <w:r>
              <w:rPr>
                <w:rFonts w:hint="eastAsia" w:ascii="Times New Roman" w:hAnsi="Times New Roman" w:eastAsia="宋体" w:cs="Times New Roman"/>
                <w:color w:val="auto"/>
                <w:sz w:val="24"/>
                <w:szCs w:val="24"/>
                <w:lang w:eastAsia="zh-CN"/>
              </w:rPr>
              <w:t>产生的有机废气、臭气浓度</w:t>
            </w:r>
            <w:r>
              <w:rPr>
                <w:rFonts w:hint="default" w:ascii="Times New Roman" w:hAnsi="Times New Roman" w:eastAsia="宋体" w:cs="Times New Roman"/>
                <w:color w:val="auto"/>
                <w:sz w:val="24"/>
                <w:szCs w:val="24"/>
                <w:lang w:val="en-US" w:eastAsia="zh-CN"/>
              </w:rPr>
              <w:t>有组织排放</w:t>
            </w:r>
            <w:r>
              <w:rPr>
                <w:rFonts w:hint="default" w:ascii="Times New Roman" w:hAnsi="Times New Roman" w:eastAsia="宋体" w:cs="Times New Roman"/>
                <w:color w:val="auto"/>
                <w:sz w:val="24"/>
                <w:szCs w:val="24"/>
                <w:lang w:eastAsia="zh-CN"/>
              </w:rPr>
              <w:t>执行《合成树脂工业污染物排放标准》（GB31572-2015）中表5大气污染物特别排放标准（非甲烷总烃：60mg/m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，苯乙烯：20mg/m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，单位产品非甲烷总烃排放量：0.3kg/t产品）</w:t>
            </w:r>
            <w:r>
              <w:rPr>
                <w:rFonts w:hint="eastAsia" w:ascii="Times New Roman" w:hAnsi="Times New Roman" w:eastAsia="宋体" w:cs="Times New Roman"/>
                <w:color w:val="auto"/>
                <w:sz w:val="24"/>
                <w:szCs w:val="24"/>
                <w:lang w:eastAsia="zh-CN"/>
              </w:rPr>
              <w:t>、《恶臭污染物排放标准》（GB14554-93）中表2排放标准限值（苯乙烯：6.5kg/h，臭气浓度：</w:t>
            </w:r>
            <w:r>
              <w:rPr>
                <w:rFonts w:hint="eastAsia" w:ascii="Times New Roman" w:hAnsi="Times New Roman" w:eastAsia="宋体" w:cs="Times New Roman"/>
                <w:color w:val="auto"/>
                <w:sz w:val="24"/>
                <w:szCs w:val="24"/>
                <w:lang w:val="en-US" w:eastAsia="zh-CN"/>
              </w:rPr>
              <w:t>2000</w:t>
            </w:r>
            <w:r>
              <w:rPr>
                <w:rFonts w:hint="eastAsia" w:ascii="Times New Roman" w:hAnsi="Times New Roman" w:eastAsia="宋体" w:cs="Times New Roman"/>
                <w:color w:val="auto"/>
                <w:sz w:val="24"/>
                <w:szCs w:val="24"/>
                <w:lang w:eastAsia="zh-CN"/>
              </w:rPr>
              <w:t>无量纲）；</w:t>
            </w:r>
            <w:r>
              <w:rPr>
                <w:rFonts w:hint="eastAsia" w:ascii="Times New Roman" w:hAnsi="Times New Roman" w:eastAsia="宋体" w:cs="Times New Roman"/>
                <w:color w:val="auto"/>
                <w:sz w:val="24"/>
                <w:szCs w:val="24"/>
                <w:vertAlign w:val="baseline"/>
                <w:lang w:eastAsia="zh-CN"/>
              </w:rPr>
              <w:t>苯乙烯、臭气浓度无组织排放满足《恶臭污染物排放标准》（GB14554-93）表1二级标准（苯乙烯5.0mg/m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rPr>
              <w:t>臭气浓度：</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eastAsia="zh-CN"/>
              </w:rPr>
              <w:t>无量纲</w:t>
            </w:r>
            <w:r>
              <w:rPr>
                <w:rFonts w:hint="eastAsia" w:ascii="Times New Roman" w:hAnsi="Times New Roman" w:eastAsia="宋体" w:cs="Times New Roman"/>
                <w:color w:val="auto"/>
                <w:sz w:val="24"/>
                <w:szCs w:val="24"/>
                <w:vertAlign w:val="baseline"/>
                <w:lang w:eastAsia="zh-CN"/>
              </w:rPr>
              <w:t>）；非甲烷总烃厂界外无组织排放满足《合成树脂工业污染物排放标准》（GB31572-2015）中表9中限值（4.0mg/m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vertAlign w:val="baseline"/>
                <w:lang w:eastAsia="zh-CN"/>
              </w:rPr>
              <w:t>）；厂界内无组织排放满足《挥发性有机物无组织排放控制标准》（GB37822-2019）表A.1特别排放限值要求（监控点处1h平均值浓度6mg/m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vertAlign w:val="baseline"/>
                <w:lang w:eastAsia="zh-CN"/>
              </w:rPr>
              <w:t>；监控点处任意一次浓度值20mg/m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）污水排放标准：生活污水执行《污水综合排放标准》（GB8978-1996）表4中三级标准</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噪声排放标准</w:t>
            </w:r>
            <w:r>
              <w:rPr>
                <w:rFonts w:hint="default" w:ascii="Times New Roman" w:hAnsi="Times New Roman" w:eastAsia="宋体" w:cs="Times New Roman"/>
                <w:color w:val="auto"/>
                <w:sz w:val="24"/>
                <w:szCs w:val="24"/>
                <w:lang w:eastAsia="zh-CN"/>
              </w:rPr>
              <w:t>：运营期项目厂界执行《工业企业厂界环境噪声排放标准》（GB12348-2008）中</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类标准</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cs="宋体"/>
                <w:color w:val="auto"/>
                <w:kern w:val="0"/>
                <w:szCs w:val="21"/>
                <w:lang w:bidi="ar-SA"/>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固体废弃物排放标准</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一般工业</w:t>
            </w:r>
            <w:r>
              <w:rPr>
                <w:rFonts w:hint="default" w:ascii="Times New Roman" w:hAnsi="Times New Roman" w:eastAsia="宋体" w:cs="Times New Roman"/>
                <w:color w:val="auto"/>
                <w:sz w:val="24"/>
                <w:szCs w:val="24"/>
              </w:rPr>
              <w:t>固体废物执行</w:t>
            </w:r>
            <w:r>
              <w:rPr>
                <w:rFonts w:hint="default" w:ascii="Times New Roman" w:hAnsi="Times New Roman" w:eastAsia="宋体" w:cs="Times New Roman"/>
                <w:color w:val="auto"/>
                <w:sz w:val="24"/>
                <w:szCs w:val="24"/>
                <w:lang w:val="en-US" w:eastAsia="zh-CN"/>
              </w:rPr>
              <w:t>《一般工业固体废物贮存和填埋污染控制标准》（GB18599-2020）</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危险废物</w:t>
            </w:r>
            <w:r>
              <w:rPr>
                <w:rFonts w:hint="default" w:ascii="Times New Roman" w:hAnsi="Times New Roman" w:eastAsia="宋体" w:cs="Times New Roman"/>
                <w:color w:val="auto"/>
                <w:sz w:val="24"/>
                <w:szCs w:val="24"/>
                <w:lang w:eastAsia="zh-CN"/>
              </w:rPr>
              <w:t>执行《危险废物贮存污染控制标准》（GB18597-2023）</w:t>
            </w:r>
            <w:r>
              <w:rPr>
                <w:rFonts w:hint="eastAsia"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456" w:type="dxa"/>
            <w:noWrap w:val="0"/>
            <w:vAlign w:val="center"/>
          </w:tcPr>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总量</w:t>
            </w:r>
          </w:p>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控制</w:t>
            </w:r>
          </w:p>
          <w:p>
            <w:pPr>
              <w:adjustRightInd w:val="0"/>
              <w:snapToGrid w:val="0"/>
              <w:jc w:val="center"/>
              <w:rPr>
                <w:rFonts w:hint="eastAsia" w:ascii="宋体" w:cs="宋体"/>
                <w:color w:val="auto"/>
                <w:kern w:val="0"/>
                <w:sz w:val="24"/>
                <w:szCs w:val="24"/>
                <w:lang w:bidi="ar-SA"/>
              </w:rPr>
            </w:pPr>
            <w:r>
              <w:rPr>
                <w:rFonts w:hint="eastAsia" w:ascii="宋体" w:cs="宋体"/>
                <w:color w:val="auto"/>
                <w:kern w:val="0"/>
                <w:sz w:val="24"/>
                <w:szCs w:val="24"/>
                <w:lang w:bidi="ar-SA"/>
              </w:rPr>
              <w:t>指标</w:t>
            </w:r>
          </w:p>
        </w:tc>
        <w:tc>
          <w:tcPr>
            <w:tcW w:w="8564" w:type="dxa"/>
            <w:noWrap w:val="0"/>
            <w:vAlign w:val="center"/>
          </w:tcPr>
          <w:p>
            <w:pPr>
              <w:spacing w:line="360" w:lineRule="auto"/>
              <w:ind w:firstLine="480" w:firstLineChars="200"/>
              <w:rPr>
                <w:rFonts w:hint="default" w:ascii="Times New Roman" w:hAnsi="Times New Roman" w:eastAsia="宋体" w:cs="Times New Roman"/>
                <w:color w:val="auto"/>
                <w:sz w:val="24"/>
                <w:szCs w:val="24"/>
                <w:lang w:eastAsia="zh-CN" w:bidi="ar-SA"/>
              </w:rPr>
            </w:pPr>
            <w:r>
              <w:rPr>
                <w:rFonts w:hint="eastAsia" w:ascii="Times New Roman" w:hAnsi="Times New Roman" w:eastAsia="宋体" w:cs="Times New Roman"/>
                <w:color w:val="auto"/>
                <w:sz w:val="24"/>
                <w:szCs w:val="24"/>
                <w:lang w:val="en-US" w:eastAsia="zh-CN" w:bidi="ar-SA"/>
              </w:rPr>
              <w:t>根据国家对污染物排放实行总量控制的有关规定及拟建项目特点、所在区域环境质量现状等因素，本项目主要污染总量控制建议指标为：</w:t>
            </w:r>
          </w:p>
          <w:p>
            <w:pPr>
              <w:spacing w:line="360" w:lineRule="auto"/>
              <w:ind w:firstLine="480" w:firstLineChars="200"/>
              <w:rPr>
                <w:rFonts w:hint="eastAsia" w:ascii="宋体" w:eastAsia="宋体" w:cs="宋体"/>
                <w:color w:val="auto"/>
                <w:kern w:val="0"/>
                <w:szCs w:val="21"/>
                <w:lang w:eastAsia="zh-CN" w:bidi="ar-SA"/>
              </w:rPr>
            </w:pPr>
            <w:r>
              <w:rPr>
                <w:rFonts w:hint="eastAsia" w:ascii="Times New Roman" w:hAnsi="Times New Roman" w:eastAsia="宋体" w:cs="Times New Roman"/>
                <w:color w:val="auto"/>
                <w:sz w:val="24"/>
                <w:szCs w:val="24"/>
                <w:lang w:val="en-US" w:eastAsia="zh-CN" w:bidi="ar-SA"/>
              </w:rPr>
              <w:t>VOCs：0.392</w:t>
            </w:r>
            <w:r>
              <w:rPr>
                <w:rFonts w:hint="default" w:ascii="Times New Roman" w:hAnsi="Times New Roman" w:eastAsia="宋体" w:cs="Times New Roman"/>
                <w:color w:val="auto"/>
                <w:sz w:val="24"/>
                <w:szCs w:val="24"/>
                <w:lang w:val="en-US" w:eastAsia="zh-CN" w:bidi="ar-SA"/>
              </w:rPr>
              <w:t>t/a</w:t>
            </w:r>
            <w:r>
              <w:rPr>
                <w:rFonts w:hint="eastAsia" w:ascii="Times New Roman" w:hAnsi="Times New Roman" w:eastAsia="宋体" w:cs="Times New Roman"/>
                <w:color w:val="auto"/>
                <w:sz w:val="24"/>
                <w:szCs w:val="24"/>
                <w:lang w:val="en-US" w:eastAsia="zh-CN" w:bidi="ar-SA"/>
              </w:rPr>
              <w:t>。</w:t>
            </w:r>
          </w:p>
        </w:tc>
      </w:tr>
    </w:tbl>
    <w:p>
      <w:pPr>
        <w:pStyle w:val="27"/>
        <w:jc w:val="center"/>
        <w:outlineLvl w:val="0"/>
        <w:rPr>
          <w:rFonts w:hint="eastAsia" w:ascii="黑体" w:eastAsia="黑体"/>
          <w:snapToGrid w:val="0"/>
          <w:color w:val="auto"/>
          <w:sz w:val="30"/>
          <w:szCs w:val="30"/>
        </w:rPr>
      </w:pPr>
      <w:r>
        <w:rPr>
          <w:rFonts w:hint="eastAsia" w:ascii="黑体" w:eastAsia="黑体"/>
          <w:snapToGrid w:val="0"/>
          <w:color w:val="auto"/>
          <w:sz w:val="36"/>
          <w:szCs w:val="36"/>
        </w:rPr>
        <w:br w:type="page"/>
      </w:r>
      <w:r>
        <w:rPr>
          <w:rFonts w:hint="eastAsia" w:ascii="黑体" w:eastAsia="黑体" w:cs="黑体"/>
          <w:color w:val="auto"/>
          <w:kern w:val="2"/>
          <w:sz w:val="30"/>
          <w:szCs w:val="30"/>
          <w:lang w:val="en-US" w:eastAsia="zh-CN" w:bidi="ar-SA"/>
        </w:rPr>
        <w:t>四、主要环境影响和保护措施</w:t>
      </w:r>
    </w:p>
    <w:tbl>
      <w:tblPr>
        <w:tblStyle w:val="3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6"/>
        <w:gridCol w:w="84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9" w:hRule="atLeast"/>
          <w:jc w:val="center"/>
        </w:trPr>
        <w:tc>
          <w:tcPr>
            <w:tcW w:w="466" w:type="dxa"/>
            <w:noWrap w:val="0"/>
            <w:tcMar>
              <w:left w:w="28" w:type="dxa"/>
              <w:right w:w="28" w:type="dxa"/>
            </w:tcMar>
            <w:vAlign w:val="center"/>
          </w:tcPr>
          <w:p>
            <w:pPr>
              <w:pStyle w:val="27"/>
              <w:adjustRightInd w:val="0"/>
              <w:snapToGrid w:val="0"/>
              <w:spacing w:before="0" w:beforeAutospacing="0" w:after="0" w:afterAutospacing="0"/>
              <w:jc w:val="center"/>
              <w:rPr>
                <w:rFonts w:hint="default" w:ascii="Times New Roman" w:hAnsi="Times New Roman" w:cs="Times New Roman"/>
                <w:color w:val="auto"/>
                <w:kern w:val="2"/>
                <w:sz w:val="24"/>
                <w:szCs w:val="24"/>
                <w:lang w:bidi="ar-SA"/>
              </w:rPr>
            </w:pPr>
            <w:r>
              <w:rPr>
                <w:rFonts w:hint="default" w:ascii="Times New Roman" w:hAnsi="Times New Roman" w:cs="Times New Roman"/>
                <w:color w:val="auto"/>
                <w:kern w:val="2"/>
                <w:sz w:val="24"/>
                <w:szCs w:val="24"/>
                <w:lang w:bidi="ar-SA"/>
              </w:rPr>
              <w:t>施工</w:t>
            </w:r>
          </w:p>
          <w:p>
            <w:pPr>
              <w:pStyle w:val="27"/>
              <w:adjustRightInd w:val="0"/>
              <w:snapToGrid w:val="0"/>
              <w:spacing w:before="0" w:beforeAutospacing="0" w:after="0" w:afterAutospacing="0"/>
              <w:jc w:val="center"/>
              <w:rPr>
                <w:rFonts w:hint="default" w:ascii="Times New Roman" w:hAnsi="Times New Roman" w:cs="Times New Roman"/>
                <w:color w:val="auto"/>
                <w:kern w:val="2"/>
                <w:sz w:val="24"/>
                <w:szCs w:val="24"/>
                <w:lang w:bidi="ar-SA"/>
              </w:rPr>
            </w:pPr>
            <w:r>
              <w:rPr>
                <w:rFonts w:hint="default" w:ascii="Times New Roman" w:hAnsi="Times New Roman" w:cs="Times New Roman"/>
                <w:color w:val="auto"/>
                <w:kern w:val="2"/>
                <w:sz w:val="24"/>
                <w:szCs w:val="24"/>
                <w:lang w:bidi="ar-SA"/>
              </w:rPr>
              <w:t>期环</w:t>
            </w:r>
          </w:p>
          <w:p>
            <w:pPr>
              <w:pStyle w:val="27"/>
              <w:adjustRightInd w:val="0"/>
              <w:snapToGrid w:val="0"/>
              <w:spacing w:before="0" w:beforeAutospacing="0" w:after="0" w:afterAutospacing="0"/>
              <w:jc w:val="center"/>
              <w:rPr>
                <w:rFonts w:hint="default" w:ascii="Times New Roman" w:hAnsi="Times New Roman" w:cs="Times New Roman"/>
                <w:color w:val="auto"/>
                <w:kern w:val="2"/>
                <w:sz w:val="24"/>
                <w:szCs w:val="24"/>
                <w:lang w:bidi="ar-SA"/>
              </w:rPr>
            </w:pPr>
            <w:r>
              <w:rPr>
                <w:rFonts w:hint="default" w:ascii="Times New Roman" w:hAnsi="Times New Roman" w:cs="Times New Roman"/>
                <w:color w:val="auto"/>
                <w:kern w:val="2"/>
                <w:sz w:val="24"/>
                <w:szCs w:val="24"/>
                <w:lang w:bidi="ar-SA"/>
              </w:rPr>
              <w:t>境保</w:t>
            </w:r>
          </w:p>
          <w:p>
            <w:pPr>
              <w:pStyle w:val="27"/>
              <w:adjustRightInd w:val="0"/>
              <w:snapToGrid w:val="0"/>
              <w:spacing w:before="0" w:beforeAutospacing="0" w:after="0" w:afterAutospacing="0"/>
              <w:jc w:val="center"/>
              <w:rPr>
                <w:rFonts w:hint="default" w:ascii="Times New Roman" w:hAnsi="Times New Roman" w:cs="Times New Roman"/>
                <w:color w:val="auto"/>
                <w:kern w:val="2"/>
                <w:sz w:val="24"/>
                <w:szCs w:val="24"/>
                <w:lang w:bidi="ar-SA"/>
              </w:rPr>
            </w:pPr>
            <w:r>
              <w:rPr>
                <w:rFonts w:hint="default" w:ascii="Times New Roman" w:hAnsi="Times New Roman" w:cs="Times New Roman"/>
                <w:color w:val="auto"/>
                <w:kern w:val="2"/>
                <w:sz w:val="24"/>
                <w:szCs w:val="24"/>
                <w:lang w:bidi="ar-SA"/>
              </w:rPr>
              <w:t>护措</w:t>
            </w:r>
          </w:p>
          <w:p>
            <w:pPr>
              <w:pStyle w:val="27"/>
              <w:adjustRightInd w:val="0"/>
              <w:snapToGrid w:val="0"/>
              <w:spacing w:before="0" w:beforeAutospacing="0" w:after="0" w:afterAutospacing="0"/>
              <w:jc w:val="center"/>
              <w:rPr>
                <w:rFonts w:hint="default" w:ascii="Times New Roman" w:hAnsi="Times New Roman" w:cs="Times New Roman"/>
                <w:bCs/>
                <w:color w:val="auto"/>
                <w:kern w:val="2"/>
                <w:sz w:val="24"/>
                <w:szCs w:val="24"/>
                <w:lang w:bidi="ar-SA"/>
              </w:rPr>
            </w:pPr>
            <w:r>
              <w:rPr>
                <w:rFonts w:hint="default" w:ascii="Times New Roman" w:hAnsi="Times New Roman" w:cs="Times New Roman"/>
                <w:color w:val="auto"/>
                <w:kern w:val="2"/>
                <w:sz w:val="24"/>
                <w:szCs w:val="24"/>
                <w:lang w:bidi="ar-SA"/>
              </w:rPr>
              <w:t>施</w:t>
            </w:r>
          </w:p>
        </w:tc>
        <w:tc>
          <w:tcPr>
            <w:tcW w:w="8442"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504" w:firstLineChars="200"/>
              <w:textAlignment w:val="auto"/>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pacing w:val="6"/>
                <w:sz w:val="24"/>
                <w:szCs w:val="24"/>
                <w:lang w:eastAsia="zh-CN"/>
              </w:rPr>
              <w:t>本项目</w:t>
            </w:r>
            <w:r>
              <w:rPr>
                <w:rFonts w:hint="default" w:ascii="Times New Roman" w:hAnsi="Times New Roman" w:eastAsia="宋体" w:cs="Times New Roman"/>
                <w:color w:val="auto"/>
                <w:spacing w:val="6"/>
                <w:sz w:val="24"/>
                <w:szCs w:val="24"/>
              </w:rPr>
              <w:t>租</w:t>
            </w:r>
            <w:r>
              <w:rPr>
                <w:rFonts w:hint="default" w:ascii="Times New Roman" w:hAnsi="Times New Roman" w:eastAsia="宋体" w:cs="Times New Roman"/>
                <w:color w:val="auto"/>
                <w:spacing w:val="6"/>
                <w:sz w:val="24"/>
                <w:szCs w:val="24"/>
                <w:lang w:eastAsia="zh-CN"/>
              </w:rPr>
              <w:t>用胡杨河经济技术开发区</w:t>
            </w:r>
            <w:r>
              <w:rPr>
                <w:rFonts w:hint="eastAsia" w:ascii="Times New Roman" w:hAnsi="Times New Roman" w:eastAsia="宋体" w:cs="Times New Roman"/>
                <w:color w:val="auto"/>
                <w:spacing w:val="6"/>
                <w:sz w:val="24"/>
                <w:szCs w:val="24"/>
                <w:lang w:eastAsia="zh-CN"/>
              </w:rPr>
              <w:t>南园区</w:t>
            </w:r>
            <w:r>
              <w:rPr>
                <w:rFonts w:hint="eastAsia" w:ascii="Times New Roman" w:hAnsi="Times New Roman" w:eastAsia="宋体" w:cs="Times New Roman"/>
                <w:color w:val="auto"/>
                <w:spacing w:val="6"/>
                <w:sz w:val="24"/>
                <w:szCs w:val="24"/>
                <w:lang w:val="en-US" w:eastAsia="zh-CN"/>
              </w:rPr>
              <w:t>31#标准化厂房进行建设</w:t>
            </w:r>
            <w:r>
              <w:rPr>
                <w:rFonts w:hint="default" w:ascii="Times New Roman" w:hAnsi="Times New Roman" w:eastAsia="宋体" w:cs="Times New Roman"/>
                <w:color w:val="auto"/>
                <w:sz w:val="24"/>
                <w:szCs w:val="24"/>
                <w:lang w:val="en-US" w:eastAsia="zh-CN" w:bidi="ar-SA"/>
              </w:rPr>
              <w:t>，施工期主要是</w:t>
            </w:r>
            <w:r>
              <w:rPr>
                <w:rFonts w:hint="default" w:ascii="Times New Roman" w:hAnsi="Times New Roman" w:eastAsia="宋体" w:cs="Times New Roman"/>
                <w:bCs/>
                <w:color w:val="auto"/>
                <w:sz w:val="24"/>
                <w:szCs w:val="24"/>
                <w:lang w:eastAsia="zh-CN"/>
              </w:rPr>
              <w:t>厂房改造、</w:t>
            </w:r>
            <w:r>
              <w:rPr>
                <w:rFonts w:hint="default" w:ascii="Times New Roman" w:hAnsi="Times New Roman" w:eastAsia="宋体" w:cs="Times New Roman"/>
                <w:bCs/>
                <w:color w:val="auto"/>
                <w:sz w:val="24"/>
                <w:szCs w:val="24"/>
              </w:rPr>
              <w:t>厂房内设备安装、调试</w:t>
            </w:r>
            <w:r>
              <w:rPr>
                <w:rFonts w:hint="eastAsia" w:ascii="Times New Roman" w:hAnsi="Times New Roman" w:eastAsia="宋体" w:cs="Times New Roman"/>
                <w:color w:val="auto"/>
                <w:sz w:val="24"/>
                <w:szCs w:val="24"/>
                <w:lang w:eastAsia="zh-CN" w:bidi="ar-SA"/>
              </w:rPr>
              <w:t>，</w:t>
            </w:r>
            <w:r>
              <w:rPr>
                <w:rFonts w:hint="default" w:ascii="Times New Roman" w:hAnsi="Times New Roman" w:eastAsia="宋体" w:cs="Times New Roman"/>
                <w:color w:val="auto"/>
                <w:sz w:val="24"/>
                <w:szCs w:val="24"/>
                <w:lang w:val="en-US" w:eastAsia="zh-CN" w:bidi="ar-SA"/>
              </w:rPr>
              <w:t>工程量小，污染小。</w:t>
            </w:r>
          </w:p>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1废气</w:t>
            </w:r>
          </w:p>
          <w:p>
            <w:pPr>
              <w:spacing w:line="360" w:lineRule="auto"/>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施工场地均在厂房内</w:t>
            </w:r>
            <w:r>
              <w:rPr>
                <w:rFonts w:hint="default" w:ascii="Times New Roman" w:hAnsi="Times New Roman" w:eastAsia="宋体" w:cs="Times New Roman"/>
                <w:color w:val="auto"/>
                <w:sz w:val="24"/>
                <w:szCs w:val="24"/>
              </w:rPr>
              <w:t>，因此，施工期对周边大气环境影响仅为</w:t>
            </w:r>
            <w:r>
              <w:rPr>
                <w:rFonts w:hint="default" w:ascii="Times New Roman" w:hAnsi="Times New Roman" w:eastAsia="宋体" w:cs="Times New Roman"/>
                <w:color w:val="auto"/>
                <w:sz w:val="24"/>
                <w:szCs w:val="24"/>
                <w:lang w:eastAsia="zh-CN"/>
              </w:rPr>
              <w:t>厂房地面改造和</w:t>
            </w:r>
            <w:r>
              <w:rPr>
                <w:rFonts w:hint="default" w:ascii="Times New Roman" w:hAnsi="Times New Roman" w:eastAsia="宋体" w:cs="Times New Roman"/>
                <w:color w:val="auto"/>
                <w:sz w:val="24"/>
                <w:szCs w:val="24"/>
              </w:rPr>
              <w:t>材料运输过程中产生的扬尘，</w:t>
            </w:r>
            <w:r>
              <w:rPr>
                <w:rFonts w:hint="default" w:ascii="Times New Roman" w:hAnsi="Times New Roman" w:eastAsia="宋体" w:cs="Times New Roman"/>
                <w:color w:val="auto"/>
                <w:sz w:val="24"/>
                <w:szCs w:val="24"/>
                <w:lang w:eastAsia="zh-CN"/>
              </w:rPr>
              <w:t>项目施工面积小、施工期短，</w:t>
            </w:r>
            <w:r>
              <w:rPr>
                <w:rFonts w:hint="eastAsia" w:eastAsia="宋体" w:cs="Times New Roman"/>
                <w:color w:val="auto"/>
                <w:sz w:val="24"/>
                <w:szCs w:val="24"/>
                <w:lang w:eastAsia="zh-CN"/>
              </w:rPr>
              <w:t>施工</w:t>
            </w:r>
            <w:r>
              <w:rPr>
                <w:rFonts w:hint="default" w:ascii="Times New Roman" w:hAnsi="Times New Roman" w:eastAsia="宋体" w:cs="Times New Roman"/>
                <w:color w:val="auto"/>
                <w:sz w:val="24"/>
                <w:szCs w:val="24"/>
                <w:lang w:eastAsia="zh-CN"/>
              </w:rPr>
              <w:t>时做好洒水降尘工作</w:t>
            </w:r>
            <w:r>
              <w:rPr>
                <w:rFonts w:hint="default" w:ascii="Times New Roman" w:hAnsi="Times New Roman" w:eastAsia="宋体" w:cs="Times New Roman"/>
                <w:color w:val="auto"/>
                <w:sz w:val="24"/>
                <w:szCs w:val="24"/>
              </w:rPr>
              <w:t>。运输过程在白天进行，</w:t>
            </w:r>
            <w:r>
              <w:rPr>
                <w:rFonts w:hint="default" w:ascii="Times New Roman" w:hAnsi="Times New Roman" w:eastAsia="宋体" w:cs="Times New Roman"/>
                <w:color w:val="auto"/>
                <w:sz w:val="24"/>
                <w:szCs w:val="24"/>
                <w:lang w:val="en-US" w:eastAsia="zh-CN"/>
              </w:rPr>
              <w:t>厂区内</w:t>
            </w:r>
            <w:r>
              <w:rPr>
                <w:rFonts w:hint="default" w:ascii="Times New Roman" w:hAnsi="Times New Roman" w:eastAsia="宋体" w:cs="Times New Roman"/>
                <w:color w:val="auto"/>
                <w:sz w:val="24"/>
                <w:szCs w:val="24"/>
              </w:rPr>
              <w:t>运输时间</w:t>
            </w:r>
            <w:r>
              <w:rPr>
                <w:rFonts w:hint="default" w:ascii="Times New Roman" w:hAnsi="Times New Roman" w:eastAsia="宋体" w:cs="Times New Roman"/>
                <w:color w:val="auto"/>
                <w:sz w:val="24"/>
                <w:szCs w:val="24"/>
                <w:lang w:val="en-US" w:eastAsia="zh-CN"/>
              </w:rPr>
              <w:t>及距离</w:t>
            </w:r>
            <w:r>
              <w:rPr>
                <w:rFonts w:hint="default" w:ascii="Times New Roman" w:hAnsi="Times New Roman" w:eastAsia="宋体" w:cs="Times New Roman"/>
                <w:color w:val="auto"/>
                <w:sz w:val="24"/>
                <w:szCs w:val="24"/>
              </w:rPr>
              <w:t>短，</w:t>
            </w:r>
            <w:r>
              <w:rPr>
                <w:rFonts w:hint="default" w:ascii="Times New Roman" w:hAnsi="Times New Roman" w:eastAsia="宋体" w:cs="Times New Roman"/>
                <w:color w:val="auto"/>
                <w:sz w:val="24"/>
                <w:szCs w:val="24"/>
                <w:lang w:val="en-US" w:eastAsia="zh-CN"/>
              </w:rPr>
              <w:t>厂区内道路硬化，</w:t>
            </w:r>
            <w:r>
              <w:rPr>
                <w:rFonts w:hint="default" w:ascii="Times New Roman" w:hAnsi="Times New Roman" w:eastAsia="宋体" w:cs="Times New Roman"/>
                <w:color w:val="auto"/>
                <w:sz w:val="24"/>
                <w:szCs w:val="24"/>
              </w:rPr>
              <w:t>在运输过程中采取地面洒水等措施，</w:t>
            </w:r>
            <w:r>
              <w:rPr>
                <w:rFonts w:hint="default" w:ascii="Times New Roman" w:hAnsi="Times New Roman" w:eastAsia="宋体" w:cs="Times New Roman"/>
                <w:color w:val="auto"/>
                <w:sz w:val="24"/>
                <w:szCs w:val="24"/>
                <w:lang w:eastAsia="zh-CN"/>
              </w:rPr>
              <w:t>做好以上措施后</w:t>
            </w:r>
            <w:r>
              <w:rPr>
                <w:rFonts w:hint="default" w:ascii="Times New Roman" w:hAnsi="Times New Roman" w:eastAsia="宋体" w:cs="Times New Roman"/>
                <w:color w:val="auto"/>
                <w:sz w:val="24"/>
                <w:szCs w:val="24"/>
              </w:rPr>
              <w:t>能有效抑制</w:t>
            </w:r>
            <w:r>
              <w:rPr>
                <w:rFonts w:hint="default" w:ascii="Times New Roman" w:hAnsi="Times New Roman" w:eastAsia="宋体" w:cs="Times New Roman"/>
                <w:color w:val="auto"/>
                <w:sz w:val="24"/>
                <w:szCs w:val="24"/>
                <w:lang w:eastAsia="zh-CN"/>
              </w:rPr>
              <w:t>施工期</w:t>
            </w:r>
            <w:r>
              <w:rPr>
                <w:rFonts w:hint="default" w:ascii="Times New Roman" w:hAnsi="Times New Roman" w:eastAsia="宋体" w:cs="Times New Roman"/>
                <w:color w:val="auto"/>
                <w:sz w:val="24"/>
                <w:szCs w:val="24"/>
              </w:rPr>
              <w:t>产生的扬尘对周边环境保护目标的影响，对周边环境影响较小</w:t>
            </w:r>
            <w:r>
              <w:rPr>
                <w:rFonts w:hint="default" w:ascii="Times New Roman" w:hAnsi="Times New Roman" w:eastAsia="宋体" w:cs="Times New Roman"/>
                <w:color w:val="auto"/>
                <w:sz w:val="24"/>
                <w:szCs w:val="24"/>
                <w:lang w:val="en-US" w:eastAsia="zh-CN" w:bidi="ar-SA"/>
              </w:rPr>
              <w:t>。</w:t>
            </w:r>
          </w:p>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2废水</w:t>
            </w:r>
          </w:p>
          <w:p>
            <w:pPr>
              <w:spacing w:line="360" w:lineRule="auto"/>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施工人员生活污水依托厂区内已建成的</w:t>
            </w:r>
            <w:r>
              <w:rPr>
                <w:rFonts w:hint="eastAsia" w:ascii="Times New Roman" w:hAnsi="Times New Roman" w:eastAsia="宋体" w:cs="Times New Roman"/>
                <w:color w:val="auto"/>
                <w:sz w:val="24"/>
                <w:szCs w:val="24"/>
                <w:lang w:val="en-US" w:eastAsia="zh-CN" w:bidi="ar-SA"/>
              </w:rPr>
              <w:t>污水管网</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最终进入胡杨河经济技术开发区南园区污水处理厂，</w:t>
            </w:r>
            <w:r>
              <w:rPr>
                <w:rFonts w:hint="default" w:ascii="Times New Roman" w:hAnsi="Times New Roman" w:eastAsia="宋体" w:cs="Times New Roman"/>
                <w:color w:val="auto"/>
                <w:sz w:val="24"/>
                <w:szCs w:val="24"/>
                <w:lang w:val="en-US" w:eastAsia="zh-CN" w:bidi="ar-SA"/>
              </w:rPr>
              <w:t>对外环境影响较小。</w:t>
            </w:r>
          </w:p>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3噪声</w:t>
            </w:r>
          </w:p>
          <w:p>
            <w:pPr>
              <w:spacing w:line="360" w:lineRule="auto"/>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项目施工机械主要为电锯、电钻等设备，其昼间噪声影响范围在50m范围内，由于本项目施工量期短，电锯、电钻等设备主要在厂房内使用，无振动型噪声源且项目夜间不施工，施工噪声经厂房隔声后影响较小，随着施工期结束施工噪声消失。为了进一步缓解高噪声设备可能扰民，环评要求选用低噪声施工机械，产生噪声的施工设备加强维护和维修工作，固定高噪声设备作业如材料切割等在车间内进行，尽量减轻施工噪声对周围声环境影响。另外，严禁夜间</w:t>
            </w:r>
            <w:r>
              <w:rPr>
                <w:rFonts w:hint="eastAsia" w:ascii="Times New Roman" w:hAnsi="Times New Roman" w:eastAsia="宋体" w:cs="Times New Roman"/>
                <w:color w:val="auto"/>
                <w:sz w:val="24"/>
                <w:szCs w:val="24"/>
                <w:lang w:val="en-US" w:eastAsia="zh-CN" w:bidi="ar-SA"/>
              </w:rPr>
              <w:t>（24</w:t>
            </w:r>
            <w:r>
              <w:rPr>
                <w:rFonts w:hint="default" w:ascii="Times New Roman" w:hAnsi="Times New Roman" w:eastAsia="宋体" w:cs="Times New Roman"/>
                <w:color w:val="auto"/>
                <w:sz w:val="24"/>
                <w:szCs w:val="24"/>
                <w:lang w:val="en-US" w:eastAsia="zh-CN" w:bidi="ar-SA"/>
              </w:rPr>
              <w:t>时至次日</w:t>
            </w:r>
            <w:r>
              <w:rPr>
                <w:rFonts w:hint="eastAsia" w:ascii="Times New Roman" w:hAnsi="Times New Roman" w:eastAsia="宋体" w:cs="Times New Roman"/>
                <w:color w:val="auto"/>
                <w:sz w:val="24"/>
                <w:szCs w:val="24"/>
                <w:lang w:val="en-US" w:eastAsia="zh-CN" w:bidi="ar-SA"/>
              </w:rPr>
              <w:t>8</w:t>
            </w:r>
            <w:r>
              <w:rPr>
                <w:rFonts w:hint="default" w:ascii="Times New Roman" w:hAnsi="Times New Roman" w:eastAsia="宋体" w:cs="Times New Roman"/>
                <w:color w:val="auto"/>
                <w:sz w:val="24"/>
                <w:szCs w:val="24"/>
                <w:lang w:val="en-US" w:eastAsia="zh-CN" w:bidi="ar-SA"/>
              </w:rPr>
              <w:t>时</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进行产生环境噪声污染的施工作业，高噪声设备施工尽量安排在白天进行，项目施工期产生的噪声对周边环境的影响较小。</w:t>
            </w:r>
          </w:p>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4固废</w:t>
            </w:r>
          </w:p>
          <w:p>
            <w:pPr>
              <w:spacing w:line="360" w:lineRule="auto"/>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本项目</w:t>
            </w:r>
            <w:r>
              <w:rPr>
                <w:rFonts w:hint="eastAsia" w:ascii="Times New Roman" w:hAnsi="Times New Roman" w:eastAsia="宋体" w:cs="Times New Roman"/>
                <w:color w:val="auto"/>
                <w:sz w:val="24"/>
                <w:szCs w:val="24"/>
                <w:lang w:val="en-US" w:eastAsia="zh-CN" w:bidi="ar-SA"/>
              </w:rPr>
              <w:t>固废主要为</w:t>
            </w:r>
            <w:r>
              <w:rPr>
                <w:rFonts w:hint="default" w:ascii="Times New Roman" w:hAnsi="Times New Roman" w:eastAsia="宋体" w:cs="Times New Roman"/>
                <w:color w:val="auto"/>
                <w:sz w:val="24"/>
                <w:szCs w:val="24"/>
                <w:lang w:val="en-US" w:eastAsia="zh-CN" w:bidi="ar-SA"/>
              </w:rPr>
              <w:t>设备安装产生的建筑垃圾及施工人员生活垃圾</w:t>
            </w:r>
            <w:r>
              <w:rPr>
                <w:rFonts w:hint="eastAsia" w:ascii="Times New Roman" w:hAnsi="Times New Roman" w:eastAsia="宋体" w:cs="Times New Roman"/>
                <w:color w:val="auto"/>
                <w:sz w:val="24"/>
                <w:szCs w:val="24"/>
                <w:lang w:eastAsia="zh-CN" w:bidi="ar-SA"/>
              </w:rPr>
              <w:t>。</w:t>
            </w:r>
            <w:r>
              <w:rPr>
                <w:rFonts w:hint="default" w:ascii="Times New Roman" w:hAnsi="Times New Roman" w:eastAsia="宋体" w:cs="Times New Roman"/>
                <w:color w:val="auto"/>
                <w:sz w:val="24"/>
                <w:szCs w:val="24"/>
                <w:lang w:val="en-US" w:eastAsia="zh-CN" w:bidi="ar-SA"/>
              </w:rPr>
              <w:t>建筑垃圾运往市政环卫部门指定地点堆放；生活垃圾交给环卫部门统一处理，对周围环境影响小。</w:t>
            </w:r>
          </w:p>
          <w:p>
            <w:pPr>
              <w:spacing w:line="360" w:lineRule="auto"/>
              <w:ind w:firstLine="440" w:firstLineChars="200"/>
              <w:jc w:val="both"/>
              <w:rPr>
                <w:rFonts w:hint="default" w:ascii="Times New Roman" w:hAnsi="Times New Roman" w:cs="Times New Roman"/>
                <w:bCs/>
                <w:color w:val="auto"/>
                <w:spacing w:val="-10"/>
                <w:sz w:val="24"/>
                <w:szCs w:val="24"/>
                <w:lang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6" w:hRule="atLeast"/>
          <w:jc w:val="center"/>
        </w:trPr>
        <w:tc>
          <w:tcPr>
            <w:tcW w:w="466"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szCs w:val="24"/>
                <w:lang w:bidi="ar-SA"/>
              </w:rPr>
            </w:pPr>
            <w:r>
              <w:rPr>
                <w:rFonts w:hint="default" w:ascii="Times New Roman" w:hAnsi="Times New Roman" w:cs="Times New Roman"/>
                <w:bCs/>
                <w:color w:val="auto"/>
                <w:sz w:val="24"/>
                <w:szCs w:val="24"/>
                <w:lang w:bidi="ar-SA"/>
              </w:rPr>
              <w:t>运营</w:t>
            </w:r>
          </w:p>
          <w:p>
            <w:pPr>
              <w:adjustRightInd w:val="0"/>
              <w:snapToGrid w:val="0"/>
              <w:jc w:val="center"/>
              <w:rPr>
                <w:rFonts w:hint="default" w:ascii="Times New Roman" w:hAnsi="Times New Roman" w:cs="Times New Roman"/>
                <w:bCs/>
                <w:color w:val="auto"/>
                <w:sz w:val="24"/>
                <w:szCs w:val="24"/>
                <w:lang w:bidi="ar-SA"/>
              </w:rPr>
            </w:pPr>
            <w:r>
              <w:rPr>
                <w:rFonts w:hint="default" w:ascii="Times New Roman" w:hAnsi="Times New Roman" w:cs="Times New Roman"/>
                <w:bCs/>
                <w:color w:val="auto"/>
                <w:sz w:val="24"/>
                <w:szCs w:val="24"/>
                <w:lang w:bidi="ar-SA"/>
              </w:rPr>
              <w:t>期环</w:t>
            </w:r>
          </w:p>
          <w:p>
            <w:pPr>
              <w:adjustRightInd w:val="0"/>
              <w:snapToGrid w:val="0"/>
              <w:jc w:val="center"/>
              <w:rPr>
                <w:rFonts w:hint="default" w:ascii="Times New Roman" w:hAnsi="Times New Roman" w:cs="Times New Roman"/>
                <w:bCs/>
                <w:color w:val="auto"/>
                <w:sz w:val="24"/>
                <w:szCs w:val="24"/>
                <w:lang w:bidi="ar-SA"/>
              </w:rPr>
            </w:pPr>
            <w:r>
              <w:rPr>
                <w:rFonts w:hint="default" w:ascii="Times New Roman" w:hAnsi="Times New Roman" w:cs="Times New Roman"/>
                <w:bCs/>
                <w:color w:val="auto"/>
                <w:sz w:val="24"/>
                <w:szCs w:val="24"/>
                <w:lang w:bidi="ar-SA"/>
              </w:rPr>
              <w:t>境影</w:t>
            </w:r>
          </w:p>
          <w:p>
            <w:pPr>
              <w:adjustRightInd w:val="0"/>
              <w:snapToGrid w:val="0"/>
              <w:jc w:val="center"/>
              <w:rPr>
                <w:rFonts w:hint="default" w:ascii="Times New Roman" w:hAnsi="Times New Roman" w:cs="Times New Roman"/>
                <w:bCs/>
                <w:color w:val="auto"/>
                <w:sz w:val="24"/>
                <w:szCs w:val="24"/>
                <w:lang w:bidi="ar-SA"/>
              </w:rPr>
            </w:pPr>
            <w:r>
              <w:rPr>
                <w:rFonts w:hint="default" w:ascii="Times New Roman" w:hAnsi="Times New Roman" w:cs="Times New Roman"/>
                <w:bCs/>
                <w:color w:val="auto"/>
                <w:sz w:val="24"/>
                <w:szCs w:val="24"/>
                <w:lang w:bidi="ar-SA"/>
              </w:rPr>
              <w:t>响和</w:t>
            </w:r>
          </w:p>
          <w:p>
            <w:pPr>
              <w:adjustRightInd w:val="0"/>
              <w:snapToGrid w:val="0"/>
              <w:jc w:val="center"/>
              <w:rPr>
                <w:rFonts w:hint="default" w:ascii="Times New Roman" w:hAnsi="Times New Roman" w:cs="Times New Roman"/>
                <w:bCs/>
                <w:color w:val="auto"/>
                <w:sz w:val="24"/>
                <w:szCs w:val="24"/>
                <w:lang w:bidi="ar-SA"/>
              </w:rPr>
            </w:pPr>
            <w:r>
              <w:rPr>
                <w:rFonts w:hint="default" w:ascii="Times New Roman" w:hAnsi="Times New Roman" w:cs="Times New Roman"/>
                <w:bCs/>
                <w:color w:val="auto"/>
                <w:sz w:val="24"/>
                <w:szCs w:val="24"/>
                <w:lang w:bidi="ar-SA"/>
              </w:rPr>
              <w:t>保护</w:t>
            </w:r>
          </w:p>
          <w:p>
            <w:pPr>
              <w:adjustRightInd w:val="0"/>
              <w:snapToGrid w:val="0"/>
              <w:jc w:val="center"/>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cs="Times New Roman"/>
                <w:bCs/>
                <w:color w:val="auto"/>
                <w:sz w:val="24"/>
                <w:szCs w:val="24"/>
                <w:lang w:bidi="ar-SA"/>
              </w:rPr>
              <w:t>措施</w:t>
            </w:r>
          </w:p>
        </w:tc>
        <w:tc>
          <w:tcPr>
            <w:tcW w:w="8442" w:type="dxa"/>
            <w:noWrap w:val="0"/>
            <w:vAlign w:val="center"/>
          </w:tcPr>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1废气</w:t>
            </w:r>
          </w:p>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1.1</w:t>
            </w:r>
            <w:r>
              <w:rPr>
                <w:rFonts w:hint="eastAsia" w:ascii="Times New Roman" w:hAnsi="Times New Roman" w:eastAsia="宋体" w:cs="Times New Roman"/>
                <w:b/>
                <w:bCs/>
                <w:color w:val="auto"/>
                <w:sz w:val="24"/>
                <w:szCs w:val="24"/>
                <w:lang w:val="en-US" w:eastAsia="zh-CN" w:bidi="ar-SA"/>
              </w:rPr>
              <w:t>产污环节及污染物治理措施</w:t>
            </w:r>
          </w:p>
          <w:p>
            <w:pPr>
              <w:spacing w:line="360" w:lineRule="auto"/>
              <w:ind w:firstLine="480" w:firstLineChars="200"/>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color w:val="auto"/>
                <w:sz w:val="24"/>
                <w:szCs w:val="24"/>
                <w:lang w:bidi="ar-SA"/>
              </w:rPr>
              <w:t>本项目产生的废气主要是</w:t>
            </w:r>
            <w:r>
              <w:rPr>
                <w:rFonts w:hint="default" w:ascii="Times New Roman" w:hAnsi="Times New Roman" w:eastAsia="宋体" w:cs="Times New Roman"/>
                <w:color w:val="auto"/>
                <w:sz w:val="24"/>
                <w:szCs w:val="24"/>
                <w:lang w:val="en-US" w:eastAsia="zh-CN" w:bidi="ar-SA"/>
              </w:rPr>
              <w:t>石英砂上料、玻璃钢产品切割</w:t>
            </w:r>
            <w:r>
              <w:rPr>
                <w:rFonts w:hint="eastAsia" w:ascii="Times New Roman" w:hAnsi="Times New Roman" w:cs="Times New Roman"/>
                <w:color w:val="auto"/>
                <w:sz w:val="24"/>
                <w:szCs w:val="24"/>
                <w:lang w:val="en-US" w:eastAsia="zh-CN" w:bidi="ar-SA"/>
              </w:rPr>
              <w:t>、打磨等</w:t>
            </w:r>
            <w:r>
              <w:rPr>
                <w:rFonts w:hint="default" w:ascii="Times New Roman" w:hAnsi="Times New Roman" w:eastAsia="宋体" w:cs="Times New Roman"/>
                <w:color w:val="auto"/>
                <w:sz w:val="24"/>
                <w:szCs w:val="24"/>
                <w:lang w:val="en-US" w:eastAsia="zh-CN" w:bidi="ar-SA"/>
              </w:rPr>
              <w:t>修整工序产生的颗粒物；内衬层制作、缠绕成型、固化工序产生的苯乙烯和非甲烷总烃</w:t>
            </w:r>
            <w:r>
              <w:rPr>
                <w:rFonts w:hint="eastAsia" w:ascii="Times New Roman" w:hAnsi="Times New Roman" w:eastAsia="宋体" w:cs="Times New Roman"/>
                <w:color w:val="auto"/>
                <w:sz w:val="24"/>
                <w:szCs w:val="24"/>
                <w:lang w:val="en-US" w:eastAsia="zh-CN" w:bidi="ar-SA"/>
              </w:rPr>
              <w:t>、臭气浓度；原料场装卸料及贮存产生的颗粒物</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w:t>
            </w:r>
            <w:r>
              <w:rPr>
                <w:rFonts w:hint="eastAsia" w:ascii="Times New Roman" w:hAnsi="Times New Roman" w:eastAsia="宋体" w:cs="Times New Roman"/>
                <w:b/>
                <w:bCs/>
                <w:color w:val="auto"/>
                <w:szCs w:val="21"/>
                <w:highlight w:val="none"/>
                <w:lang w:val="en-US" w:eastAsia="zh-CN"/>
              </w:rPr>
              <w:t xml:space="preserve">1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产污环节及治理措施</w:t>
            </w:r>
            <w:r>
              <w:rPr>
                <w:rFonts w:hint="default" w:ascii="Times New Roman" w:hAnsi="Times New Roman" w:eastAsia="宋体" w:cs="Times New Roman"/>
                <w:b/>
                <w:bCs/>
                <w:color w:val="auto"/>
                <w:szCs w:val="21"/>
                <w:highlight w:val="none"/>
              </w:rPr>
              <w:t>一览表</w:t>
            </w:r>
          </w:p>
          <w:tbl>
            <w:tblPr>
              <w:tblStyle w:val="31"/>
              <w:tblW w:w="83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11"/>
              <w:gridCol w:w="923"/>
              <w:gridCol w:w="875"/>
              <w:gridCol w:w="3386"/>
              <w:gridCol w:w="678"/>
              <w:gridCol w:w="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811"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产污环节</w:t>
                  </w:r>
                </w:p>
              </w:tc>
              <w:tc>
                <w:tcPr>
                  <w:tcW w:w="923"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污染物</w:t>
                  </w:r>
                </w:p>
              </w:tc>
              <w:tc>
                <w:tcPr>
                  <w:tcW w:w="875"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排放</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形式</w:t>
                  </w:r>
                </w:p>
              </w:tc>
              <w:tc>
                <w:tcPr>
                  <w:tcW w:w="3386"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0"/>
                      <w:szCs w:val="21"/>
                      <w:lang w:val="en-US" w:eastAsia="zh-CN"/>
                    </w:rPr>
                  </w:pPr>
                  <w:r>
                    <w:rPr>
                      <w:rFonts w:hint="eastAsia" w:ascii="Times New Roman" w:hAnsi="Times New Roman" w:eastAsia="宋体" w:cs="Times New Roman"/>
                      <w:b/>
                      <w:bCs w:val="0"/>
                      <w:color w:val="auto"/>
                      <w:spacing w:val="0"/>
                      <w:szCs w:val="21"/>
                      <w:lang w:val="en-US" w:eastAsia="zh-CN"/>
                    </w:rPr>
                    <w:t>污染防治技术</w:t>
                  </w:r>
                </w:p>
              </w:tc>
              <w:tc>
                <w:tcPr>
                  <w:tcW w:w="678"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0"/>
                      <w:szCs w:val="21"/>
                      <w:lang w:val="en-US" w:eastAsia="zh-CN"/>
                    </w:rPr>
                  </w:pPr>
                  <w:r>
                    <w:rPr>
                      <w:rFonts w:hint="eastAsia" w:ascii="Times New Roman" w:hAnsi="Times New Roman" w:eastAsia="宋体" w:cs="Times New Roman"/>
                      <w:b/>
                      <w:bCs w:val="0"/>
                      <w:color w:val="auto"/>
                      <w:spacing w:val="0"/>
                      <w:szCs w:val="21"/>
                      <w:lang w:val="en-US" w:eastAsia="zh-CN"/>
                    </w:rPr>
                    <w:t>排放口</w:t>
                  </w:r>
                </w:p>
              </w:tc>
              <w:tc>
                <w:tcPr>
                  <w:tcW w:w="700"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是否可行技术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1" w:type="dxa"/>
                  <w:vMerge w:val="restart"/>
                  <w:tcBorders>
                    <w:top w:val="single" w:color="auto" w:sz="12"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color w:val="auto"/>
                      <w:sz w:val="21"/>
                      <w:szCs w:val="21"/>
                      <w:lang w:eastAsia="zh-CN"/>
                    </w:rPr>
                    <w:t>石英砂上料、修整工序</w:t>
                  </w:r>
                </w:p>
              </w:tc>
              <w:tc>
                <w:tcPr>
                  <w:tcW w:w="923" w:type="dxa"/>
                  <w:vMerge w:val="restart"/>
                  <w:tcBorders>
                    <w:top w:val="single" w:color="auto" w:sz="12" w:space="0"/>
                    <w:tl2br w:val="nil"/>
                    <w:tr2bl w:val="nil"/>
                  </w:tcBorders>
                  <w:noWrap w:val="0"/>
                  <w:vAlign w:val="center"/>
                </w:tcPr>
                <w:p>
                  <w:pPr>
                    <w:spacing w:line="240" w:lineRule="auto"/>
                    <w:jc w:val="center"/>
                    <w:rPr>
                      <w:rFonts w:hint="default"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color w:val="auto"/>
                      <w:sz w:val="21"/>
                      <w:szCs w:val="21"/>
                      <w:lang w:eastAsia="zh-CN"/>
                    </w:rPr>
                    <w:t>颗粒物</w:t>
                  </w:r>
                </w:p>
              </w:tc>
              <w:tc>
                <w:tcPr>
                  <w:tcW w:w="875" w:type="dxa"/>
                  <w:tcBorders>
                    <w:top w:val="single" w:color="auto" w:sz="12"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有组织</w:t>
                  </w:r>
                </w:p>
              </w:tc>
              <w:tc>
                <w:tcPr>
                  <w:tcW w:w="3386" w:type="dxa"/>
                  <w:tcBorders>
                    <w:top w:val="single" w:color="auto" w:sz="12"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2个半封闭式集气罩+1套袋式除尘器+15m高排气筒（DA001）排放</w:t>
                  </w:r>
                </w:p>
              </w:tc>
              <w:tc>
                <w:tcPr>
                  <w:tcW w:w="678" w:type="dxa"/>
                  <w:tcBorders>
                    <w:top w:val="single" w:color="auto" w:sz="12"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szCs w:val="21"/>
                      <w:lang w:val="en-US" w:eastAsia="zh-CN"/>
                    </w:rPr>
                    <w:t>DA001</w:t>
                  </w:r>
                </w:p>
              </w:tc>
              <w:tc>
                <w:tcPr>
                  <w:tcW w:w="700" w:type="dxa"/>
                  <w:tcBorders>
                    <w:top w:val="single" w:color="auto" w:sz="12"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p>
              </w:tc>
              <w:tc>
                <w:tcPr>
                  <w:tcW w:w="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szCs w:val="21"/>
                      <w:lang w:val="en-US" w:eastAsia="zh-CN"/>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无组织</w:t>
                  </w:r>
                </w:p>
              </w:tc>
              <w:tc>
                <w:tcPr>
                  <w:tcW w:w="3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车间封闭</w:t>
                  </w:r>
                </w:p>
              </w:tc>
              <w:tc>
                <w:tcPr>
                  <w:tcW w:w="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w:t>
                  </w:r>
                </w:p>
              </w:tc>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cs="Times New Roman"/>
                      <w:color w:val="auto"/>
                      <w:sz w:val="21"/>
                      <w:szCs w:val="21"/>
                      <w:lang w:eastAsia="zh-CN"/>
                    </w:rPr>
                    <w:t>浸胶、缠绕、自然固化工序</w:t>
                  </w:r>
                </w:p>
              </w:tc>
              <w:tc>
                <w:tcPr>
                  <w:tcW w:w="923"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lang w:eastAsia="zh-CN"/>
                    </w:rPr>
                    <w:t>非甲烷总烃（苯乙烯）、臭气浓度</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有组织</w:t>
                  </w:r>
                </w:p>
              </w:tc>
              <w:tc>
                <w:tcPr>
                  <w:tcW w:w="3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8</w:t>
                  </w:r>
                  <w:r>
                    <w:rPr>
                      <w:rFonts w:hint="default" w:ascii="Times New Roman" w:hAnsi="Times New Roman" w:eastAsia="宋体" w:cs="Times New Roman"/>
                      <w:b w:val="0"/>
                      <w:bCs/>
                      <w:color w:val="auto"/>
                      <w:spacing w:val="0"/>
                      <w:szCs w:val="21"/>
                      <w:lang w:val="en-US" w:eastAsia="zh-CN"/>
                    </w:rPr>
                    <w:t>个半封闭式集气罩+1套活性炭吸附脱附+催化燃烧装置+15m高排气筒（DA002）排放</w:t>
                  </w:r>
                </w:p>
              </w:tc>
              <w:tc>
                <w:tcPr>
                  <w:tcW w:w="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DA002</w:t>
                  </w:r>
                </w:p>
              </w:tc>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p>
              </w:tc>
              <w:tc>
                <w:tcPr>
                  <w:tcW w:w="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无组织</w:t>
                  </w:r>
                </w:p>
              </w:tc>
              <w:tc>
                <w:tcPr>
                  <w:tcW w:w="3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加强废气收集的设备的维护和管理，设置排气扇</w:t>
                  </w:r>
                </w:p>
              </w:tc>
              <w:tc>
                <w:tcPr>
                  <w:tcW w:w="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color w:val="auto"/>
                      <w:spacing w:val="0"/>
                      <w:kern w:val="2"/>
                      <w:sz w:val="21"/>
                      <w:szCs w:val="21"/>
                      <w:lang w:val="en-US" w:eastAsia="zh-CN" w:bidi="ar-SA"/>
                    </w:rPr>
                    <w:t>/</w:t>
                  </w:r>
                </w:p>
              </w:tc>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color w:val="auto"/>
                      <w:spacing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原料场装卸料及贮存</w:t>
                  </w:r>
                </w:p>
              </w:tc>
              <w:tc>
                <w:tcPr>
                  <w:tcW w:w="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颗粒物</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无组织</w:t>
                  </w:r>
                </w:p>
              </w:tc>
              <w:tc>
                <w:tcPr>
                  <w:tcW w:w="3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车间封闭，产生量很少</w:t>
                  </w:r>
                </w:p>
              </w:tc>
              <w:tc>
                <w:tcPr>
                  <w:tcW w:w="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w:t>
                  </w:r>
                </w:p>
              </w:tc>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0"/>
                      <w:szCs w:val="21"/>
                      <w:lang w:val="en-US" w:eastAsia="zh-CN"/>
                    </w:rPr>
                  </w:pPr>
                  <w:r>
                    <w:rPr>
                      <w:rFonts w:hint="eastAsia" w:ascii="Times New Roman" w:hAnsi="Times New Roman" w:eastAsia="宋体" w:cs="Times New Roman"/>
                      <w:b w:val="0"/>
                      <w:bCs/>
                      <w:color w:val="auto"/>
                      <w:spacing w:val="0"/>
                      <w:szCs w:val="21"/>
                      <w:lang w:val="en-US" w:eastAsia="zh-CN"/>
                    </w:rPr>
                    <w:t>是</w:t>
                  </w:r>
                </w:p>
              </w:tc>
            </w:tr>
          </w:tbl>
          <w:p>
            <w:pPr>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1.1.1颗粒物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本项目使用的石英砂购入成品，本身含尘量较少，石英砂从入料口进入料仓后由螺旋输送管道送至夹砂带，产尘节点主要位于石英砂入料口处和修整工序。颗粒物产生量参照《排放源统计调查产排污核算方法和系数手册》中3062玻璃纤维增强塑料制品制造行业系数表，缠绕工艺生产玻璃纤维复合材料产污系数（工业废气量：6500Nm</w:t>
            </w:r>
            <w:r>
              <w:rPr>
                <w:rFonts w:hint="eastAsia" w:cs="Times New Roman"/>
                <w:color w:val="auto"/>
                <w:sz w:val="24"/>
                <w:vertAlign w:val="superscript"/>
                <w:lang w:val="en-US" w:eastAsia="zh-CN"/>
              </w:rPr>
              <w:t>3</w:t>
            </w:r>
            <w:r>
              <w:rPr>
                <w:rFonts w:hint="eastAsia" w:cs="Times New Roman"/>
                <w:color w:val="auto"/>
                <w:sz w:val="24"/>
                <w:lang w:val="en-US" w:eastAsia="zh-CN"/>
              </w:rPr>
              <w:t>/t-产品；颗粒物：3.5kg/t-产品）。本项目年生产玻璃钢制品11500t/a（其中玻璃钢夹砂管道8000t、玻璃钢化工设备（储罐等）3500t），经计算，该工序废气量为7475万Nm</w:t>
            </w:r>
            <w:r>
              <w:rPr>
                <w:rFonts w:hint="eastAsia" w:cs="Times New Roman"/>
                <w:color w:val="auto"/>
                <w:sz w:val="24"/>
                <w:vertAlign w:val="superscript"/>
                <w:lang w:val="en-US" w:eastAsia="zh-CN"/>
              </w:rPr>
              <w:t>3</w:t>
            </w:r>
            <w:r>
              <w:rPr>
                <w:rFonts w:hint="eastAsia" w:cs="Times New Roman"/>
                <w:color w:val="auto"/>
                <w:sz w:val="24"/>
                <w:lang w:val="en-US" w:eastAsia="zh-CN"/>
              </w:rPr>
              <w:t>/a，产生的颗粒物量为40.25t/a。</w:t>
            </w:r>
          </w:p>
          <w:p>
            <w:pPr>
              <w:spacing w:line="360" w:lineRule="auto"/>
              <w:ind w:firstLine="480" w:firstLineChars="200"/>
              <w:rPr>
                <w:rFonts w:hint="default" w:ascii="Times New Roman" w:hAnsi="Times New Roman" w:cs="Times New Roman"/>
                <w:color w:val="auto"/>
                <w:sz w:val="24"/>
                <w:lang w:val="en-US" w:eastAsia="zh-CN"/>
              </w:rPr>
            </w:pPr>
            <w:r>
              <w:rPr>
                <w:rFonts w:hint="eastAsia" w:cs="Times New Roman"/>
                <w:color w:val="auto"/>
                <w:sz w:val="24"/>
                <w:lang w:val="en-US" w:eastAsia="zh-CN"/>
              </w:rPr>
              <w:t>项目在石英砂入料口上方和修整工序处设置半封闭集气罩集气率95%（石英砂入料口上方、修整工序上方各一个集气罩，共计2个），</w:t>
            </w:r>
            <w:r>
              <w:rPr>
                <w:rFonts w:hint="eastAsia" w:ascii="Times New Roman" w:hAnsi="Times New Roman" w:eastAsia="宋体" w:cs="Times New Roman"/>
                <w:b w:val="0"/>
                <w:bCs w:val="0"/>
                <w:color w:val="auto"/>
                <w:spacing w:val="-2"/>
                <w:sz w:val="24"/>
                <w:szCs w:val="24"/>
                <w:highlight w:val="none"/>
                <w:lang w:val="en-US" w:eastAsia="zh-CN"/>
              </w:rPr>
              <w:t>收集到的颗粒物经风管引到1套布袋除尘装置进行除尘处理</w:t>
            </w:r>
            <w:r>
              <w:rPr>
                <w:rFonts w:hint="default" w:ascii="Times New Roman" w:hAnsi="Times New Roman" w:cs="Times New Roman"/>
                <w:color w:val="auto"/>
                <w:sz w:val="24"/>
                <w:lang w:val="en-US" w:eastAsia="zh-CN"/>
              </w:rPr>
              <w:t>，处理后的气体通过</w:t>
            </w:r>
            <w:r>
              <w:rPr>
                <w:rFonts w:hint="eastAsia" w:ascii="Times New Roman" w:hAnsi="Times New Roman" w:cs="Times New Roman"/>
                <w:color w:val="auto"/>
                <w:sz w:val="24"/>
                <w:lang w:val="en-US" w:eastAsia="zh-CN"/>
              </w:rPr>
              <w:t>一根</w:t>
            </w:r>
            <w:r>
              <w:rPr>
                <w:rFonts w:hint="default" w:ascii="Times New Roman" w:hAnsi="Times New Roman" w:cs="Times New Roman"/>
                <w:color w:val="auto"/>
                <w:sz w:val="24"/>
                <w:lang w:val="en-US" w:eastAsia="zh-CN"/>
              </w:rPr>
              <w:t>15m高的排气筒（</w:t>
            </w:r>
            <w:r>
              <w:rPr>
                <w:rFonts w:hint="eastAsia" w:ascii="Times New Roman" w:hAnsi="Times New Roman" w:cs="Times New Roman"/>
                <w:color w:val="auto"/>
                <w:sz w:val="24"/>
                <w:lang w:val="en-US" w:eastAsia="zh-CN"/>
              </w:rPr>
              <w:t>DA00</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）高空排放。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收集的颗粒物量为38.24t/a，</w:t>
            </w:r>
            <w:r>
              <w:rPr>
                <w:rFonts w:hint="eastAsia" w:ascii="Times New Roman" w:hAnsi="Times New Roman" w:eastAsia="宋体" w:cs="Times New Roman"/>
                <w:b w:val="0"/>
                <w:bCs w:val="0"/>
                <w:color w:val="auto"/>
                <w:spacing w:val="-2"/>
                <w:sz w:val="24"/>
                <w:szCs w:val="24"/>
                <w:highlight w:val="none"/>
                <w:lang w:val="en-US" w:eastAsia="zh-CN"/>
              </w:rPr>
              <w:t>布袋除尘器</w:t>
            </w:r>
            <w:r>
              <w:rPr>
                <w:rFonts w:hint="eastAsia" w:ascii="Times New Roman" w:hAnsi="Times New Roman" w:eastAsia="宋体" w:cs="Times New Roman"/>
                <w:color w:val="auto"/>
                <w:sz w:val="24"/>
                <w:szCs w:val="24"/>
                <w:lang w:val="en-US" w:eastAsia="zh-CN"/>
              </w:rPr>
              <w:t>颗粒物去除效率达99%</w:t>
            </w:r>
            <w:r>
              <w:rPr>
                <w:rFonts w:hint="eastAsia" w:ascii="Times New Roman" w:hAnsi="Times New Roman" w:eastAsia="宋体" w:cs="Times New Roman"/>
                <w:b w:val="0"/>
                <w:bCs w:val="0"/>
                <w:color w:val="auto"/>
                <w:spacing w:val="-2"/>
                <w:sz w:val="24"/>
                <w:szCs w:val="24"/>
                <w:highlight w:val="none"/>
                <w:lang w:val="en-US" w:eastAsia="zh-CN"/>
              </w:rPr>
              <w:t>，则颗粒物经收集和布袋除尘装置处理后，有组织排放量约为0.382t/a，</w:t>
            </w:r>
            <w:r>
              <w:rPr>
                <w:rFonts w:hint="eastAsia" w:ascii="Times New Roman" w:hAnsi="Times New Roman" w:eastAsia="宋体" w:cs="Times New Roman"/>
                <w:b w:val="0"/>
                <w:bCs w:val="0"/>
                <w:color w:val="auto"/>
                <w:sz w:val="24"/>
                <w:szCs w:val="24"/>
                <w:lang w:val="en-US" w:eastAsia="zh-CN" w:bidi="ar-SA"/>
              </w:rPr>
              <w:t>项目生产时间为</w:t>
            </w:r>
            <w:r>
              <w:rPr>
                <w:rFonts w:hint="eastAsia" w:ascii="Times New Roman" w:eastAsia="宋体"/>
                <w:bCs/>
                <w:color w:val="auto"/>
                <w:sz w:val="24"/>
                <w:szCs w:val="24"/>
                <w:vertAlign w:val="baseline"/>
                <w:lang w:val="en-US" w:eastAsia="zh-CN"/>
              </w:rPr>
              <w:t>一年240天，每天8小时，有组织排放速率为0.199kg/h</w:t>
            </w:r>
            <w:r>
              <w:rPr>
                <w:rFonts w:hint="eastAsia" w:ascii="Times New Roman" w:hAnsi="Times New Roman" w:cs="Times New Roman"/>
                <w:color w:val="auto"/>
                <w:sz w:val="24"/>
                <w:lang w:val="en-US" w:eastAsia="zh-CN"/>
              </w:rPr>
              <w:t>，颗粒物</w:t>
            </w:r>
            <w:r>
              <w:rPr>
                <w:rFonts w:hint="eastAsia" w:cs="Times New Roman"/>
                <w:color w:val="auto"/>
                <w:sz w:val="24"/>
                <w:szCs w:val="24"/>
                <w:lang w:val="en-US" w:eastAsia="zh-CN" w:bidi="ar-SA"/>
              </w:rPr>
              <w:t>排放浓度为5.11mg/m</w:t>
            </w:r>
            <w:r>
              <w:rPr>
                <w:rFonts w:hint="eastAsia" w:cs="Times New Roman"/>
                <w:color w:val="auto"/>
                <w:sz w:val="24"/>
                <w:szCs w:val="24"/>
                <w:vertAlign w:val="superscript"/>
                <w:lang w:val="en-US" w:eastAsia="zh-CN" w:bidi="ar-SA"/>
              </w:rPr>
              <w:t>3</w:t>
            </w:r>
            <w:r>
              <w:rPr>
                <w:rFonts w:hint="eastAsia" w:cs="Times New Roman"/>
                <w:color w:val="auto"/>
                <w:sz w:val="24"/>
                <w:lang w:val="en-US" w:eastAsia="zh-CN"/>
              </w:rPr>
              <w:t>。</w:t>
            </w:r>
            <w:r>
              <w:rPr>
                <w:rFonts w:hint="default" w:ascii="Times New Roman" w:hAnsi="Times New Roman" w:cs="Times New Roman"/>
                <w:color w:val="auto"/>
                <w:sz w:val="24"/>
                <w:lang w:val="en-US" w:eastAsia="zh-CN"/>
              </w:rPr>
              <w:t>排放浓度满足《合成树脂工业污染物排放标准》（GB31572-2015）中表5大气污染物特别排放标准</w:t>
            </w:r>
            <w:r>
              <w:rPr>
                <w:rFonts w:hint="eastAsia" w:cs="Times New Roman"/>
                <w:color w:val="auto"/>
                <w:sz w:val="24"/>
                <w:szCs w:val="24"/>
                <w:lang w:val="en-US" w:eastAsia="zh-CN" w:bidi="ar-SA"/>
              </w:rPr>
              <w:t>（颗粒物：20mg/m</w:t>
            </w:r>
            <w:r>
              <w:rPr>
                <w:rFonts w:hint="eastAsia" w:cs="Times New Roman"/>
                <w:color w:val="auto"/>
                <w:sz w:val="24"/>
                <w:szCs w:val="24"/>
                <w:vertAlign w:val="superscript"/>
                <w:lang w:val="en-US" w:eastAsia="zh-CN" w:bidi="ar-SA"/>
              </w:rPr>
              <w:t>3</w:t>
            </w:r>
            <w:r>
              <w:rPr>
                <w:rFonts w:hint="eastAsia" w:cs="Times New Roman"/>
                <w:color w:val="auto"/>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颗粒物经收集后散逸的为2.01t/a（5%），在车间呈无组织排放，此部分颗粒物具有粒径大、自然沉降性能好等特点，主要沉降在车间内设备附近2m范围内（80%车间自然沉降1.608t/a，20%排入大气中0.402t/a</w:t>
            </w:r>
            <w:r>
              <w:rPr>
                <w:rFonts w:hint="eastAsia" w:cs="Times New Roman"/>
                <w:color w:val="auto"/>
                <w:sz w:val="24"/>
                <w:szCs w:val="24"/>
                <w:lang w:val="en-US" w:eastAsia="zh-CN" w:bidi="ar-SA"/>
              </w:rPr>
              <w:t>，排放速率为</w:t>
            </w:r>
            <w:r>
              <w:rPr>
                <w:rFonts w:hint="eastAsia" w:ascii="Times New Roman" w:hAnsi="Times New Roman" w:eastAsia="宋体" w:cs="Times New Roman"/>
                <w:color w:val="auto"/>
                <w:sz w:val="24"/>
                <w:szCs w:val="24"/>
                <w:lang w:val="en-US" w:eastAsia="zh-CN"/>
              </w:rPr>
              <w:t>0.209kg/h</w:t>
            </w:r>
            <w:r>
              <w:rPr>
                <w:rFonts w:hint="eastAsia" w:cs="Times New Roman"/>
                <w:color w:val="auto"/>
                <w:sz w:val="24"/>
                <w:lang w:val="en-US" w:eastAsia="zh-CN"/>
              </w:rPr>
              <w:t>）。建议建设单位在车间设置排风扇，员工佩戴口罩等措施来减少颗粒物对周围环境及工作人员的影响。</w:t>
            </w:r>
          </w:p>
          <w:p>
            <w:pPr>
              <w:spacing w:line="360" w:lineRule="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1.1.2有机废气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根据类比同类工艺以及查找相关资料，不饱和树脂的固化是线性大分子通过交联剂的作用，形成体型立体网络过程，但是固化过程并不能消耗树脂中全部活性双键而达到100%的固化度。根据原料成分和生产工艺，本项目产生的有机废气污染源强主要为苯乙烯和非甲烷总烃，不饱和树脂中苯乙烯和烃类物质约占20%（其中苯乙烯占总烃类物质占比约1.5%）。由于树脂中含有不饱和键，生产过程中会存在苯乙烯和烃类物质单体逸出。根据《空气污染物排放和控制手册》（美国国家环保局）资料中推荐的公示和项目建成后的实际使用量计算非甲烷总烃排放量，该手册认为在无控制措施时，非甲烷总烃的排放系数为0.35kg/t原料，项目不饱和聚酯树脂使用量为2875t/a，则本项目非甲烷总烃产生量为1.006t/a（其中苯乙烯0.0151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lang w:val="en-US" w:eastAsia="zh-CN"/>
              </w:rPr>
              <w:t>项目生产线全部位于密闭车间内，不饱和树脂、促进剂、固化剂通过液体泵和管道直接从原料桶内送入密闭搅拌罐内混合，此过程在密闭环境内进行，项目在有机废气产生工序浸胶、缠绕、自然固化上方设置半封闭集气罩收集效率95%（管道生产胶槽上方设计1个集气罩，玻璃钢化工设备（储罐等）生产胶槽上方设计1个集气罩，缠绕机上方设计2个集气罩、固化区上方设计4个集气罩，共计8个集气罩），</w:t>
            </w:r>
            <w:r>
              <w:rPr>
                <w:rFonts w:hint="default" w:ascii="Times New Roman" w:hAnsi="Times New Roman" w:cs="Times New Roman"/>
                <w:color w:val="auto"/>
                <w:sz w:val="24"/>
                <w:lang w:val="en-US" w:eastAsia="zh-CN"/>
              </w:rPr>
              <w:t>收集后的废气通过管道</w:t>
            </w:r>
            <w:r>
              <w:rPr>
                <w:rFonts w:hint="eastAsia" w:ascii="Times New Roman" w:hAnsi="Times New Roman" w:cs="Times New Roman"/>
                <w:color w:val="auto"/>
                <w:sz w:val="24"/>
                <w:lang w:val="en-US" w:eastAsia="zh-CN"/>
              </w:rPr>
              <w:t>收集送至1套活性炭吸附脱附+催化燃烧装置</w:t>
            </w:r>
            <w:r>
              <w:rPr>
                <w:rFonts w:hint="default" w:ascii="Times New Roman" w:hAnsi="Times New Roman" w:cs="Times New Roman"/>
                <w:color w:val="auto"/>
                <w:sz w:val="24"/>
                <w:lang w:val="en-US" w:eastAsia="zh-CN"/>
              </w:rPr>
              <w:t>处理</w:t>
            </w:r>
            <w:r>
              <w:rPr>
                <w:rFonts w:hint="eastAsia" w:cs="Times New Roman"/>
                <w:color w:val="auto"/>
                <w:sz w:val="24"/>
                <w:szCs w:val="24"/>
                <w:lang w:val="en-US" w:eastAsia="zh-CN" w:bidi="ar-SA"/>
              </w:rPr>
              <w:t>后，再经一根15m高（</w:t>
            </w:r>
            <w:r>
              <w:rPr>
                <w:rFonts w:hint="default" w:ascii="Times New Roman" w:hAnsi="Times New Roman" w:eastAsia="宋体" w:cs="Times New Roman"/>
                <w:color w:val="auto"/>
                <w:sz w:val="24"/>
                <w:szCs w:val="24"/>
                <w:lang w:val="en-US" w:eastAsia="zh-CN"/>
              </w:rPr>
              <w:t>DA00</w:t>
            </w:r>
            <w:r>
              <w:rPr>
                <w:rFonts w:hint="eastAsia"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rPr>
              <w:t>排气筒</w:t>
            </w:r>
            <w:r>
              <w:rPr>
                <w:rFonts w:hint="eastAsia" w:ascii="Times New Roman" w:hAnsi="Times New Roman" w:eastAsia="宋体" w:cs="Times New Roman"/>
                <w:color w:val="auto"/>
                <w:sz w:val="24"/>
                <w:szCs w:val="24"/>
                <w:lang w:val="en-US" w:eastAsia="zh-CN"/>
              </w:rPr>
              <w:t>高空</w:t>
            </w:r>
            <w:r>
              <w:rPr>
                <w:rFonts w:hint="default" w:ascii="Times New Roman" w:hAnsi="Times New Roman" w:eastAsia="宋体" w:cs="Times New Roman"/>
                <w:color w:val="auto"/>
                <w:sz w:val="24"/>
                <w:szCs w:val="24"/>
                <w:lang w:val="en-US" w:eastAsia="zh-CN"/>
              </w:rPr>
              <w:t>排放。</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lang w:val="en-US" w:eastAsia="zh-CN"/>
              </w:rPr>
              <w:t>非甲烷总烃收集量为0.956t/a（苯乙烯0.0143t/a），根据《工业源挥发性有机物通用源项产排污核算系数手册》表9中末端治理效率可知，活性炭吸附（处理效率21%）+催化燃烧（处理效率48%）装置处理，综合处理效率59%，则本项目有机废气</w:t>
            </w:r>
            <w:r>
              <w:rPr>
                <w:rFonts w:hint="eastAsia" w:ascii="Times New Roman" w:hAnsi="Times New Roman" w:eastAsia="宋体" w:cs="Times New Roman"/>
                <w:b w:val="0"/>
                <w:bCs w:val="0"/>
                <w:color w:val="auto"/>
                <w:spacing w:val="-2"/>
                <w:sz w:val="24"/>
                <w:szCs w:val="24"/>
                <w:highlight w:val="none"/>
                <w:lang w:val="en-US" w:eastAsia="zh-CN"/>
              </w:rPr>
              <w:t>经收集和</w:t>
            </w:r>
            <w:r>
              <w:rPr>
                <w:rFonts w:hint="eastAsia" w:ascii="Times New Roman" w:hAnsi="Times New Roman" w:cs="Times New Roman"/>
                <w:color w:val="auto"/>
                <w:sz w:val="24"/>
                <w:lang w:val="en-US" w:eastAsia="zh-CN"/>
              </w:rPr>
              <w:t>活性炭吸附脱附+催化燃烧装置</w:t>
            </w:r>
            <w:r>
              <w:rPr>
                <w:rFonts w:hint="eastAsia" w:ascii="Times New Roman" w:hAnsi="Times New Roman" w:eastAsia="宋体" w:cs="Times New Roman"/>
                <w:b w:val="0"/>
                <w:bCs w:val="0"/>
                <w:color w:val="auto"/>
                <w:spacing w:val="-2"/>
                <w:sz w:val="24"/>
                <w:szCs w:val="24"/>
                <w:highlight w:val="none"/>
                <w:lang w:val="en-US" w:eastAsia="zh-CN"/>
              </w:rPr>
              <w:t>处理后，非甲烷总烃有组织排放量约为0.392t/a（单位产品非甲烷总烃排放量：0.034kg/t），</w:t>
            </w:r>
            <w:r>
              <w:rPr>
                <w:rFonts w:hint="eastAsia" w:ascii="Times New Roman" w:hAnsi="Times New Roman" w:eastAsia="宋体" w:cs="Times New Roman"/>
                <w:b w:val="0"/>
                <w:bCs w:val="0"/>
                <w:color w:val="auto"/>
                <w:sz w:val="24"/>
                <w:szCs w:val="24"/>
                <w:lang w:val="en-US" w:eastAsia="zh-CN" w:bidi="ar-SA"/>
              </w:rPr>
              <w:t>项目生产时间为</w:t>
            </w:r>
            <w:r>
              <w:rPr>
                <w:rFonts w:hint="eastAsia" w:ascii="Times New Roman" w:eastAsia="宋体"/>
                <w:bCs/>
                <w:color w:val="auto"/>
                <w:sz w:val="24"/>
                <w:szCs w:val="24"/>
                <w:vertAlign w:val="baseline"/>
                <w:lang w:val="en-US" w:eastAsia="zh-CN"/>
              </w:rPr>
              <w:t>一年240天，每天8小时，</w:t>
            </w:r>
            <w:r>
              <w:rPr>
                <w:rFonts w:hint="default" w:ascii="Times New Roman" w:hAnsi="Times New Roman" w:cs="Times New Roman"/>
                <w:color w:val="auto"/>
                <w:sz w:val="24"/>
                <w:lang w:val="en-US" w:eastAsia="zh-CN"/>
              </w:rPr>
              <w:t>非甲烷总烃</w:t>
            </w:r>
            <w:r>
              <w:rPr>
                <w:rFonts w:hint="eastAsia" w:cs="Times New Roman"/>
                <w:color w:val="auto"/>
                <w:sz w:val="24"/>
                <w:szCs w:val="24"/>
                <w:lang w:val="en-US" w:eastAsia="zh-CN" w:bidi="ar-SA"/>
              </w:rPr>
              <w:t>有组织排放速率为0.204kg/h</w:t>
            </w:r>
            <w:r>
              <w:rPr>
                <w:rFonts w:hint="eastAsia" w:ascii="Times New Roman" w:eastAsia="宋体"/>
                <w:bCs/>
                <w:color w:val="auto"/>
                <w:sz w:val="24"/>
                <w:szCs w:val="24"/>
                <w:vertAlign w:val="baseline"/>
                <w:lang w:val="en-US" w:eastAsia="zh-CN"/>
              </w:rPr>
              <w:t>，集气罩</w:t>
            </w:r>
            <w:r>
              <w:rPr>
                <w:rFonts w:hint="default" w:ascii="Times New Roman" w:hAnsi="Times New Roman" w:cs="Times New Roman"/>
                <w:color w:val="auto"/>
                <w:sz w:val="24"/>
                <w:lang w:val="en-US" w:eastAsia="zh-CN"/>
              </w:rPr>
              <w:t>设计</w:t>
            </w:r>
            <w:r>
              <w:rPr>
                <w:rFonts w:hint="eastAsia" w:ascii="Times New Roman" w:hAnsi="Times New Roman" w:cs="Times New Roman"/>
                <w:color w:val="auto"/>
                <w:sz w:val="24"/>
                <w:lang w:val="en-US" w:eastAsia="zh-CN"/>
              </w:rPr>
              <w:t>总</w:t>
            </w:r>
            <w:r>
              <w:rPr>
                <w:rFonts w:hint="default" w:ascii="Times New Roman" w:hAnsi="Times New Roman" w:cs="Times New Roman"/>
                <w:color w:val="auto"/>
                <w:sz w:val="24"/>
                <w:lang w:val="en-US" w:eastAsia="zh-CN"/>
              </w:rPr>
              <w:t>排风量为</w:t>
            </w:r>
            <w:r>
              <w:rPr>
                <w:rFonts w:hint="eastAsia" w:ascii="Times New Roman" w:hAnsi="Times New Roman" w:cs="Times New Roman"/>
                <w:color w:val="auto"/>
                <w:sz w:val="24"/>
                <w:lang w:val="en-US" w:eastAsia="zh-CN"/>
              </w:rPr>
              <w:t>8000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/h</w:t>
            </w:r>
            <w:r>
              <w:rPr>
                <w:rFonts w:hint="eastAsia" w:ascii="Times New Roman" w:hAnsi="Times New Roman" w:cs="Times New Roman"/>
                <w:color w:val="auto"/>
                <w:sz w:val="24"/>
                <w:lang w:val="en-US" w:eastAsia="zh-CN"/>
              </w:rPr>
              <w:t>，</w:t>
            </w:r>
            <w:r>
              <w:rPr>
                <w:rFonts w:hint="eastAsia" w:cs="Times New Roman"/>
                <w:color w:val="auto"/>
                <w:sz w:val="24"/>
                <w:szCs w:val="24"/>
                <w:lang w:val="en-US" w:eastAsia="zh-CN" w:bidi="ar-SA"/>
              </w:rPr>
              <w:t>排放浓度为25.5mg/m</w:t>
            </w:r>
            <w:r>
              <w:rPr>
                <w:rFonts w:hint="eastAsia" w:cs="Times New Roman"/>
                <w:color w:val="auto"/>
                <w:sz w:val="24"/>
                <w:szCs w:val="24"/>
                <w:vertAlign w:val="superscript"/>
                <w:lang w:val="en-US" w:eastAsia="zh-CN" w:bidi="ar-SA"/>
              </w:rPr>
              <w:t>3</w:t>
            </w:r>
            <w:r>
              <w:rPr>
                <w:rFonts w:hint="eastAsia" w:cs="Times New Roman"/>
                <w:color w:val="auto"/>
                <w:sz w:val="24"/>
                <w:lang w:val="en-US" w:eastAsia="zh-CN"/>
              </w:rPr>
              <w:t>（其中苯乙烯排放量为0.0059t/a，排放速率为0.0031</w:t>
            </w:r>
            <w:r>
              <w:rPr>
                <w:rFonts w:hint="eastAsia" w:cs="Times New Roman"/>
                <w:color w:val="auto"/>
                <w:sz w:val="24"/>
                <w:szCs w:val="24"/>
                <w:lang w:val="en-US" w:eastAsia="zh-CN" w:bidi="ar-SA"/>
              </w:rPr>
              <w:t>kg/h</w:t>
            </w:r>
            <w:r>
              <w:rPr>
                <w:rFonts w:hint="eastAsia" w:ascii="Times New Roman" w:eastAsia="宋体"/>
                <w:bCs/>
                <w:color w:val="auto"/>
                <w:sz w:val="24"/>
                <w:szCs w:val="24"/>
                <w:vertAlign w:val="baseline"/>
                <w:lang w:val="en-US" w:eastAsia="zh-CN"/>
              </w:rPr>
              <w:t>，</w:t>
            </w:r>
            <w:r>
              <w:rPr>
                <w:rFonts w:hint="eastAsia" w:cs="Times New Roman"/>
                <w:color w:val="auto"/>
                <w:sz w:val="24"/>
                <w:lang w:val="en-US" w:eastAsia="zh-CN"/>
              </w:rPr>
              <w:t>排放浓度0.39mg/m</w:t>
            </w:r>
            <w:r>
              <w:rPr>
                <w:rFonts w:hint="eastAsia" w:cs="Times New Roman"/>
                <w:color w:val="auto"/>
                <w:sz w:val="24"/>
                <w:vertAlign w:val="superscript"/>
                <w:lang w:val="en-US" w:eastAsia="zh-CN"/>
              </w:rPr>
              <w:t>3</w:t>
            </w:r>
            <w:r>
              <w:rPr>
                <w:rFonts w:hint="eastAsia" w:cs="Times New Roman"/>
                <w:color w:val="auto"/>
                <w:sz w:val="24"/>
                <w:lang w:val="en-US" w:eastAsia="zh-CN"/>
              </w:rPr>
              <w:t>）</w:t>
            </w:r>
            <w:r>
              <w:rPr>
                <w:rFonts w:hint="eastAsia" w:cs="Times New Roman"/>
                <w:color w:val="auto"/>
                <w:sz w:val="24"/>
                <w:szCs w:val="24"/>
                <w:lang w:val="en-US" w:eastAsia="zh-CN" w:bidi="ar-SA"/>
              </w:rPr>
              <w:t>，</w:t>
            </w:r>
            <w:r>
              <w:rPr>
                <w:rFonts w:hint="default" w:ascii="Times New Roman" w:hAnsi="Times New Roman" w:cs="Times New Roman"/>
                <w:color w:val="auto"/>
                <w:sz w:val="24"/>
                <w:lang w:val="en-US" w:eastAsia="zh-CN"/>
              </w:rPr>
              <w:t>排放浓度满足《合成树脂工业污染物排放标准》（GB31572-2015）中表5大气污染物特别排放标准</w:t>
            </w:r>
            <w:r>
              <w:rPr>
                <w:rFonts w:hint="eastAsia" w:cs="Times New Roman"/>
                <w:color w:val="auto"/>
                <w:sz w:val="24"/>
                <w:szCs w:val="24"/>
                <w:lang w:val="en-US" w:eastAsia="zh-CN" w:bidi="ar-SA"/>
              </w:rPr>
              <w:t>（非甲烷总烃：60mg/m</w:t>
            </w:r>
            <w:r>
              <w:rPr>
                <w:rFonts w:hint="eastAsia" w:cs="Times New Roman"/>
                <w:color w:val="auto"/>
                <w:sz w:val="24"/>
                <w:szCs w:val="24"/>
                <w:vertAlign w:val="superscript"/>
                <w:lang w:val="en-US" w:eastAsia="zh-CN" w:bidi="ar-SA"/>
              </w:rPr>
              <w:t>3</w:t>
            </w:r>
            <w:r>
              <w:rPr>
                <w:rFonts w:hint="eastAsia" w:cs="Times New Roman"/>
                <w:color w:val="auto"/>
                <w:sz w:val="24"/>
                <w:szCs w:val="24"/>
                <w:vertAlign w:val="baseline"/>
                <w:lang w:val="en-US" w:eastAsia="zh-CN"/>
              </w:rPr>
              <w:t>，苯乙烯：20</w:t>
            </w:r>
            <w:r>
              <w:rPr>
                <w:rFonts w:hint="eastAsia" w:cs="Times New Roman"/>
                <w:color w:val="auto"/>
                <w:sz w:val="24"/>
                <w:szCs w:val="24"/>
                <w:lang w:val="en-US" w:eastAsia="zh-CN" w:bidi="ar-SA"/>
              </w:rPr>
              <w:t>mg/m</w:t>
            </w:r>
            <w:r>
              <w:rPr>
                <w:rFonts w:hint="eastAsia" w:cs="Times New Roman"/>
                <w:color w:val="auto"/>
                <w:sz w:val="24"/>
                <w:szCs w:val="24"/>
                <w:vertAlign w:val="superscript"/>
                <w:lang w:val="en-US" w:eastAsia="zh-CN" w:bidi="ar-SA"/>
              </w:rPr>
              <w:t>3</w:t>
            </w:r>
            <w:r>
              <w:rPr>
                <w:rFonts w:hint="eastAsia" w:cs="Times New Roman"/>
                <w:color w:val="auto"/>
                <w:sz w:val="24"/>
                <w:szCs w:val="24"/>
                <w:vertAlign w:val="baseline"/>
                <w:lang w:val="en-US" w:eastAsia="zh-CN" w:bidi="ar-SA"/>
              </w:rPr>
              <w:t>，</w:t>
            </w:r>
            <w:r>
              <w:rPr>
                <w:rFonts w:hint="eastAsia" w:cs="Times New Roman"/>
                <w:color w:val="auto"/>
                <w:sz w:val="24"/>
                <w:szCs w:val="24"/>
                <w:vertAlign w:val="baseline"/>
                <w:lang w:val="en-US" w:eastAsia="zh-CN"/>
              </w:rPr>
              <w:t>单位产品非甲烷总烃排放量：0.3kg/t产品</w:t>
            </w:r>
            <w:r>
              <w:rPr>
                <w:rFonts w:hint="eastAsia" w:cs="Times New Roman"/>
                <w:color w:val="auto"/>
                <w:sz w:val="24"/>
                <w:szCs w:val="24"/>
                <w:lang w:val="en-US" w:eastAsia="zh-CN" w:bidi="ar-SA"/>
              </w:rPr>
              <w:t>）、《恶臭污染物排放标准》（GB14554-93）中表2排放标准限值（苯乙烯：6.5kg/h）</w:t>
            </w:r>
            <w:r>
              <w:rPr>
                <w:rFonts w:hint="eastAsia" w:ascii="Times New Roman" w:hAnsi="Times New Roman" w:eastAsia="宋体" w:cs="Times New Roman"/>
                <w:color w:val="auto"/>
                <w:sz w:val="24"/>
                <w:szCs w:val="24"/>
                <w:lang w:val="en-US" w:eastAsia="zh-CN"/>
              </w:rPr>
              <w:t>。</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lang w:val="en-US" w:eastAsia="zh-CN"/>
              </w:rPr>
              <w:t>有机废气经收集后散逸的为0.050t/a（苯乙烯0.0008t/a），通过车间排风扇呈无组织排放</w:t>
            </w:r>
            <w:r>
              <w:rPr>
                <w:rFonts w:hint="eastAsia" w:cs="Times New Roman"/>
                <w:color w:val="auto"/>
                <w:sz w:val="24"/>
                <w:szCs w:val="24"/>
                <w:lang w:val="en-US" w:eastAsia="zh-CN" w:bidi="ar-SA"/>
              </w:rPr>
              <w:t>，排放速率为0.0260kg/h</w:t>
            </w:r>
            <w:r>
              <w:rPr>
                <w:rFonts w:hint="eastAsia" w:cs="Times New Roman"/>
                <w:color w:val="auto"/>
                <w:sz w:val="24"/>
                <w:lang w:val="en-US" w:eastAsia="zh-CN"/>
              </w:rPr>
              <w:t>（苯乙烯0.0004</w:t>
            </w:r>
            <w:r>
              <w:rPr>
                <w:rFonts w:hint="eastAsia" w:cs="Times New Roman"/>
                <w:color w:val="auto"/>
                <w:sz w:val="24"/>
                <w:szCs w:val="24"/>
                <w:lang w:val="en-US" w:eastAsia="zh-CN" w:bidi="ar-SA"/>
              </w:rPr>
              <w:t>kg/h</w:t>
            </w:r>
            <w:r>
              <w:rPr>
                <w:rFonts w:hint="eastAsia" w:cs="Times New Roman"/>
                <w:color w:val="auto"/>
                <w:sz w:val="24"/>
                <w:lang w:val="en-US" w:eastAsia="zh-CN"/>
              </w:rPr>
              <w:t>）。</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aps w:val="0"/>
                <w:color w:val="auto"/>
                <w:sz w:val="24"/>
                <w:szCs w:val="24"/>
                <w:lang w:val="en-US" w:eastAsia="zh-CN"/>
              </w:rPr>
              <w:t>为了最大限度减少项目有机废气排放带来的不利影响，本环评对</w:t>
            </w:r>
            <w:r>
              <w:rPr>
                <w:rFonts w:hint="eastAsia" w:ascii="Times New Roman" w:hAnsi="Times New Roman" w:eastAsia="宋体" w:cs="Times New Roman"/>
                <w:color w:val="auto"/>
                <w:sz w:val="24"/>
                <w:szCs w:val="24"/>
                <w:lang w:val="en-US" w:eastAsia="zh-CN" w:bidi="ar-SA"/>
              </w:rPr>
              <w:t>废气排放控制及催化燃烧装置提出如下要求：</w:t>
            </w:r>
          </w:p>
          <w:p>
            <w:pPr>
              <w:numPr>
                <w:ilvl w:val="0"/>
                <w:numId w:val="4"/>
              </w:num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aps w:val="0"/>
                <w:color w:val="auto"/>
                <w:sz w:val="24"/>
                <w:szCs w:val="24"/>
                <w:lang w:val="en-US" w:eastAsia="zh-CN"/>
              </w:rPr>
              <w:t>对</w:t>
            </w:r>
            <w:r>
              <w:rPr>
                <w:rFonts w:hint="eastAsia" w:ascii="Times New Roman" w:hAnsi="Times New Roman" w:eastAsia="宋体" w:cs="Times New Roman"/>
                <w:color w:val="auto"/>
                <w:sz w:val="24"/>
                <w:szCs w:val="24"/>
                <w:lang w:val="en-US" w:eastAsia="zh-CN" w:bidi="ar-SA"/>
              </w:rPr>
              <w:t>废气排放控制要求</w:t>
            </w:r>
          </w:p>
          <w:p>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根据《挥发性有机物无组织排放控制标准》（GB37822-2019）及《挥发性有机物（VOCs）污染防治技术政策》（公告2013年第31号），对挥发性有机物（VOCs）污染防治措施提出以下要求：</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①对于含低浓度VOCs的废气，有回收价值时可采用吸附技术、吸收技术对有机溶剂回收后达标排放；不宜回收时，可采用吸附浓缩燃烧技术、生物技术、吸收技术、等离子体技术或紫外光高级氧化技术等净化后达标排放；</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②对于不能再生的过滤材料、吸附剂及催化剂等净化材料，应按照国家固体废物管理的相关规定处理处置；</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③鼓励企业自行开展VOCs监测，并及时主动向当地环保行政主管部门报送监测结果；</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④企业应建立健全VOCs治理设施的运行维护规程和台账等日常管理制度，并根据工艺要求定期对各类设备、电气、自控仪表等进行检修维护，确保设施的稳定运行；</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⑤当采用吸附回收（浓缩）、催化燃烧、热力焚烧、等离子体等方法进行末端治理时，应编制本单位事故火灾、爆炸等应急救援预案，配备应急救援人员和器材，并开展应急演练；</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⑥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⑦废气收集系统要求</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A.废气收集系统排风罩（集气罩）的设置应符合《排风罩的分类及技术条件》（GB/T16758-2008）的规定，本项目集气罩类型为外部罩；</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B.采用外部排风罩的，应按《排风罩的分类及技术条件》（GB/T16758-2008）、《局部排风设施控制风速检测与评估技术规范》（AQ/T4274-2016）规定的方法测量控制风速，测量点应选取在距排风罩开口面最远处的VOCs无组织排放位置，控制风速不应低于0.3m/s。</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2）催化燃烧装置要求</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根据《催化燃烧法工业有机废气治理工程技术规范》（HJ2027-2013）对项目催化燃烧装置提出以下要求：</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①催化剂的工作温度应低于700℃，并能承受900℃短时间高温冲击。设计工况下催化剂使用寿命应大于8500h；</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②废气在燃烧室的停留时间一般不宜低于0.75s，燃烧室燃烧温度一般应高于760℃，相关温度参数应自动储存记录；</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③应使用合格的催化剂并足额添加，催化燃烧装置的设计空速宜大于10000h</w:t>
            </w:r>
            <w:r>
              <w:rPr>
                <w:rFonts w:hint="eastAsia" w:ascii="Times New Roman" w:hAnsi="Times New Roman" w:eastAsia="宋体" w:cs="Times New Roman"/>
                <w:color w:val="auto"/>
                <w:sz w:val="24"/>
                <w:szCs w:val="24"/>
                <w:vertAlign w:val="superscript"/>
                <w:lang w:val="en-US" w:eastAsia="zh-CN" w:bidi="ar-SA"/>
              </w:rPr>
              <w:t>-1</w:t>
            </w:r>
            <w:r>
              <w:rPr>
                <w:rFonts w:hint="eastAsia" w:ascii="Times New Roman" w:hAnsi="Times New Roman" w:eastAsia="宋体" w:cs="Times New Roman"/>
                <w:color w:val="auto"/>
                <w:sz w:val="24"/>
                <w:szCs w:val="24"/>
                <w:lang w:val="en-US" w:eastAsia="zh-CN" w:bidi="ar-SA"/>
              </w:rPr>
              <w:t>，但不应高于40000h</w:t>
            </w:r>
            <w:r>
              <w:rPr>
                <w:rFonts w:hint="eastAsia" w:ascii="Times New Roman" w:hAnsi="Times New Roman" w:eastAsia="宋体" w:cs="Times New Roman"/>
                <w:color w:val="auto"/>
                <w:sz w:val="24"/>
                <w:szCs w:val="24"/>
                <w:vertAlign w:val="superscript"/>
                <w:lang w:val="en-US" w:eastAsia="zh-CN" w:bidi="ar-SA"/>
              </w:rPr>
              <w:t>-1</w:t>
            </w:r>
            <w:r>
              <w:rPr>
                <w:rFonts w:hint="eastAsia" w:ascii="Times New Roman" w:hAnsi="Times New Roman" w:eastAsia="宋体" w:cs="Times New Roman"/>
                <w:color w:val="auto"/>
                <w:sz w:val="24"/>
                <w:szCs w:val="24"/>
                <w:lang w:val="en-US" w:eastAsia="zh-CN" w:bidi="ar-SA"/>
              </w:rPr>
              <w:t>。</w:t>
            </w:r>
          </w:p>
          <w:p>
            <w:pPr>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1.1.3臭气浓度</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本项目产生的臭气浓度主要为树脂浸胶、缠绕、自然固化过程挥发的非甲烷总烃和</w:t>
            </w:r>
            <w:r>
              <w:rPr>
                <w:rFonts w:hint="eastAsia" w:cs="Times New Roman"/>
                <w:color w:val="auto"/>
                <w:sz w:val="24"/>
                <w:lang w:val="en-US" w:eastAsia="zh-CN"/>
              </w:rPr>
              <w:t>苯乙烯</w:t>
            </w:r>
            <w:r>
              <w:rPr>
                <w:rFonts w:hint="eastAsia" w:ascii="Times New Roman" w:hAnsi="Times New Roman" w:eastAsia="宋体" w:cs="Times New Roman"/>
                <w:color w:val="auto"/>
                <w:sz w:val="24"/>
                <w:lang w:val="en-US" w:eastAsia="zh-CN"/>
              </w:rPr>
              <w:t>，以臭气浓度表征。项目设置的半封闭集气罩及有机废气处置措施对其有一定的去除作用，因此臭气浓度进行定性说明，根据类比同类项目《年产1500吨玻璃钢制品项目竣工环境保护验收监测报告》，该项目建成后年产玻璃钢制品1500</w:t>
            </w:r>
            <w:r>
              <w:rPr>
                <w:rFonts w:hint="eastAsia" w:cs="Times New Roman"/>
                <w:color w:val="auto"/>
                <w:sz w:val="24"/>
                <w:lang w:val="en-US" w:eastAsia="zh-CN"/>
              </w:rPr>
              <w:t>t/a</w:t>
            </w:r>
            <w:r>
              <w:rPr>
                <w:rFonts w:hint="eastAsia" w:ascii="Times New Roman" w:hAnsi="Times New Roman" w:eastAsia="宋体" w:cs="Times New Roman"/>
                <w:color w:val="auto"/>
                <w:sz w:val="24"/>
                <w:lang w:val="en-US" w:eastAsia="zh-CN"/>
              </w:rPr>
              <w:t>，无组织废气采取安装换气扇，加强车间通风等措施，针对厂界无组织恶臭浓度进行了监测，臭气浓度均低于检出限（小于10），满足《恶臭污染物排放标准》（GB14554-93）中表1限值要求。本项目</w:t>
            </w:r>
            <w:r>
              <w:rPr>
                <w:rFonts w:hint="eastAsia" w:cs="Times New Roman"/>
                <w:color w:val="auto"/>
                <w:sz w:val="24"/>
                <w:lang w:val="en-US" w:eastAsia="zh-CN"/>
              </w:rPr>
              <w:t>年生产玻璃钢制品11500t/a（其中玻璃钢夹砂管道8000t、玻璃钢化工设备（储罐等）3500t）</w:t>
            </w:r>
            <w:r>
              <w:rPr>
                <w:rFonts w:hint="eastAsia" w:ascii="Times New Roman" w:hAnsi="Times New Roman" w:eastAsia="宋体" w:cs="Times New Roman"/>
                <w:color w:val="auto"/>
                <w:sz w:val="24"/>
                <w:lang w:val="en-US" w:eastAsia="zh-CN"/>
              </w:rPr>
              <w:t>，无组织废气采取安装换气扇，加强车间通风等措施，根据类比，项目运营期厂界无组织臭气浓度均可满足《恶臭污染物排放标准》（GB14554-93）中表1限值要求，因此，本项目运营期臭气浓度对周围环境影响不大。</w:t>
            </w:r>
          </w:p>
          <w:p>
            <w:pPr>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1.1.4原料场装卸料及贮存过程产生的颗粒物</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原料储存在原材料堆放区内，均直接购入成品，外包装良好（不饱和聚酯树脂、固化剂、促进剂为密闭桶装），项目原料装卸储存阶段大气污染物产生量很少，本次忽略不计入</w:t>
            </w:r>
            <w:r>
              <w:rPr>
                <w:rFonts w:hint="eastAsia" w:cs="Times New Roman"/>
                <w:color w:val="auto"/>
                <w:sz w:val="24"/>
                <w:lang w:val="en-US" w:eastAsia="zh-CN"/>
              </w:rPr>
              <w:t>。</w:t>
            </w:r>
          </w:p>
          <w:p>
            <w:pPr>
              <w:keepNext w:val="0"/>
              <w:keepLines w:val="0"/>
              <w:widowControl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本项目运营期大气污染物排放情况（含有组织和无组织）见下表。</w:t>
            </w:r>
          </w:p>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4-2</w:t>
            </w:r>
            <w:r>
              <w:rPr>
                <w:rFonts w:hint="default" w:ascii="Times New Roman" w:hAnsi="Times New Roman" w:eastAsia="宋体" w:cs="Times New Roman"/>
                <w:b/>
                <w:bCs/>
                <w:color w:val="auto"/>
                <w:sz w:val="21"/>
                <w:szCs w:val="21"/>
              </w:rPr>
              <w:t xml:space="preserve">  项目有组织排放情况一览表</w:t>
            </w:r>
          </w:p>
          <w:tbl>
            <w:tblPr>
              <w:tblStyle w:val="67"/>
              <w:tblW w:w="4993"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37"/>
              <w:gridCol w:w="619"/>
              <w:gridCol w:w="600"/>
              <w:gridCol w:w="600"/>
              <w:gridCol w:w="950"/>
              <w:gridCol w:w="950"/>
              <w:gridCol w:w="925"/>
              <w:gridCol w:w="850"/>
              <w:gridCol w:w="838"/>
              <w:gridCol w:w="912"/>
              <w:gridCol w:w="53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5" w:type="pct"/>
                  <w:vMerge w:val="restart"/>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排放源</w:t>
                  </w:r>
                </w:p>
              </w:tc>
              <w:tc>
                <w:tcPr>
                  <w:tcW w:w="376" w:type="pct"/>
                  <w:vMerge w:val="restar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730" w:type="pct"/>
                  <w:gridSpan w:val="2"/>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排气筒底部中心坐标/m</w:t>
                  </w:r>
                </w:p>
              </w:tc>
              <w:tc>
                <w:tcPr>
                  <w:tcW w:w="578" w:type="pct"/>
                  <w:vMerge w:val="restart"/>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产生量</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eastAsia" w:cs="Times New Roman"/>
                      <w:b/>
                      <w:bCs/>
                      <w:color w:val="auto"/>
                      <w:sz w:val="21"/>
                      <w:szCs w:val="21"/>
                      <w:lang w:eastAsia="zh-CN"/>
                    </w:rPr>
                    <w:t>）</w:t>
                  </w:r>
                </w:p>
              </w:tc>
              <w:tc>
                <w:tcPr>
                  <w:tcW w:w="578" w:type="pct"/>
                  <w:vMerge w:val="restart"/>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产生速率</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kg/h</w:t>
                  </w:r>
                  <w:r>
                    <w:rPr>
                      <w:rFonts w:hint="eastAsia" w:cs="Times New Roman"/>
                      <w:b/>
                      <w:bCs/>
                      <w:color w:val="auto"/>
                      <w:sz w:val="21"/>
                      <w:szCs w:val="21"/>
                      <w:lang w:eastAsia="zh-CN"/>
                    </w:rPr>
                    <w:t>）</w:t>
                  </w:r>
                </w:p>
              </w:tc>
              <w:tc>
                <w:tcPr>
                  <w:tcW w:w="562" w:type="pct"/>
                  <w:vMerge w:val="restart"/>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产生浓度</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cs="Times New Roman"/>
                      <w:b/>
                      <w:bCs/>
                      <w:color w:val="auto"/>
                      <w:sz w:val="21"/>
                      <w:szCs w:val="21"/>
                      <w:lang w:eastAsia="zh-CN"/>
                    </w:rPr>
                    <w:t>）</w:t>
                  </w:r>
                </w:p>
              </w:tc>
              <w:tc>
                <w:tcPr>
                  <w:tcW w:w="517" w:type="pct"/>
                  <w:vMerge w:val="restart"/>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排放量</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eastAsia" w:cs="Times New Roman"/>
                      <w:b/>
                      <w:bCs/>
                      <w:color w:val="auto"/>
                      <w:sz w:val="21"/>
                      <w:szCs w:val="21"/>
                      <w:lang w:eastAsia="zh-CN"/>
                    </w:rPr>
                    <w:t>）</w:t>
                  </w:r>
                </w:p>
              </w:tc>
              <w:tc>
                <w:tcPr>
                  <w:tcW w:w="509" w:type="pct"/>
                  <w:vMerge w:val="restart"/>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排放速率</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kg/h</w:t>
                  </w:r>
                  <w:r>
                    <w:rPr>
                      <w:rFonts w:hint="eastAsia" w:cs="Times New Roman"/>
                      <w:b/>
                      <w:bCs/>
                      <w:color w:val="auto"/>
                      <w:sz w:val="21"/>
                      <w:szCs w:val="21"/>
                      <w:lang w:eastAsia="zh-CN"/>
                    </w:rPr>
                    <w:t>）</w:t>
                  </w:r>
                </w:p>
              </w:tc>
              <w:tc>
                <w:tcPr>
                  <w:tcW w:w="555" w:type="pct"/>
                  <w:vMerge w:val="restart"/>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排放浓度</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cs="Times New Roman"/>
                      <w:b/>
                      <w:bCs/>
                      <w:color w:val="auto"/>
                      <w:sz w:val="21"/>
                      <w:szCs w:val="21"/>
                      <w:lang w:eastAsia="zh-CN"/>
                    </w:rPr>
                    <w:t>）</w:t>
                  </w:r>
                </w:p>
              </w:tc>
              <w:tc>
                <w:tcPr>
                  <w:tcW w:w="325" w:type="pct"/>
                  <w:vMerge w:val="restar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排放参数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5" w:type="pct"/>
                  <w:vMerge w:val="continue"/>
                  <w:tcBorders>
                    <w:bottom w:val="single" w:color="000000" w:sz="12" w:space="0"/>
                  </w:tcBorders>
                  <w:noWrap w:val="0"/>
                  <w:vAlign w:val="center"/>
                </w:tcPr>
                <w:p>
                  <w:pPr>
                    <w:spacing w:line="240" w:lineRule="auto"/>
                    <w:jc w:val="center"/>
                    <w:rPr>
                      <w:color w:val="auto"/>
                    </w:rPr>
                  </w:pPr>
                </w:p>
              </w:tc>
              <w:tc>
                <w:tcPr>
                  <w:tcW w:w="376" w:type="pct"/>
                  <w:vMerge w:val="continue"/>
                  <w:tcBorders>
                    <w:bottom w:val="single" w:color="000000" w:sz="12" w:space="0"/>
                  </w:tcBorders>
                  <w:noWrap w:val="0"/>
                  <w:vAlign w:val="center"/>
                </w:tcPr>
                <w:p>
                  <w:pPr>
                    <w:spacing w:line="240" w:lineRule="auto"/>
                    <w:jc w:val="center"/>
                    <w:rPr>
                      <w:color w:val="auto"/>
                    </w:rPr>
                  </w:pPr>
                </w:p>
              </w:tc>
              <w:tc>
                <w:tcPr>
                  <w:tcW w:w="365"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X</w:t>
                  </w:r>
                </w:p>
              </w:tc>
              <w:tc>
                <w:tcPr>
                  <w:tcW w:w="365"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Y</w:t>
                  </w:r>
                </w:p>
              </w:tc>
              <w:tc>
                <w:tcPr>
                  <w:tcW w:w="578" w:type="pct"/>
                  <w:vMerge w:val="continue"/>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578" w:type="pct"/>
                  <w:vMerge w:val="continue"/>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562" w:type="pct"/>
                  <w:vMerge w:val="continue"/>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517" w:type="pct"/>
                  <w:vMerge w:val="continue"/>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509" w:type="pct"/>
                  <w:vMerge w:val="continue"/>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555" w:type="pct"/>
                  <w:vMerge w:val="continue"/>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325" w:type="pct"/>
                  <w:vMerge w:val="continue"/>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5"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DA001</w:t>
                  </w:r>
                </w:p>
              </w:tc>
              <w:tc>
                <w:tcPr>
                  <w:tcW w:w="376"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365"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84.93848920</w:t>
                  </w:r>
                </w:p>
              </w:tc>
              <w:tc>
                <w:tcPr>
                  <w:tcW w:w="365"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44.73374748</w:t>
                  </w:r>
                </w:p>
              </w:tc>
              <w:tc>
                <w:tcPr>
                  <w:tcW w:w="578"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38.24</w:t>
                  </w:r>
                </w:p>
              </w:tc>
              <w:tc>
                <w:tcPr>
                  <w:tcW w:w="578"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19.92</w:t>
                  </w:r>
                </w:p>
              </w:tc>
              <w:tc>
                <w:tcPr>
                  <w:tcW w:w="562"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511.57</w:t>
                  </w:r>
                </w:p>
              </w:tc>
              <w:tc>
                <w:tcPr>
                  <w:tcW w:w="517"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0.382</w:t>
                  </w:r>
                </w:p>
              </w:tc>
              <w:tc>
                <w:tcPr>
                  <w:tcW w:w="509"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0.199</w:t>
                  </w:r>
                </w:p>
              </w:tc>
              <w:tc>
                <w:tcPr>
                  <w:tcW w:w="555"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5.11</w:t>
                  </w:r>
                </w:p>
              </w:tc>
              <w:tc>
                <w:tcPr>
                  <w:tcW w:w="325"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H=15m；R=</w:t>
                  </w:r>
                  <w:r>
                    <w:rPr>
                      <w:rFonts w:hint="default" w:ascii="Times New Roman" w:hAnsi="Times New Roman" w:eastAsia="宋体" w:cs="Times New Roman"/>
                      <w:color w:val="auto"/>
                      <w:sz w:val="21"/>
                      <w:szCs w:val="21"/>
                    </w:rPr>
                    <w:t>0.5m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5" w:type="pct"/>
                  <w:tcBorders>
                    <w:top w:val="single" w:color="000000" w:sz="4" w:space="0"/>
                    <w:bottom w:val="single" w:color="000000" w:sz="12" w:space="0"/>
                  </w:tcBorders>
                  <w:noWrap w:val="0"/>
                  <w:vAlign w:val="center"/>
                </w:tcPr>
                <w:p>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DA002</w:t>
                  </w:r>
                </w:p>
              </w:tc>
              <w:tc>
                <w:tcPr>
                  <w:tcW w:w="376" w:type="pct"/>
                  <w:tcBorders>
                    <w:top w:val="single" w:color="000000" w:sz="4" w:space="0"/>
                    <w:bottom w:val="single" w:color="000000" w:sz="12"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非甲烷总烃（苯乙烯）、臭气浓度</w:t>
                  </w:r>
                </w:p>
              </w:tc>
              <w:tc>
                <w:tcPr>
                  <w:tcW w:w="365" w:type="pct"/>
                  <w:tcBorders>
                    <w:top w:val="single" w:color="000000" w:sz="4" w:space="0"/>
                    <w:bottom w:val="single" w:color="000000"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84.93878156</w:t>
                  </w:r>
                </w:p>
              </w:tc>
              <w:tc>
                <w:tcPr>
                  <w:tcW w:w="365" w:type="pct"/>
                  <w:tcBorders>
                    <w:top w:val="single" w:color="000000" w:sz="4" w:space="0"/>
                    <w:bottom w:val="single" w:color="000000"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44.73362363</w:t>
                  </w:r>
                </w:p>
              </w:tc>
              <w:tc>
                <w:tcPr>
                  <w:tcW w:w="578" w:type="pct"/>
                  <w:tcBorders>
                    <w:top w:val="single" w:color="000000" w:sz="4" w:space="0"/>
                    <w:bottom w:val="single" w:color="000000" w:sz="12" w:space="0"/>
                  </w:tcBorders>
                  <w:noWrap w:val="0"/>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0.956（0.0143）</w:t>
                  </w:r>
                </w:p>
              </w:tc>
              <w:tc>
                <w:tcPr>
                  <w:tcW w:w="578" w:type="pct"/>
                  <w:tcBorders>
                    <w:top w:val="single" w:color="000000" w:sz="4" w:space="0"/>
                    <w:bottom w:val="single" w:color="000000" w:sz="12" w:space="0"/>
                  </w:tcBorders>
                  <w:noWrap w:val="0"/>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0.498（0.0074）</w:t>
                  </w:r>
                </w:p>
              </w:tc>
              <w:tc>
                <w:tcPr>
                  <w:tcW w:w="562" w:type="pct"/>
                  <w:tcBorders>
                    <w:top w:val="single" w:color="000000" w:sz="4" w:space="0"/>
                    <w:bottom w:val="single" w:color="000000" w:sz="12" w:space="0"/>
                  </w:tcBorders>
                  <w:noWrap w:val="0"/>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62.25（0.93）</w:t>
                  </w:r>
                </w:p>
              </w:tc>
              <w:tc>
                <w:tcPr>
                  <w:tcW w:w="517" w:type="pct"/>
                  <w:tcBorders>
                    <w:top w:val="single" w:color="000000" w:sz="4" w:space="0"/>
                    <w:bottom w:val="single" w:color="000000" w:sz="12" w:space="0"/>
                  </w:tcBorders>
                  <w:noWrap w:val="0"/>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0.392（0.0059）</w:t>
                  </w:r>
                </w:p>
              </w:tc>
              <w:tc>
                <w:tcPr>
                  <w:tcW w:w="509" w:type="pct"/>
                  <w:tcBorders>
                    <w:top w:val="single" w:color="000000" w:sz="4" w:space="0"/>
                    <w:bottom w:val="single" w:color="000000" w:sz="12" w:space="0"/>
                  </w:tcBorders>
                  <w:noWrap w:val="0"/>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0.204（0.0031）</w:t>
                  </w:r>
                </w:p>
              </w:tc>
              <w:tc>
                <w:tcPr>
                  <w:tcW w:w="555" w:type="pct"/>
                  <w:tcBorders>
                    <w:top w:val="single" w:color="000000" w:sz="4" w:space="0"/>
                    <w:bottom w:val="single" w:color="000000" w:sz="12" w:space="0"/>
                  </w:tcBorders>
                  <w:noWrap w:val="0"/>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25.5（0.39）</w:t>
                  </w:r>
                </w:p>
              </w:tc>
              <w:tc>
                <w:tcPr>
                  <w:tcW w:w="325" w:type="pct"/>
                  <w:tcBorders>
                    <w:top w:val="single" w:color="000000" w:sz="4" w:space="0"/>
                    <w:bottom w:val="single" w:color="000000" w:sz="12"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H=15m；R=</w:t>
                  </w:r>
                  <w:r>
                    <w:rPr>
                      <w:rFonts w:hint="default" w:ascii="Times New Roman" w:hAnsi="Times New Roman" w:eastAsia="宋体" w:cs="Times New Roman"/>
                      <w:color w:val="auto"/>
                      <w:sz w:val="21"/>
                      <w:szCs w:val="21"/>
                    </w:rPr>
                    <w:t>0.5m</w:t>
                  </w:r>
                </w:p>
              </w:tc>
            </w:tr>
          </w:tbl>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4-3</w:t>
            </w:r>
            <w:r>
              <w:rPr>
                <w:rFonts w:hint="default" w:ascii="Times New Roman" w:hAnsi="Times New Roman" w:eastAsia="宋体" w:cs="Times New Roman"/>
                <w:b/>
                <w:bCs/>
                <w:color w:val="auto"/>
                <w:sz w:val="21"/>
                <w:szCs w:val="21"/>
              </w:rPr>
              <w:t xml:space="preserve">  项目无组织废气排放情况表</w:t>
            </w:r>
          </w:p>
          <w:tbl>
            <w:tblPr>
              <w:tblStyle w:val="67"/>
              <w:tblW w:w="4995"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18"/>
              <w:gridCol w:w="908"/>
              <w:gridCol w:w="1670"/>
              <w:gridCol w:w="1031"/>
              <w:gridCol w:w="1031"/>
              <w:gridCol w:w="1026"/>
              <w:gridCol w:w="1021"/>
              <w:gridCol w:w="101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5"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52"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1015"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污染物产生单元或装置</w:t>
                  </w:r>
                </w:p>
              </w:tc>
              <w:tc>
                <w:tcPr>
                  <w:tcW w:w="627" w:type="pct"/>
                  <w:tcBorders>
                    <w:bottom w:val="single" w:color="000000" w:sz="12" w:space="0"/>
                  </w:tcBorders>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污染物排放量</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eastAsia" w:cs="Times New Roman"/>
                      <w:b/>
                      <w:bCs/>
                      <w:color w:val="auto"/>
                      <w:sz w:val="21"/>
                      <w:szCs w:val="21"/>
                      <w:lang w:eastAsia="zh-CN"/>
                    </w:rPr>
                    <w:t>）</w:t>
                  </w:r>
                </w:p>
              </w:tc>
              <w:tc>
                <w:tcPr>
                  <w:tcW w:w="627" w:type="pct"/>
                  <w:tcBorders>
                    <w:bottom w:val="single" w:color="000000" w:sz="12" w:space="0"/>
                  </w:tcBorders>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污染物排放速率</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kg/h</w:t>
                  </w:r>
                  <w:r>
                    <w:rPr>
                      <w:rFonts w:hint="eastAsia" w:cs="Times New Roman"/>
                      <w:b/>
                      <w:bCs/>
                      <w:color w:val="auto"/>
                      <w:sz w:val="21"/>
                      <w:szCs w:val="21"/>
                      <w:lang w:eastAsia="zh-CN"/>
                    </w:rPr>
                    <w:t>）</w:t>
                  </w:r>
                </w:p>
              </w:tc>
              <w:tc>
                <w:tcPr>
                  <w:tcW w:w="624" w:type="pct"/>
                  <w:tcBorders>
                    <w:bottom w:val="single" w:color="000000" w:sz="12" w:space="0"/>
                  </w:tcBorders>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面源高度</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eastAsia" w:cs="Times New Roman"/>
                      <w:b/>
                      <w:bCs/>
                      <w:color w:val="auto"/>
                      <w:sz w:val="21"/>
                      <w:szCs w:val="21"/>
                      <w:lang w:eastAsia="zh-CN"/>
                    </w:rPr>
                    <w:t>）</w:t>
                  </w:r>
                </w:p>
              </w:tc>
              <w:tc>
                <w:tcPr>
                  <w:tcW w:w="621" w:type="pct"/>
                  <w:tcBorders>
                    <w:bottom w:val="single" w:color="000000" w:sz="12" w:space="0"/>
                  </w:tcBorders>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面源长度</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eastAsia" w:cs="Times New Roman"/>
                      <w:b/>
                      <w:bCs/>
                      <w:color w:val="auto"/>
                      <w:sz w:val="21"/>
                      <w:szCs w:val="21"/>
                      <w:lang w:eastAsia="zh-CN"/>
                    </w:rPr>
                    <w:t>）</w:t>
                  </w:r>
                </w:p>
              </w:tc>
              <w:tc>
                <w:tcPr>
                  <w:tcW w:w="616" w:type="pct"/>
                  <w:tcBorders>
                    <w:bottom w:val="single" w:color="000000" w:sz="12" w:space="0"/>
                  </w:tcBorders>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面源宽度</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eastAsia" w:cs="Times New Roman"/>
                      <w:b/>
                      <w:bCs/>
                      <w:color w:val="auto"/>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5" w:type="pct"/>
                  <w:tcBorders>
                    <w:top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52" w:type="pct"/>
                  <w:tcBorders>
                    <w:top w:val="single" w:color="000000" w:sz="12" w:space="0"/>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颗粒物</w:t>
                  </w:r>
                </w:p>
              </w:tc>
              <w:tc>
                <w:tcPr>
                  <w:tcW w:w="1015" w:type="pct"/>
                  <w:tcBorders>
                    <w:top w:val="single" w:color="000000" w:sz="12" w:space="0"/>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石英砂上料、修整工序</w:t>
                  </w:r>
                </w:p>
              </w:tc>
              <w:tc>
                <w:tcPr>
                  <w:tcW w:w="627" w:type="pct"/>
                  <w:tcBorders>
                    <w:top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0.402</w:t>
                  </w:r>
                </w:p>
              </w:tc>
              <w:tc>
                <w:tcPr>
                  <w:tcW w:w="627" w:type="pct"/>
                  <w:tcBorders>
                    <w:top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0.209</w:t>
                  </w:r>
                </w:p>
              </w:tc>
              <w:tc>
                <w:tcPr>
                  <w:tcW w:w="624" w:type="pct"/>
                  <w:tcBorders>
                    <w:top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621" w:type="pct"/>
                  <w:tcBorders>
                    <w:top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136</w:t>
                  </w:r>
                </w:p>
              </w:tc>
              <w:tc>
                <w:tcPr>
                  <w:tcW w:w="616" w:type="pct"/>
                  <w:tcBorders>
                    <w:top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5"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非甲烷总烃（苯乙烯）、臭气浓度</w:t>
                  </w:r>
                </w:p>
              </w:tc>
              <w:tc>
                <w:tcPr>
                  <w:tcW w:w="1015" w:type="pct"/>
                  <w:tcBorders>
                    <w:tl2br w:val="nil"/>
                    <w:tr2bl w:val="nil"/>
                  </w:tcBorders>
                  <w:noWrap w:val="0"/>
                  <w:vAlign w:val="center"/>
                </w:tcPr>
                <w:p>
                  <w:pPr>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浸胶、缠绕、自然固化工序</w:t>
                  </w:r>
                </w:p>
              </w:tc>
              <w:tc>
                <w:tcPr>
                  <w:tcW w:w="627" w:type="pct"/>
                  <w:tcBorders>
                    <w:tl2br w:val="nil"/>
                    <w:tr2bl w:val="nil"/>
                  </w:tcBorders>
                  <w:noWrap w:val="0"/>
                  <w:vAlign w:val="center"/>
                </w:tcPr>
                <w:p>
                  <w:pPr>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0.050（0.0008）</w:t>
                  </w:r>
                </w:p>
              </w:tc>
              <w:tc>
                <w:tcPr>
                  <w:tcW w:w="627" w:type="pct"/>
                  <w:tcBorders>
                    <w:tl2br w:val="nil"/>
                    <w:tr2bl w:val="nil"/>
                  </w:tcBorders>
                  <w:noWrap w:val="0"/>
                  <w:vAlign w:val="center"/>
                </w:tcPr>
                <w:p>
                  <w:pPr>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0.0260（0.0004）</w:t>
                  </w:r>
                </w:p>
              </w:tc>
              <w:tc>
                <w:tcPr>
                  <w:tcW w:w="624" w:type="pct"/>
                  <w:tcBorders>
                    <w:tl2br w:val="nil"/>
                    <w:tr2bl w:val="nil"/>
                  </w:tcBorders>
                  <w:noWrap w:val="0"/>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621" w:type="pct"/>
                  <w:tcBorders>
                    <w:tl2br w:val="nil"/>
                    <w:tr2bl w:val="nil"/>
                  </w:tcBorders>
                  <w:noWrap w:val="0"/>
                  <w:vAlign w:val="center"/>
                </w:tcPr>
                <w:p>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136</w:t>
                  </w:r>
                </w:p>
              </w:tc>
              <w:tc>
                <w:tcPr>
                  <w:tcW w:w="616" w:type="pct"/>
                  <w:tcBorders>
                    <w:tl2br w:val="nil"/>
                    <w:tr2bl w:val="nil"/>
                  </w:tcBorders>
                  <w:noWrap w:val="0"/>
                  <w:vAlign w:val="center"/>
                </w:tcPr>
                <w:p>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颗粒物</w:t>
                  </w:r>
                </w:p>
              </w:tc>
              <w:tc>
                <w:tcPr>
                  <w:tcW w:w="1015" w:type="pct"/>
                  <w:tcBorders>
                    <w:tl2br w:val="nil"/>
                    <w:tr2bl w:val="nil"/>
                  </w:tcBorders>
                  <w:noWrap w:val="0"/>
                  <w:vAlign w:val="center"/>
                </w:tcPr>
                <w:p>
                  <w:pPr>
                    <w:spacing w:line="240" w:lineRule="auto"/>
                    <w:jc w:val="center"/>
                    <w:rPr>
                      <w:rFonts w:hint="eastAsia" w:cs="Times New Roman"/>
                      <w:color w:val="auto"/>
                      <w:sz w:val="21"/>
                      <w:szCs w:val="21"/>
                      <w:lang w:eastAsia="zh-CN"/>
                    </w:rPr>
                  </w:pPr>
                  <w:r>
                    <w:rPr>
                      <w:rFonts w:hint="eastAsia" w:ascii="Times New Roman" w:hAnsi="Times New Roman" w:eastAsia="宋体" w:cs="Times New Roman"/>
                      <w:color w:val="auto"/>
                      <w:sz w:val="21"/>
                      <w:szCs w:val="21"/>
                      <w:lang w:eastAsia="zh-CN"/>
                    </w:rPr>
                    <w:t>原料储存</w:t>
                  </w:r>
                </w:p>
              </w:tc>
              <w:tc>
                <w:tcPr>
                  <w:tcW w:w="627" w:type="pct"/>
                  <w:tcBorders>
                    <w:tl2br w:val="nil"/>
                    <w:tr2bl w:val="nil"/>
                  </w:tcBorders>
                  <w:noWrap w:val="0"/>
                  <w:vAlign w:val="center"/>
                </w:tcPr>
                <w:p>
                  <w:pPr>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很少</w:t>
                  </w:r>
                </w:p>
              </w:tc>
              <w:tc>
                <w:tcPr>
                  <w:tcW w:w="627" w:type="pct"/>
                  <w:tcBorders>
                    <w:tl2br w:val="nil"/>
                    <w:tr2bl w:val="nil"/>
                  </w:tcBorders>
                  <w:noWrap w:val="0"/>
                  <w:vAlign w:val="center"/>
                </w:tcPr>
                <w:p>
                  <w:pPr>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24" w:type="pct"/>
                  <w:tcBorders>
                    <w:tl2br w:val="nil"/>
                    <w:tr2bl w:val="nil"/>
                  </w:tcBorders>
                  <w:noWrap w:val="0"/>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621" w:type="pct"/>
                  <w:tcBorders>
                    <w:tl2br w:val="nil"/>
                    <w:tr2bl w:val="nil"/>
                  </w:tcBorders>
                  <w:noWrap w:val="0"/>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136</w:t>
                  </w:r>
                </w:p>
              </w:tc>
              <w:tc>
                <w:tcPr>
                  <w:tcW w:w="616" w:type="pct"/>
                  <w:tcBorders>
                    <w:tl2br w:val="nil"/>
                    <w:tr2bl w:val="nil"/>
                  </w:tcBorders>
                  <w:noWrap w:val="0"/>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37</w:t>
                  </w:r>
                </w:p>
              </w:tc>
            </w:tr>
          </w:tbl>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项目废气排放口基本情况</w:t>
            </w:r>
          </w:p>
          <w:tbl>
            <w:tblPr>
              <w:tblStyle w:val="67"/>
              <w:tblW w:w="8206" w:type="dxa"/>
              <w:tblInd w:w="-17"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0"/>
              <w:gridCol w:w="742"/>
              <w:gridCol w:w="1092"/>
              <w:gridCol w:w="788"/>
              <w:gridCol w:w="1004"/>
              <w:gridCol w:w="1004"/>
              <w:gridCol w:w="699"/>
              <w:gridCol w:w="707"/>
              <w:gridCol w:w="710"/>
              <w:gridCol w:w="71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dxa"/>
                  <w:vMerge w:val="restart"/>
                  <w:tcBorders>
                    <w:top w:val="single" w:color="000000" w:sz="12" w:space="0"/>
                  </w:tcBorders>
                  <w:noWrap w:val="0"/>
                  <w:vAlign w:val="center"/>
                </w:tcPr>
                <w:p>
                  <w:pPr>
                    <w:jc w:val="center"/>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序号</w:t>
                  </w:r>
                </w:p>
              </w:tc>
              <w:tc>
                <w:tcPr>
                  <w:tcW w:w="742" w:type="dxa"/>
                  <w:vMerge w:val="restart"/>
                  <w:tcBorders>
                    <w:top w:val="single" w:color="000000"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编号</w:t>
                  </w:r>
                </w:p>
              </w:tc>
              <w:tc>
                <w:tcPr>
                  <w:tcW w:w="1092" w:type="dxa"/>
                  <w:vMerge w:val="restart"/>
                  <w:tcBorders>
                    <w:top w:val="single" w:color="000000"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排放口名称</w:t>
                  </w:r>
                </w:p>
              </w:tc>
              <w:tc>
                <w:tcPr>
                  <w:tcW w:w="788" w:type="dxa"/>
                  <w:vMerge w:val="restart"/>
                  <w:tcBorders>
                    <w:top w:val="single" w:color="000000"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2008" w:type="dxa"/>
                  <w:gridSpan w:val="2"/>
                  <w:tcBorders>
                    <w:top w:val="single" w:color="000000"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污染物产生</w:t>
                  </w:r>
                </w:p>
              </w:tc>
              <w:tc>
                <w:tcPr>
                  <w:tcW w:w="699" w:type="dxa"/>
                  <w:vMerge w:val="restart"/>
                  <w:tcBorders>
                    <w:top w:val="single" w:color="000000"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排气筒高度m</w:t>
                  </w:r>
                </w:p>
              </w:tc>
              <w:tc>
                <w:tcPr>
                  <w:tcW w:w="707" w:type="dxa"/>
                  <w:vMerge w:val="restart"/>
                  <w:tcBorders>
                    <w:top w:val="single" w:color="000000"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排气筒内径m</w:t>
                  </w:r>
                </w:p>
              </w:tc>
              <w:tc>
                <w:tcPr>
                  <w:tcW w:w="710" w:type="dxa"/>
                  <w:vMerge w:val="restart"/>
                  <w:tcBorders>
                    <w:top w:val="single" w:color="000000"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排放温度℃</w:t>
                  </w:r>
                </w:p>
              </w:tc>
              <w:tc>
                <w:tcPr>
                  <w:tcW w:w="710" w:type="dxa"/>
                  <w:vMerge w:val="restart"/>
                  <w:tcBorders>
                    <w:top w:val="single" w:color="000000"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排放时间h</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dxa"/>
                  <w:vMerge w:val="continue"/>
                  <w:tcBorders>
                    <w:bottom w:val="single" w:color="000000" w:sz="12" w:space="0"/>
                  </w:tcBorders>
                  <w:noWrap w:val="0"/>
                  <w:textDirection w:val="tbRlV"/>
                  <w:vAlign w:val="center"/>
                </w:tcPr>
                <w:p>
                  <w:pPr>
                    <w:jc w:val="center"/>
                    <w:rPr>
                      <w:rFonts w:hint="default" w:ascii="Times New Roman" w:hAnsi="Times New Roman" w:eastAsia="宋体" w:cs="Times New Roman"/>
                      <w:color w:val="auto"/>
                    </w:rPr>
                  </w:pPr>
                </w:p>
              </w:tc>
              <w:tc>
                <w:tcPr>
                  <w:tcW w:w="742" w:type="dxa"/>
                  <w:vMerge w:val="continue"/>
                  <w:tcBorders>
                    <w:bottom w:val="single" w:color="000000" w:sz="12" w:space="0"/>
                  </w:tcBorders>
                  <w:noWrap w:val="0"/>
                  <w:vAlign w:val="center"/>
                </w:tcPr>
                <w:p>
                  <w:pPr>
                    <w:jc w:val="center"/>
                    <w:rPr>
                      <w:rFonts w:hint="default" w:ascii="Times New Roman" w:hAnsi="Times New Roman" w:eastAsia="宋体" w:cs="Times New Roman"/>
                      <w:color w:val="auto"/>
                    </w:rPr>
                  </w:pPr>
                </w:p>
              </w:tc>
              <w:tc>
                <w:tcPr>
                  <w:tcW w:w="1092" w:type="dxa"/>
                  <w:vMerge w:val="continue"/>
                  <w:tcBorders>
                    <w:bottom w:val="single" w:color="000000" w:sz="12" w:space="0"/>
                  </w:tcBorders>
                  <w:noWrap w:val="0"/>
                  <w:vAlign w:val="center"/>
                </w:tcPr>
                <w:p>
                  <w:pPr>
                    <w:jc w:val="center"/>
                    <w:rPr>
                      <w:rFonts w:hint="default" w:ascii="Times New Roman" w:hAnsi="Times New Roman" w:eastAsia="宋体" w:cs="Times New Roman"/>
                      <w:color w:val="auto"/>
                    </w:rPr>
                  </w:pPr>
                </w:p>
              </w:tc>
              <w:tc>
                <w:tcPr>
                  <w:tcW w:w="788" w:type="dxa"/>
                  <w:vMerge w:val="continue"/>
                  <w:tcBorders>
                    <w:bottom w:val="single" w:color="000000" w:sz="12" w:space="0"/>
                  </w:tcBorders>
                  <w:noWrap w:val="0"/>
                  <w:vAlign w:val="center"/>
                </w:tcPr>
                <w:p>
                  <w:pPr>
                    <w:jc w:val="center"/>
                    <w:rPr>
                      <w:rFonts w:hint="default" w:ascii="Times New Roman" w:hAnsi="Times New Roman" w:eastAsia="宋体" w:cs="Times New Roman"/>
                      <w:color w:val="auto"/>
                    </w:rPr>
                  </w:pPr>
                </w:p>
              </w:tc>
              <w:tc>
                <w:tcPr>
                  <w:tcW w:w="1004" w:type="dxa"/>
                  <w:tcBorders>
                    <w:bottom w:val="single" w:color="000000"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经度</w:t>
                  </w:r>
                </w:p>
              </w:tc>
              <w:tc>
                <w:tcPr>
                  <w:tcW w:w="1004" w:type="dxa"/>
                  <w:tcBorders>
                    <w:bottom w:val="single" w:color="000000"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纬度</w:t>
                  </w:r>
                </w:p>
              </w:tc>
              <w:tc>
                <w:tcPr>
                  <w:tcW w:w="699" w:type="dxa"/>
                  <w:vMerge w:val="continue"/>
                  <w:tcBorders>
                    <w:bottom w:val="single" w:color="000000" w:sz="12" w:space="0"/>
                  </w:tcBorders>
                  <w:noWrap w:val="0"/>
                  <w:vAlign w:val="center"/>
                </w:tcPr>
                <w:p>
                  <w:pPr>
                    <w:jc w:val="center"/>
                    <w:rPr>
                      <w:rFonts w:hint="default" w:ascii="Times New Roman" w:hAnsi="Times New Roman" w:eastAsia="宋体" w:cs="Times New Roman"/>
                      <w:color w:val="auto"/>
                    </w:rPr>
                  </w:pPr>
                </w:p>
              </w:tc>
              <w:tc>
                <w:tcPr>
                  <w:tcW w:w="707" w:type="dxa"/>
                  <w:vMerge w:val="continue"/>
                  <w:tcBorders>
                    <w:bottom w:val="single" w:color="000000" w:sz="12" w:space="0"/>
                  </w:tcBorders>
                  <w:noWrap w:val="0"/>
                  <w:vAlign w:val="center"/>
                </w:tcPr>
                <w:p>
                  <w:pPr>
                    <w:jc w:val="center"/>
                    <w:rPr>
                      <w:rFonts w:hint="default" w:ascii="Times New Roman" w:hAnsi="Times New Roman" w:eastAsia="宋体" w:cs="Times New Roman"/>
                      <w:color w:val="auto"/>
                    </w:rPr>
                  </w:pPr>
                </w:p>
              </w:tc>
              <w:tc>
                <w:tcPr>
                  <w:tcW w:w="710" w:type="dxa"/>
                  <w:vMerge w:val="continue"/>
                  <w:tcBorders>
                    <w:bottom w:val="single" w:color="000000" w:sz="12" w:space="0"/>
                  </w:tcBorders>
                  <w:noWrap w:val="0"/>
                  <w:vAlign w:val="center"/>
                </w:tcPr>
                <w:p>
                  <w:pPr>
                    <w:jc w:val="center"/>
                    <w:rPr>
                      <w:rFonts w:hint="default" w:ascii="Times New Roman" w:hAnsi="Times New Roman" w:eastAsia="宋体" w:cs="Times New Roman"/>
                      <w:color w:val="auto"/>
                    </w:rPr>
                  </w:pPr>
                </w:p>
              </w:tc>
              <w:tc>
                <w:tcPr>
                  <w:tcW w:w="710" w:type="dxa"/>
                  <w:vMerge w:val="continue"/>
                  <w:tcBorders>
                    <w:bottom w:val="single" w:color="000000" w:sz="12" w:space="0"/>
                  </w:tcBorders>
                  <w:noWrap w:val="0"/>
                  <w:vAlign w:val="center"/>
                </w:tcPr>
                <w:p>
                  <w:pPr>
                    <w:jc w:val="center"/>
                    <w:rPr>
                      <w:rFonts w:hint="default" w:ascii="Times New Roman" w:hAnsi="Times New Roman" w:eastAsia="宋体" w:cs="Times New Roman"/>
                      <w:color w:va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dxa"/>
                  <w:tcBorders>
                    <w:top w:val="single" w:color="000000" w:sz="12"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742" w:type="dxa"/>
                  <w:tcBorders>
                    <w:top w:val="single" w:color="000000" w:sz="12" w:space="0"/>
                  </w:tcBorders>
                  <w:noWrap w:val="0"/>
                  <w:vAlign w:val="center"/>
                </w:tcPr>
                <w:p>
                  <w:pPr>
                    <w:spacing w:line="240" w:lineRule="auto"/>
                    <w:jc w:val="center"/>
                    <w:rPr>
                      <w:rFonts w:hint="default" w:ascii="Times New Roman" w:hAnsi="Times New Roman" w:eastAsia="宋体" w:cs="Times New Roman"/>
                      <w:color w:val="auto"/>
                    </w:rPr>
                  </w:pPr>
                  <w:r>
                    <w:rPr>
                      <w:rFonts w:hint="eastAsia" w:cs="Times New Roman"/>
                      <w:color w:val="auto"/>
                      <w:sz w:val="21"/>
                      <w:szCs w:val="21"/>
                      <w:lang w:val="en-US" w:eastAsia="zh-CN"/>
                    </w:rPr>
                    <w:t>DA001</w:t>
                  </w:r>
                </w:p>
              </w:tc>
              <w:tc>
                <w:tcPr>
                  <w:tcW w:w="1092" w:type="dxa"/>
                  <w:tcBorders>
                    <w:top w:val="single" w:color="000000" w:sz="12"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废气排放口</w:t>
                  </w:r>
                </w:p>
              </w:tc>
              <w:tc>
                <w:tcPr>
                  <w:tcW w:w="788" w:type="dxa"/>
                  <w:tcBorders>
                    <w:top w:val="single" w:color="000000" w:sz="12" w:space="0"/>
                  </w:tcBorders>
                  <w:noWrap w:val="0"/>
                  <w:vAlign w:val="center"/>
                </w:tcPr>
                <w:p>
                  <w:pPr>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颗粒物</w:t>
                  </w:r>
                </w:p>
              </w:tc>
              <w:tc>
                <w:tcPr>
                  <w:tcW w:w="1004" w:type="dxa"/>
                  <w:tcBorders>
                    <w:top w:val="single" w:color="000000" w:sz="12" w:space="0"/>
                  </w:tcBorders>
                  <w:noWrap w:val="0"/>
                  <w:vAlign w:val="center"/>
                </w:tcPr>
                <w:p>
                  <w:pPr>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84.93848920</w:t>
                  </w:r>
                </w:p>
              </w:tc>
              <w:tc>
                <w:tcPr>
                  <w:tcW w:w="1004" w:type="dxa"/>
                  <w:tcBorders>
                    <w:top w:val="single" w:color="000000" w:sz="12" w:space="0"/>
                  </w:tcBorders>
                  <w:noWrap w:val="0"/>
                  <w:vAlign w:val="center"/>
                </w:tcPr>
                <w:p>
                  <w:pPr>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44.73374748</w:t>
                  </w:r>
                </w:p>
              </w:tc>
              <w:tc>
                <w:tcPr>
                  <w:tcW w:w="699" w:type="dxa"/>
                  <w:tcBorders>
                    <w:top w:val="single" w:color="000000" w:sz="12" w:space="0"/>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707" w:type="dxa"/>
                  <w:tcBorders>
                    <w:top w:val="single" w:color="000000" w:sz="12"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0.5</w:t>
                  </w:r>
                </w:p>
              </w:tc>
              <w:tc>
                <w:tcPr>
                  <w:tcW w:w="710" w:type="dxa"/>
                  <w:tcBorders>
                    <w:top w:val="single" w:color="000000" w:sz="12"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25</w:t>
                  </w:r>
                </w:p>
              </w:tc>
              <w:tc>
                <w:tcPr>
                  <w:tcW w:w="710" w:type="dxa"/>
                  <w:tcBorders>
                    <w:top w:val="single" w:color="000000" w:sz="12" w:space="0"/>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1920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dxa"/>
                  <w:tcBorders>
                    <w:bottom w:val="single" w:color="000000" w:sz="12" w:space="0"/>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742" w:type="dxa"/>
                  <w:tcBorders>
                    <w:bottom w:val="single" w:color="000000" w:sz="12" w:space="0"/>
                  </w:tcBorders>
                  <w:noWrap w:val="0"/>
                  <w:vAlign w:val="center"/>
                </w:tcPr>
                <w:p>
                  <w:pPr>
                    <w:spacing w:line="240" w:lineRule="auto"/>
                    <w:jc w:val="center"/>
                    <w:rPr>
                      <w:rFonts w:hint="default" w:ascii="Times New Roman" w:hAnsi="Times New Roman" w:eastAsia="宋体" w:cs="Times New Roman"/>
                      <w:color w:val="auto"/>
                    </w:rPr>
                  </w:pPr>
                  <w:r>
                    <w:rPr>
                      <w:rFonts w:hint="eastAsia" w:cs="Times New Roman"/>
                      <w:color w:val="auto"/>
                      <w:sz w:val="21"/>
                      <w:szCs w:val="21"/>
                      <w:lang w:val="en-US" w:eastAsia="zh-CN"/>
                    </w:rPr>
                    <w:t>DA002</w:t>
                  </w:r>
                </w:p>
              </w:tc>
              <w:tc>
                <w:tcPr>
                  <w:tcW w:w="1092" w:type="dxa"/>
                  <w:tcBorders>
                    <w:bottom w:val="single" w:color="000000" w:sz="12"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废气排放口</w:t>
                  </w:r>
                </w:p>
              </w:tc>
              <w:tc>
                <w:tcPr>
                  <w:tcW w:w="788" w:type="dxa"/>
                  <w:tcBorders>
                    <w:bottom w:val="single" w:color="000000" w:sz="12" w:space="0"/>
                  </w:tcBorders>
                  <w:noWrap w:val="0"/>
                  <w:vAlign w:val="center"/>
                </w:tcPr>
                <w:p>
                  <w:pPr>
                    <w:spacing w:line="240" w:lineRule="auto"/>
                    <w:jc w:val="center"/>
                    <w:rPr>
                      <w:rFonts w:hint="default" w:ascii="Times New Roman" w:hAnsi="Times New Roman" w:eastAsia="宋体" w:cs="Times New Roman"/>
                      <w:color w:val="auto"/>
                    </w:rPr>
                  </w:pPr>
                  <w:r>
                    <w:rPr>
                      <w:rFonts w:hint="eastAsia" w:ascii="Times New Roman" w:hAnsi="Times New Roman" w:eastAsia="宋体" w:cs="Times New Roman"/>
                      <w:color w:val="auto"/>
                      <w:sz w:val="21"/>
                      <w:szCs w:val="21"/>
                      <w:lang w:eastAsia="zh-CN"/>
                    </w:rPr>
                    <w:t>非甲烷总烃（苯乙烯）、臭气浓度</w:t>
                  </w:r>
                </w:p>
              </w:tc>
              <w:tc>
                <w:tcPr>
                  <w:tcW w:w="1004" w:type="dxa"/>
                  <w:tcBorders>
                    <w:bottom w:val="single" w:color="000000" w:sz="12" w:space="0"/>
                  </w:tcBorders>
                  <w:noWrap w:val="0"/>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84.93878156</w:t>
                  </w:r>
                </w:p>
              </w:tc>
              <w:tc>
                <w:tcPr>
                  <w:tcW w:w="1004" w:type="dxa"/>
                  <w:tcBorders>
                    <w:bottom w:val="single" w:color="000000" w:sz="12" w:space="0"/>
                  </w:tcBorders>
                  <w:noWrap w:val="0"/>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44.73362363</w:t>
                  </w:r>
                </w:p>
              </w:tc>
              <w:tc>
                <w:tcPr>
                  <w:tcW w:w="699" w:type="dxa"/>
                  <w:tcBorders>
                    <w:bottom w:val="single" w:color="000000" w:sz="12" w:space="0"/>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707" w:type="dxa"/>
                  <w:tcBorders>
                    <w:bottom w:val="single" w:color="000000" w:sz="12" w:space="0"/>
                  </w:tcBorders>
                  <w:noWrap w:val="0"/>
                  <w:vAlign w:val="center"/>
                </w:tcPr>
                <w:p>
                  <w:pPr>
                    <w:jc w:val="center"/>
                    <w:rPr>
                      <w:rFonts w:hint="eastAsia" w:cs="Times New Roman"/>
                      <w:color w:val="auto"/>
                      <w:lang w:val="en-US" w:eastAsia="zh-CN"/>
                    </w:rPr>
                  </w:pPr>
                  <w:r>
                    <w:rPr>
                      <w:rFonts w:hint="eastAsia" w:cs="Times New Roman"/>
                      <w:color w:val="auto"/>
                      <w:lang w:val="en-US" w:eastAsia="zh-CN"/>
                    </w:rPr>
                    <w:t>0.5</w:t>
                  </w:r>
                </w:p>
              </w:tc>
              <w:tc>
                <w:tcPr>
                  <w:tcW w:w="710" w:type="dxa"/>
                  <w:tcBorders>
                    <w:bottom w:val="single" w:color="000000" w:sz="12"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25</w:t>
                  </w:r>
                </w:p>
              </w:tc>
              <w:tc>
                <w:tcPr>
                  <w:tcW w:w="710" w:type="dxa"/>
                  <w:tcBorders>
                    <w:bottom w:val="single" w:color="000000" w:sz="12" w:space="0"/>
                  </w:tcBorders>
                  <w:noWrap w:val="0"/>
                  <w:vAlign w:val="center"/>
                </w:tcPr>
                <w:p>
                  <w:pPr>
                    <w:jc w:val="center"/>
                    <w:rPr>
                      <w:rFonts w:hint="eastAsia" w:cs="Times New Roman"/>
                      <w:color w:val="auto"/>
                      <w:lang w:val="en-US" w:eastAsia="zh-CN"/>
                    </w:rPr>
                  </w:pPr>
                  <w:r>
                    <w:rPr>
                      <w:rFonts w:hint="eastAsia" w:cs="Times New Roman"/>
                      <w:color w:val="auto"/>
                      <w:lang w:val="en-US" w:eastAsia="zh-CN"/>
                    </w:rPr>
                    <w:t>1920</w:t>
                  </w:r>
                </w:p>
              </w:tc>
            </w:tr>
          </w:tbl>
          <w:p>
            <w:pPr>
              <w:spacing w:line="360" w:lineRule="auto"/>
              <w:rPr>
                <w:rFonts w:hint="eastAsia" w:cs="Times New Roman"/>
                <w:b/>
                <w:bCs/>
                <w:color w:val="auto"/>
                <w:sz w:val="24"/>
                <w:szCs w:val="24"/>
                <w:lang w:val="en-US" w:eastAsia="zh-CN" w:bidi="ar-SA"/>
              </w:rPr>
            </w:pPr>
            <w:r>
              <w:rPr>
                <w:rFonts w:hint="eastAsia" w:cs="Times New Roman"/>
                <w:b/>
                <w:bCs/>
                <w:color w:val="auto"/>
                <w:sz w:val="24"/>
                <w:szCs w:val="24"/>
                <w:lang w:val="en-US" w:eastAsia="zh-CN" w:bidi="ar-SA"/>
              </w:rPr>
              <w:t>1.2废气达标性分析</w:t>
            </w:r>
          </w:p>
          <w:p>
            <w:pPr>
              <w:spacing w:line="360" w:lineRule="auto"/>
              <w:rPr>
                <w:rFonts w:hint="eastAsia"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1.2.1有组织废气达标性分析</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rPr>
              <w:t>本项目针对</w:t>
            </w:r>
            <w:r>
              <w:rPr>
                <w:rFonts w:hint="eastAsia" w:cs="Times New Roman"/>
                <w:color w:val="auto"/>
                <w:sz w:val="24"/>
                <w:lang w:val="en-US" w:eastAsia="zh-CN"/>
              </w:rPr>
              <w:t>石英砂上料、修整工序</w:t>
            </w:r>
            <w:r>
              <w:rPr>
                <w:rFonts w:hint="eastAsia" w:ascii="Times New Roman" w:hAnsi="Times New Roman" w:eastAsia="宋体" w:cs="Times New Roman"/>
                <w:color w:val="auto"/>
                <w:sz w:val="24"/>
                <w:szCs w:val="24"/>
                <w:lang w:val="en-US" w:eastAsia="zh-CN"/>
              </w:rPr>
              <w:t>产生的颗粒物采取“集气罩收集+袋式除尘器”处理后通过一根15m高排气筒（DA001）高空排放。</w:t>
            </w:r>
            <w:r>
              <w:rPr>
                <w:rFonts w:hint="eastAsia" w:ascii="Times New Roman" w:hAnsi="Times New Roman" w:eastAsia="宋体" w:cs="Times New Roman"/>
                <w:color w:val="auto"/>
                <w:sz w:val="24"/>
                <w:szCs w:val="24"/>
                <w:lang w:val="en-US" w:eastAsia="zh-CN" w:bidi="ar-SA"/>
              </w:rPr>
              <w:t>袋式除尘技术：是利用纤维织物的过滤作用对含尘气体进行过滤，当含尘气体进入袋式除尘器后，颗粒大、比重大的颗粒物由于重力作用沉降下来，落入灰斗；含有较细小颗粒物的气体在通过滤料时，烟尘被阻留，使气体得到净化。</w:t>
            </w:r>
            <w:r>
              <w:rPr>
                <w:rFonts w:hint="eastAsia" w:ascii="Times New Roman" w:hAnsi="Times New Roman" w:eastAsia="宋体" w:cs="Times New Roman"/>
                <w:color w:val="auto"/>
                <w:sz w:val="24"/>
                <w:highlight w:val="none"/>
                <w:lang w:val="en-US" w:eastAsia="zh-CN"/>
              </w:rPr>
              <w:t>参考《排放源统计调查产排污核算方法和系数手册》</w:t>
            </w:r>
            <w:r>
              <w:rPr>
                <w:rFonts w:hint="eastAsia" w:cs="Times New Roman"/>
                <w:color w:val="auto"/>
                <w:sz w:val="24"/>
                <w:lang w:val="en-US" w:eastAsia="zh-CN"/>
              </w:rPr>
              <w:t>3062玻璃纤维增强塑料制品制造行业系数表</w:t>
            </w:r>
            <w:r>
              <w:rPr>
                <w:rFonts w:hint="eastAsia" w:ascii="Times New Roman" w:hAnsi="Times New Roman" w:eastAsia="宋体" w:cs="Times New Roman"/>
                <w:color w:val="auto"/>
                <w:sz w:val="24"/>
                <w:highlight w:val="none"/>
                <w:lang w:val="en-US" w:eastAsia="zh-CN"/>
              </w:rPr>
              <w:t>，袋式除尘器处理效率可达99%，经计算，项目处理后的颗粒物排放浓度为5.11mg/m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szCs w:val="24"/>
                <w:lang w:val="en-US" w:eastAsia="zh-CN" w:bidi="ar-SA"/>
              </w:rPr>
              <w:t>，能够满足</w:t>
            </w:r>
            <w:r>
              <w:rPr>
                <w:rFonts w:hint="default" w:ascii="Times New Roman" w:hAnsi="Times New Roman" w:cs="Times New Roman"/>
                <w:color w:val="auto"/>
                <w:sz w:val="24"/>
                <w:lang w:val="en-US" w:eastAsia="zh-CN"/>
              </w:rPr>
              <w:t>《合成树脂工业污染物排放标准》（GB31572-2015）中表5大气污染物特别排放标准</w:t>
            </w:r>
            <w:r>
              <w:rPr>
                <w:rFonts w:hint="eastAsia" w:cs="Times New Roman"/>
                <w:color w:val="auto"/>
                <w:sz w:val="24"/>
                <w:szCs w:val="24"/>
                <w:lang w:val="en-US" w:eastAsia="zh-CN" w:bidi="ar-SA"/>
              </w:rPr>
              <w:t>（颗粒物：20mg/m</w:t>
            </w:r>
            <w:r>
              <w:rPr>
                <w:rFonts w:hint="eastAsia" w:cs="Times New Roman"/>
                <w:color w:val="auto"/>
                <w:sz w:val="24"/>
                <w:szCs w:val="24"/>
                <w:vertAlign w:val="superscript"/>
                <w:lang w:val="en-US" w:eastAsia="zh-CN" w:bidi="ar-SA"/>
              </w:rPr>
              <w:t>3</w:t>
            </w:r>
            <w:r>
              <w:rPr>
                <w:rFonts w:hint="eastAsia" w:cs="Times New Roman"/>
                <w:color w:val="auto"/>
                <w:sz w:val="24"/>
                <w:szCs w:val="24"/>
                <w:lang w:val="en-US" w:eastAsia="zh-CN" w:bidi="ar-SA"/>
              </w:rPr>
              <w:t>）</w:t>
            </w:r>
            <w:r>
              <w:rPr>
                <w:rFonts w:hint="eastAsia" w:ascii="Times New Roman" w:hAnsi="Times New Roman" w:eastAsia="宋体" w:cs="Times New Roman"/>
                <w:color w:val="auto"/>
                <w:sz w:val="24"/>
                <w:szCs w:val="24"/>
                <w:vertAlign w:val="baseline"/>
                <w:lang w:eastAsia="zh-CN" w:bidi="ar-SA"/>
              </w:rPr>
              <w:t>，</w:t>
            </w:r>
            <w:r>
              <w:rPr>
                <w:rFonts w:hint="eastAsia" w:ascii="Times New Roman" w:hAnsi="Times New Roman" w:eastAsia="宋体" w:cs="Times New Roman"/>
                <w:color w:val="auto"/>
                <w:sz w:val="24"/>
                <w:szCs w:val="24"/>
                <w:lang w:val="en-US" w:eastAsia="zh-CN" w:bidi="ar-SA"/>
              </w:rPr>
              <w:t>运行费用主要源于滤袋更换。因此，本项目针对</w:t>
            </w:r>
            <w:r>
              <w:rPr>
                <w:rFonts w:hint="eastAsia" w:cs="Times New Roman"/>
                <w:color w:val="auto"/>
                <w:sz w:val="24"/>
                <w:lang w:val="en-US" w:eastAsia="zh-CN"/>
              </w:rPr>
              <w:t>石英砂上料、修整工序</w:t>
            </w:r>
            <w:r>
              <w:rPr>
                <w:rFonts w:hint="eastAsia" w:ascii="Times New Roman" w:hAnsi="Times New Roman" w:eastAsia="宋体" w:cs="Times New Roman"/>
                <w:color w:val="auto"/>
                <w:sz w:val="24"/>
                <w:szCs w:val="24"/>
                <w:lang w:val="en-US" w:eastAsia="zh-CN"/>
              </w:rPr>
              <w:t>产生的颗粒物</w:t>
            </w:r>
            <w:r>
              <w:rPr>
                <w:rFonts w:hint="eastAsia" w:ascii="Times New Roman" w:hAnsi="Times New Roman" w:eastAsia="宋体" w:cs="Times New Roman"/>
                <w:color w:val="auto"/>
                <w:sz w:val="24"/>
                <w:szCs w:val="24"/>
                <w:lang w:val="en-US" w:eastAsia="zh-CN" w:bidi="ar-SA"/>
              </w:rPr>
              <w:t>采取</w:t>
            </w:r>
            <w:r>
              <w:rPr>
                <w:rFonts w:hint="eastAsia" w:ascii="Times New Roman" w:hAnsi="Times New Roman" w:eastAsia="宋体" w:cs="Times New Roman"/>
                <w:color w:val="auto"/>
                <w:sz w:val="24"/>
                <w:szCs w:val="24"/>
                <w:lang w:eastAsia="zh-CN" w:bidi="ar-SA"/>
              </w:rPr>
              <w:t>的污染防治措施是可行的</w:t>
            </w:r>
            <w:r>
              <w:rPr>
                <w:rFonts w:hint="eastAsia" w:ascii="Times New Roman" w:hAnsi="Times New Roman" w:eastAsia="宋体" w:cs="Times New Roman"/>
                <w:color w:val="auto"/>
                <w:sz w:val="24"/>
                <w:szCs w:val="24"/>
                <w:lang w:val="en-US" w:eastAsia="zh-CN"/>
              </w:rPr>
              <w:t>。</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rPr>
              <w:t>本项目针对</w:t>
            </w:r>
            <w:r>
              <w:rPr>
                <w:rFonts w:hint="eastAsia" w:cs="Times New Roman"/>
                <w:color w:val="auto"/>
                <w:sz w:val="24"/>
                <w:lang w:val="en-US" w:eastAsia="zh-CN"/>
              </w:rPr>
              <w:t>浸胶、缠绕、自然固化工序</w:t>
            </w:r>
            <w:r>
              <w:rPr>
                <w:rFonts w:hint="eastAsia" w:ascii="Times New Roman" w:hAnsi="Times New Roman" w:eastAsia="宋体" w:cs="Times New Roman"/>
                <w:color w:val="auto"/>
                <w:sz w:val="24"/>
                <w:szCs w:val="24"/>
                <w:lang w:val="en-US" w:eastAsia="zh-CN"/>
              </w:rPr>
              <w:t>产生的有机废气采取“集气罩收集+活性炭吸附脱附+催化燃烧装置”处理后通过一根15m高排气筒（DA002）高空排放。</w:t>
            </w:r>
            <w:r>
              <w:rPr>
                <w:rFonts w:hint="default" w:ascii="Times New Roman" w:hAnsi="Times New Roman" w:eastAsia="宋体" w:cs="Times New Roman"/>
                <w:color w:val="auto"/>
                <w:sz w:val="24"/>
                <w:szCs w:val="24"/>
                <w:lang w:val="en-US" w:eastAsia="zh-CN" w:bidi="ar-SA"/>
              </w:rPr>
              <w:t>根据《重点行业挥发性有机物综合治理方案》（环大气[2019]53号）</w:t>
            </w:r>
            <w:r>
              <w:rPr>
                <w:rFonts w:hint="eastAsia" w:ascii="Times New Roman" w:hAnsi="Times New Roman" w:cs="Times New Roman"/>
                <w:color w:val="auto"/>
                <w:sz w:val="24"/>
                <w:szCs w:val="24"/>
                <w:lang w:val="en-US" w:eastAsia="zh-CN" w:bidi="ar-SA"/>
              </w:rPr>
              <w:t>、《催化燃烧法工业有机废气治理工程技术规范》（HJ2027-2013）和</w:t>
            </w:r>
            <w:r>
              <w:rPr>
                <w:rFonts w:hint="default" w:ascii="Times New Roman" w:hAnsi="Times New Roman" w:eastAsia="宋体" w:cs="Times New Roman"/>
                <w:color w:val="auto"/>
                <w:sz w:val="24"/>
                <w:szCs w:val="24"/>
                <w:lang w:val="en-US" w:eastAsia="zh-CN" w:bidi="ar-SA"/>
              </w:rPr>
              <w:t>《吸附法工业有机废气治理工程技术规范》（HJ2026-2013）：低浓度、大风量废气，宜采用沸石转轮吸附、活性炭吸附、减风增浓等浓缩技术。</w:t>
            </w:r>
          </w:p>
          <w:p>
            <w:pPr>
              <w:spacing w:line="360" w:lineRule="auto"/>
              <w:ind w:firstLine="480" w:firstLineChars="200"/>
              <w:rPr>
                <w:rFonts w:hint="eastAsia" w:ascii="Times New Roman" w:hAnsi="Times New Roman" w:cs="Times New Roman"/>
                <w:color w:val="auto"/>
                <w:sz w:val="24"/>
                <w:szCs w:val="24"/>
                <w:lang w:val="en-US" w:eastAsia="zh-CN" w:bidi="ar-SA"/>
              </w:rPr>
            </w:pPr>
            <w:r>
              <w:rPr>
                <w:rFonts w:hint="eastAsia" w:ascii="Times New Roman" w:hAnsi="Times New Roman" w:cs="Times New Roman"/>
                <w:color w:val="auto"/>
                <w:sz w:val="24"/>
                <w:szCs w:val="24"/>
                <w:lang w:val="en-US" w:eastAsia="zh-CN" w:bidi="ar-SA"/>
              </w:rPr>
              <w:t>活性炭吸附脱附+催化燃烧装置：活性炭吸附脱附-催化燃烧装置对脱附废气加热采用无污染、运行稳定的电加热方式，电加热室内的总功率为24kw，电热管分成二组、由电控箱自动控制，当废气温度低于一定温度时（可设定）电热管会自动接通电源给废气加热，当废气温度高于一定温度时（可设定）电热管会自动断开一组、二组或全部电源以节约电能及达到安全运行。电热管选用耐热耐用的不锈钢电热管。</w:t>
            </w:r>
          </w:p>
          <w:p>
            <w:pPr>
              <w:spacing w:line="360" w:lineRule="auto"/>
              <w:ind w:firstLine="480" w:firstLineChars="200"/>
              <w:rPr>
                <w:rFonts w:hint="eastAsia" w:ascii="Times New Roman" w:hAnsi="Times New Roman" w:cs="Times New Roman"/>
                <w:color w:val="auto"/>
                <w:sz w:val="24"/>
                <w:szCs w:val="24"/>
                <w:lang w:val="en-US" w:eastAsia="zh-CN" w:bidi="ar-SA"/>
              </w:rPr>
            </w:pPr>
            <w:r>
              <w:rPr>
                <w:rFonts w:hint="eastAsia" w:ascii="Times New Roman" w:hAnsi="Times New Roman" w:cs="Times New Roman"/>
                <w:color w:val="auto"/>
                <w:sz w:val="24"/>
                <w:szCs w:val="24"/>
                <w:lang w:val="en-US" w:eastAsia="zh-CN" w:bidi="ar-SA"/>
              </w:rPr>
              <w:t>催化燃烧装置由内胆和外壳组成，内外壳间填满隔热材料保证炉体外壁温度在60℃以下，以防烫伤操作人员和节约能源。内胆和外壳选用碳钢材料制作。催化燃烧装置增加了管式热交换器，燃烧后的高温气体经过热交换器时会把部分热能传递给未处理的低温有机废气，使热能得到充分利用，节约能源。催化室内的催化剂选用陶瓷为基体，外表涂层铂和钯，借助催化剂可大幅降低有机物的起燃温度，进行无焰燃烧。</w:t>
            </w:r>
          </w:p>
          <w:p>
            <w:pPr>
              <w:spacing w:line="360" w:lineRule="auto"/>
              <w:ind w:firstLine="480" w:firstLineChars="200"/>
              <w:rPr>
                <w:rFonts w:hint="default" w:ascii="Times New Roman" w:hAnsi="Times New Roman" w:eastAsia="宋体" w:cs="Times New Roman"/>
                <w:bCs/>
                <w:color w:val="auto"/>
                <w:sz w:val="24"/>
                <w:szCs w:val="24"/>
                <w:lang w:bidi="ar-SA"/>
              </w:rPr>
            </w:pPr>
            <w:r>
              <w:rPr>
                <w:rFonts w:hint="eastAsia" w:ascii="Times New Roman" w:hAnsi="Times New Roman" w:cs="Times New Roman"/>
                <w:color w:val="auto"/>
                <w:sz w:val="24"/>
                <w:szCs w:val="24"/>
                <w:lang w:val="en-US" w:eastAsia="zh-CN" w:bidi="ar-SA"/>
              </w:rPr>
              <w:t>根据</w:t>
            </w:r>
            <w:r>
              <w:rPr>
                <w:rFonts w:hint="default" w:ascii="Times New Roman" w:hAnsi="Times New Roman" w:eastAsia="宋体" w:cs="Times New Roman"/>
                <w:color w:val="auto"/>
                <w:sz w:val="24"/>
                <w:szCs w:val="24"/>
                <w:lang w:val="en-US" w:eastAsia="zh-CN" w:bidi="ar-SA"/>
              </w:rPr>
              <w:t>本项目废气低浓度、大风量</w:t>
            </w:r>
            <w:r>
              <w:rPr>
                <w:rFonts w:hint="eastAsia" w:ascii="Times New Roman" w:hAnsi="Times New Roman" w:cs="Times New Roman"/>
                <w:color w:val="auto"/>
                <w:sz w:val="24"/>
                <w:szCs w:val="24"/>
                <w:lang w:val="en-US" w:eastAsia="zh-CN" w:bidi="ar-SA"/>
              </w:rPr>
              <w:t>等特性</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cs="Times New Roman"/>
                <w:color w:val="auto"/>
                <w:sz w:val="24"/>
                <w:szCs w:val="24"/>
                <w:lang w:val="en-US" w:eastAsia="zh-CN" w:bidi="ar-SA"/>
              </w:rPr>
              <w:t>本项目选用</w:t>
            </w:r>
            <w:r>
              <w:rPr>
                <w:rFonts w:hint="eastAsia" w:ascii="Times New Roman" w:hAnsi="Times New Roman" w:cs="Times New Roman"/>
                <w:color w:val="auto"/>
                <w:sz w:val="24"/>
                <w:lang w:val="en-US" w:eastAsia="zh-CN"/>
              </w:rPr>
              <w:t>活性炭吸附脱附+催化燃烧装置</w:t>
            </w:r>
            <w:r>
              <w:rPr>
                <w:rFonts w:hint="default" w:ascii="Times New Roman" w:hAnsi="Times New Roman" w:eastAsia="宋体" w:cs="Times New Roman"/>
                <w:color w:val="auto"/>
                <w:sz w:val="24"/>
                <w:szCs w:val="24"/>
                <w:lang w:val="en-US" w:eastAsia="zh-CN" w:bidi="ar-SA"/>
              </w:rPr>
              <w:t>的处置方式，处理后经15m排气筒排放，可达标排放，符合治理方案的要求。苯乙烯有组织</w:t>
            </w:r>
            <w:r>
              <w:rPr>
                <w:rFonts w:hint="default" w:ascii="Times New Roman" w:hAnsi="Times New Roman" w:eastAsia="宋体" w:cs="Times New Roman"/>
                <w:color w:val="auto"/>
                <w:sz w:val="24"/>
                <w:szCs w:val="24"/>
                <w:lang w:eastAsia="zh-CN"/>
              </w:rPr>
              <w:t>废气</w:t>
            </w:r>
            <w:r>
              <w:rPr>
                <w:rFonts w:hint="eastAsia" w:ascii="Times New Roman" w:hAnsi="Times New Roman" w:eastAsia="宋体" w:cs="Times New Roman"/>
                <w:color w:val="auto"/>
                <w:sz w:val="24"/>
                <w:szCs w:val="24"/>
                <w:lang w:eastAsia="zh-CN"/>
              </w:rPr>
              <w:t>排放浓度</w:t>
            </w:r>
            <w:r>
              <w:rPr>
                <w:rFonts w:hint="default" w:ascii="Times New Roman" w:hAnsi="Times New Roman" w:eastAsia="宋体" w:cs="Times New Roman"/>
                <w:color w:val="auto"/>
                <w:sz w:val="24"/>
                <w:szCs w:val="24"/>
                <w:lang w:eastAsia="zh-CN"/>
              </w:rPr>
              <w:t>满足</w:t>
            </w:r>
            <w:r>
              <w:rPr>
                <w:rFonts w:hint="default" w:ascii="Times New Roman" w:hAnsi="Times New Roman" w:eastAsia="宋体" w:cs="Times New Roman"/>
                <w:color w:val="auto"/>
                <w:sz w:val="24"/>
                <w:szCs w:val="24"/>
                <w:lang w:val="en-US" w:eastAsia="zh-CN" w:bidi="ar-SA"/>
              </w:rPr>
              <w:t>《合成树脂工业污染物排放标准》（GB31572-2015）中表5大气污染物特别排放标准20</w:t>
            </w:r>
            <w:r>
              <w:rPr>
                <w:rFonts w:hint="default" w:ascii="Times New Roman" w:hAnsi="Times New Roman" w:eastAsia="宋体" w:cs="Times New Roman"/>
                <w:color w:val="auto"/>
                <w:kern w:val="28"/>
                <w:sz w:val="24"/>
                <w:szCs w:val="24"/>
                <w:highlight w:val="none"/>
                <w:lang w:val="en-US" w:eastAsia="zh-CN" w:bidi="ar-SA"/>
              </w:rPr>
              <w:t>mg/m</w:t>
            </w:r>
            <w:r>
              <w:rPr>
                <w:rFonts w:hint="default" w:ascii="Times New Roman" w:hAnsi="Times New Roman" w:eastAsia="宋体" w:cs="Times New Roman"/>
                <w:color w:val="auto"/>
                <w:kern w:val="28"/>
                <w:sz w:val="24"/>
                <w:szCs w:val="24"/>
                <w:highlight w:val="none"/>
                <w:vertAlign w:val="superscript"/>
                <w:lang w:val="en-US" w:eastAsia="zh-CN" w:bidi="ar-SA"/>
              </w:rPr>
              <w:t>3</w:t>
            </w:r>
            <w:r>
              <w:rPr>
                <w:rFonts w:hint="eastAsia" w:ascii="Times New Roman" w:hAnsi="Times New Roman" w:eastAsia="宋体" w:cs="Times New Roman"/>
                <w:color w:val="auto"/>
                <w:kern w:val="28"/>
                <w:sz w:val="24"/>
                <w:szCs w:val="24"/>
                <w:highlight w:val="none"/>
                <w:vertAlign w:val="baseline"/>
                <w:lang w:val="en-US" w:eastAsia="zh-CN" w:bidi="ar-SA"/>
              </w:rPr>
              <w:t>、</w:t>
            </w:r>
            <w:r>
              <w:rPr>
                <w:rFonts w:hint="default" w:ascii="Times New Roman" w:hAnsi="Times New Roman" w:eastAsia="宋体" w:cs="Times New Roman"/>
                <w:color w:val="auto"/>
                <w:sz w:val="24"/>
                <w:szCs w:val="24"/>
                <w:lang w:val="en-US" w:eastAsia="zh-CN" w:bidi="ar-SA"/>
              </w:rPr>
              <w:t>苯乙烯有组织</w:t>
            </w:r>
            <w:r>
              <w:rPr>
                <w:rFonts w:hint="default" w:ascii="Times New Roman" w:hAnsi="Times New Roman" w:eastAsia="宋体" w:cs="Times New Roman"/>
                <w:color w:val="auto"/>
                <w:sz w:val="24"/>
                <w:szCs w:val="24"/>
                <w:lang w:eastAsia="zh-CN"/>
              </w:rPr>
              <w:t>废气</w:t>
            </w:r>
            <w:r>
              <w:rPr>
                <w:rFonts w:hint="eastAsia" w:ascii="Times New Roman" w:hAnsi="Times New Roman" w:eastAsia="宋体" w:cs="Times New Roman"/>
                <w:color w:val="auto"/>
                <w:kern w:val="28"/>
                <w:sz w:val="24"/>
                <w:szCs w:val="24"/>
                <w:highlight w:val="none"/>
                <w:vertAlign w:val="baseline"/>
                <w:lang w:val="en-US" w:eastAsia="zh-CN" w:bidi="ar-SA"/>
              </w:rPr>
              <w:t>排放量满足《恶臭污染物排放标准》（GB14554-93）中表2排放标准限值（苯乙烯：6.5kg/h）</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auto"/>
                <w:sz w:val="24"/>
                <w:szCs w:val="24"/>
                <w:lang w:eastAsia="zh-CN"/>
              </w:rPr>
              <w:t>非甲烷总烃</w:t>
            </w:r>
            <w:r>
              <w:rPr>
                <w:rFonts w:hint="eastAsia" w:ascii="Times New Roman" w:hAnsi="Times New Roman" w:eastAsia="宋体" w:cs="Times New Roman"/>
                <w:color w:val="auto"/>
                <w:sz w:val="24"/>
                <w:szCs w:val="24"/>
                <w:lang w:eastAsia="zh-CN"/>
              </w:rPr>
              <w:t>有组织排放浓度</w:t>
            </w:r>
            <w:r>
              <w:rPr>
                <w:rFonts w:hint="default" w:ascii="Times New Roman" w:hAnsi="Times New Roman" w:eastAsia="宋体" w:cs="Times New Roman"/>
                <w:color w:val="auto"/>
                <w:sz w:val="24"/>
                <w:szCs w:val="24"/>
                <w:lang w:eastAsia="zh-CN"/>
              </w:rPr>
              <w:t>满足</w:t>
            </w:r>
            <w:r>
              <w:rPr>
                <w:rFonts w:hint="default" w:ascii="Times New Roman" w:hAnsi="Times New Roman" w:eastAsia="宋体" w:cs="Times New Roman"/>
                <w:color w:val="auto"/>
                <w:sz w:val="24"/>
                <w:szCs w:val="24"/>
                <w:lang w:val="en-US" w:eastAsia="zh-CN" w:bidi="ar-SA"/>
              </w:rPr>
              <w:t>《合成树脂工业污染物排放标准》（GB31572-2015）</w:t>
            </w:r>
            <w:r>
              <w:rPr>
                <w:rFonts w:hint="default" w:ascii="Times New Roman" w:hAnsi="Times New Roman" w:eastAsia="宋体" w:cs="Times New Roman"/>
                <w:color w:val="auto"/>
                <w:sz w:val="24"/>
                <w:szCs w:val="24"/>
                <w:lang w:bidi="ar-SA"/>
              </w:rPr>
              <w:t>中表</w:t>
            </w:r>
            <w:r>
              <w:rPr>
                <w:rFonts w:hint="default" w:ascii="Times New Roman" w:hAnsi="Times New Roman" w:eastAsia="宋体" w:cs="Times New Roman"/>
                <w:color w:val="auto"/>
                <w:sz w:val="24"/>
                <w:szCs w:val="24"/>
                <w:lang w:val="en-US" w:eastAsia="zh-CN" w:bidi="ar-SA"/>
              </w:rPr>
              <w:t>5中大气污染物特别排放标准</w:t>
            </w:r>
            <w:r>
              <w:rPr>
                <w:rFonts w:hint="eastAsia" w:ascii="Times New Roman" w:hAnsi="Times New Roman" w:eastAsia="宋体" w:cs="Times New Roman"/>
                <w:color w:val="auto"/>
                <w:sz w:val="24"/>
                <w:szCs w:val="24"/>
                <w:lang w:val="en-US" w:eastAsia="zh-CN" w:bidi="ar-SA"/>
              </w:rPr>
              <w:t>60</w:t>
            </w:r>
            <w:r>
              <w:rPr>
                <w:rFonts w:hint="default" w:ascii="Times New Roman" w:hAnsi="Times New Roman" w:eastAsia="宋体" w:cs="Times New Roman"/>
                <w:color w:val="auto"/>
                <w:kern w:val="28"/>
                <w:sz w:val="24"/>
                <w:szCs w:val="24"/>
                <w:highlight w:val="none"/>
                <w:lang w:val="en-US" w:eastAsia="zh-CN" w:bidi="ar-SA"/>
              </w:rPr>
              <w:t>mg/m</w:t>
            </w:r>
            <w:r>
              <w:rPr>
                <w:rFonts w:hint="default" w:ascii="Times New Roman" w:hAnsi="Times New Roman" w:eastAsia="宋体" w:cs="Times New Roman"/>
                <w:color w:val="auto"/>
                <w:kern w:val="28"/>
                <w:sz w:val="24"/>
                <w:szCs w:val="24"/>
                <w:highlight w:val="none"/>
                <w:vertAlign w:val="superscript"/>
                <w:lang w:val="en-US" w:eastAsia="zh-CN" w:bidi="ar-SA"/>
              </w:rPr>
              <w:t>3</w:t>
            </w:r>
            <w:r>
              <w:rPr>
                <w:rFonts w:hint="eastAsia" w:ascii="Times New Roman" w:hAnsi="Times New Roman" w:eastAsia="宋体" w:cs="Times New Roman"/>
                <w:color w:val="auto"/>
                <w:kern w:val="28"/>
                <w:sz w:val="24"/>
                <w:szCs w:val="24"/>
                <w:highlight w:val="none"/>
                <w:vertAlign w:val="baseline"/>
                <w:lang w:val="en-US" w:eastAsia="zh-CN" w:bidi="ar-SA"/>
              </w:rPr>
              <w:t>；</w:t>
            </w:r>
            <w:r>
              <w:rPr>
                <w:rFonts w:hint="eastAsia" w:ascii="Times New Roman" w:hAnsi="Times New Roman" w:eastAsia="宋体" w:cs="Times New Roman"/>
                <w:color w:val="auto"/>
                <w:sz w:val="24"/>
                <w:szCs w:val="24"/>
                <w:lang w:eastAsia="zh-CN" w:bidi="ar-SA"/>
              </w:rPr>
              <w:t>臭气浓度有组织排放满足《恶臭污染物排放标准》（GB14554-93）表</w:t>
            </w:r>
            <w:r>
              <w:rPr>
                <w:rFonts w:hint="eastAsia" w:ascii="Times New Roman" w:hAnsi="Times New Roman" w:eastAsia="宋体" w:cs="Times New Roman"/>
                <w:color w:val="auto"/>
                <w:sz w:val="24"/>
                <w:szCs w:val="24"/>
                <w:lang w:val="en-US" w:eastAsia="zh-CN" w:bidi="ar-SA"/>
              </w:rPr>
              <w:t>2</w:t>
            </w:r>
            <w:r>
              <w:rPr>
                <w:rFonts w:hint="eastAsia" w:ascii="Times New Roman" w:hAnsi="Times New Roman" w:eastAsia="宋体" w:cs="Times New Roman"/>
                <w:color w:val="auto"/>
                <w:sz w:val="24"/>
                <w:szCs w:val="24"/>
                <w:lang w:eastAsia="zh-CN" w:bidi="ar-SA"/>
              </w:rPr>
              <w:t>标准限值（</w:t>
            </w:r>
            <w:r>
              <w:rPr>
                <w:rFonts w:hint="eastAsia" w:ascii="Times New Roman" w:hAnsi="Times New Roman" w:eastAsia="宋体" w:cs="Times New Roman"/>
                <w:color w:val="auto"/>
                <w:sz w:val="24"/>
                <w:szCs w:val="24"/>
                <w:lang w:val="en-US" w:eastAsia="zh-CN" w:bidi="ar-SA"/>
              </w:rPr>
              <w:t>2000无量纲</w:t>
            </w:r>
            <w:r>
              <w:rPr>
                <w:rFonts w:hint="eastAsia" w:ascii="Times New Roman" w:hAnsi="Times New Roman" w:eastAsia="宋体" w:cs="Times New Roman"/>
                <w:color w:val="auto"/>
                <w:sz w:val="24"/>
                <w:szCs w:val="24"/>
                <w:lang w:eastAsia="zh-CN" w:bidi="ar-SA"/>
              </w:rPr>
              <w:t>）</w:t>
            </w:r>
            <w:r>
              <w:rPr>
                <w:rFonts w:hint="default" w:ascii="Times New Roman" w:hAnsi="Times New Roman" w:eastAsia="宋体" w:cs="Times New Roman"/>
                <w:bCs/>
                <w:color w:val="auto"/>
                <w:sz w:val="24"/>
                <w:szCs w:val="24"/>
                <w:lang w:bidi="ar-SA"/>
              </w:rPr>
              <w:t>。</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cs="Times New Roman"/>
                <w:b/>
                <w:bCs/>
                <w:color w:val="auto"/>
                <w:sz w:val="24"/>
                <w:szCs w:val="24"/>
                <w:lang w:val="en-US" w:eastAsia="zh-CN" w:bidi="ar-SA"/>
              </w:rPr>
              <w:t>1.2.2无组织废气管控措施及达标分析</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拟建项目运行过程中无组织有机废气管控措施应满足《挥发性有机物无组织排放控制标准》（GB37822-2019）及《挥发性有机物（VOCs）污染防治技术政策》（公告2013年第31号）的要求，具体如下：</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（1）涉VOCs物料储存的无组织排放控制要求</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1）含VOCs原辅材料在非取用状态时应储存于密闭的容器、包装袋、储罐中，并存放于安全、合规场所。</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2）生产过程中产生的含VOCs废料（渣、液）、废活性炭等含VOCs的危险废物，应分类放置于贴有标识的容器或包装袋内，加盖、封口，保持密闭，并及时转运、处置，减少在车间或危废库中的存放时间。危险废物贮存应满足GB18597的相关要求。</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3）存放过含VOCs原辅材料及含VOCs废物的容器或包装袋应加盖、封口或存放于密闭空间。</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4）储存含VOCs原辅材料的容器材质应结实、耐用，无破损、无泄漏，封闭良好。除水性涂料的原辅材料可选择塑料材质容器外，其余原辅材料宜选择铁质容器。</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（2）工艺过程VOCs无组织排放控制要求</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1）VOCs物料的配料、投加、研磨、分散、调色、过滤以及灌装或包装等过程，应采用密闭设备或在密闭空间内操作，废气应排至废气收集处理系统；无法密闭的，应采取局部气体收集措施，废气应排至废气收集处理系统。</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2）移动缸及设备零件清洗时，应采用密闭系统或在密闭空间内操作，废气应排至VOCs废气收集处理系统。</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3）载有VOCs物料的设备及其管道在开停工（车）、检维修和清洗时，应在退料阶段将残存物料退净，并用密闭容器盛装，退料过程废气应排至VOCs废气收集处理系统；清洗及吹扫过程排气应排至VOCs废气收集处理系统。</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4）企业应按照HJ944要求建立台账，记录含VOCs原辅材料名称、使用量、回收量、废弃量、去向以及VOCs含量等信息。台账保存期限不少于3年。</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5）高位槽（罐）进料时置换的废气应排至VOCs废气收集处理系统或气相平衡系统。</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（3）无组织排放废气达标分析</w:t>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采取上述治理措施后，拟建项目颗粒物无组织排放浓度满足《合成树脂工业污染物排放标准》（GB31572-2015）中表9企业边界大气污染物浓度限值</w:t>
            </w:r>
            <w:r>
              <w:rPr>
                <w:rFonts w:hint="eastAsia" w:cs="Times New Roman"/>
                <w:color w:val="auto"/>
                <w:sz w:val="24"/>
                <w:szCs w:val="24"/>
                <w:lang w:val="en-US" w:eastAsia="zh-CN" w:bidi="ar-SA"/>
              </w:rPr>
              <w:t>（颗粒物：1.0mg/m</w:t>
            </w:r>
            <w:r>
              <w:rPr>
                <w:rFonts w:hint="eastAsia" w:cs="Times New Roman"/>
                <w:color w:val="auto"/>
                <w:sz w:val="24"/>
                <w:szCs w:val="24"/>
                <w:vertAlign w:val="superscript"/>
                <w:lang w:val="en-US" w:eastAsia="zh-CN" w:bidi="ar-SA"/>
              </w:rPr>
              <w:t>3</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苯乙烯</w:t>
            </w:r>
            <w:r>
              <w:rPr>
                <w:rFonts w:hint="default" w:ascii="Times New Roman" w:hAnsi="Times New Roman" w:eastAsia="宋体" w:cs="Times New Roman"/>
                <w:color w:val="auto"/>
                <w:sz w:val="24"/>
                <w:szCs w:val="24"/>
                <w:lang w:eastAsia="zh-CN" w:bidi="ar-SA"/>
              </w:rPr>
              <w:t>无组织</w:t>
            </w:r>
            <w:r>
              <w:rPr>
                <w:rFonts w:hint="eastAsia" w:ascii="Times New Roman" w:hAnsi="Times New Roman" w:eastAsia="宋体" w:cs="Times New Roman"/>
                <w:color w:val="auto"/>
                <w:sz w:val="24"/>
                <w:szCs w:val="24"/>
                <w:lang w:eastAsia="zh-CN" w:bidi="ar-SA"/>
              </w:rPr>
              <w:t>排放</w:t>
            </w:r>
            <w:r>
              <w:rPr>
                <w:rFonts w:hint="eastAsia" w:ascii="Times New Roman" w:hAnsi="Times New Roman" w:eastAsia="宋体" w:cs="Times New Roman"/>
                <w:color w:val="auto"/>
                <w:sz w:val="24"/>
                <w:szCs w:val="24"/>
                <w:lang w:val="en-US" w:eastAsia="zh-CN" w:bidi="ar-SA"/>
              </w:rPr>
              <w:t>浓度</w:t>
            </w:r>
            <w:r>
              <w:rPr>
                <w:rFonts w:hint="default" w:ascii="Times New Roman" w:hAnsi="Times New Roman" w:eastAsia="宋体" w:cs="Times New Roman"/>
                <w:color w:val="auto"/>
                <w:sz w:val="24"/>
                <w:szCs w:val="24"/>
                <w:lang w:eastAsia="zh-CN" w:bidi="ar-SA"/>
              </w:rPr>
              <w:t>满足</w:t>
            </w:r>
            <w:r>
              <w:rPr>
                <w:rFonts w:hint="default" w:ascii="Times New Roman" w:hAnsi="Times New Roman" w:eastAsia="宋体" w:cs="Times New Roman"/>
                <w:color w:val="auto"/>
                <w:sz w:val="24"/>
                <w:szCs w:val="24"/>
                <w:lang w:val="en-US" w:eastAsia="zh-CN" w:bidi="ar-SA"/>
              </w:rPr>
              <w:t>《恶臭污染物排放标准》（GB14554-93）表1二级标准5.0</w:t>
            </w:r>
            <w:r>
              <w:rPr>
                <w:rFonts w:hint="default" w:ascii="Times New Roman" w:hAnsi="Times New Roman" w:eastAsia="宋体" w:cs="Times New Roman"/>
                <w:color w:val="auto"/>
                <w:kern w:val="28"/>
                <w:sz w:val="24"/>
                <w:szCs w:val="24"/>
                <w:highlight w:val="none"/>
                <w:lang w:val="en-US" w:eastAsia="zh-CN" w:bidi="ar-SA"/>
              </w:rPr>
              <w:t>mg/m</w:t>
            </w:r>
            <w:r>
              <w:rPr>
                <w:rFonts w:hint="default" w:ascii="Times New Roman" w:hAnsi="Times New Roman" w:eastAsia="宋体" w:cs="Times New Roman"/>
                <w:color w:val="auto"/>
                <w:kern w:val="28"/>
                <w:sz w:val="24"/>
                <w:szCs w:val="24"/>
                <w:highlight w:val="none"/>
                <w:vertAlign w:val="superscript"/>
                <w:lang w:val="en-US" w:eastAsia="zh-CN" w:bidi="ar-SA"/>
              </w:rPr>
              <w:t>3</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auto"/>
                <w:sz w:val="24"/>
                <w:szCs w:val="24"/>
                <w:lang w:eastAsia="zh-CN"/>
              </w:rPr>
              <w:t>非甲烷总烃</w:t>
            </w:r>
            <w:r>
              <w:rPr>
                <w:rFonts w:hint="eastAsia" w:ascii="Times New Roman" w:hAnsi="Times New Roman" w:eastAsia="宋体" w:cs="Times New Roman"/>
                <w:color w:val="auto"/>
                <w:sz w:val="24"/>
                <w:szCs w:val="24"/>
                <w:lang w:eastAsia="zh-CN"/>
              </w:rPr>
              <w:t>厂界外无组织排放</w:t>
            </w:r>
            <w:r>
              <w:rPr>
                <w:rFonts w:hint="eastAsia" w:ascii="Times New Roman" w:hAnsi="Times New Roman" w:eastAsia="宋体" w:cs="Times New Roman"/>
                <w:color w:val="auto"/>
                <w:sz w:val="24"/>
                <w:szCs w:val="24"/>
                <w:lang w:val="en-US" w:eastAsia="zh-CN" w:bidi="ar-SA"/>
              </w:rPr>
              <w:t>浓度</w:t>
            </w:r>
            <w:r>
              <w:rPr>
                <w:rFonts w:hint="default" w:ascii="Times New Roman" w:hAnsi="Times New Roman" w:eastAsia="宋体" w:cs="Times New Roman"/>
                <w:color w:val="auto"/>
                <w:sz w:val="24"/>
                <w:szCs w:val="24"/>
                <w:lang w:eastAsia="zh-CN"/>
              </w:rPr>
              <w:t>满足</w:t>
            </w:r>
            <w:r>
              <w:rPr>
                <w:rFonts w:hint="default" w:ascii="Times New Roman" w:hAnsi="Times New Roman" w:eastAsia="宋体" w:cs="Times New Roman"/>
                <w:color w:val="auto"/>
                <w:sz w:val="24"/>
                <w:szCs w:val="24"/>
                <w:lang w:val="en-US" w:eastAsia="zh-CN" w:bidi="ar-SA"/>
              </w:rPr>
              <w:t>《合成树脂工业污染物排放标准》（GB31572-2015）</w:t>
            </w:r>
            <w:r>
              <w:rPr>
                <w:rFonts w:hint="default" w:ascii="Times New Roman" w:hAnsi="Times New Roman" w:eastAsia="宋体" w:cs="Times New Roman"/>
                <w:color w:val="auto"/>
                <w:sz w:val="24"/>
                <w:szCs w:val="24"/>
                <w:lang w:bidi="ar-SA"/>
              </w:rPr>
              <w:t>中</w:t>
            </w:r>
            <w:r>
              <w:rPr>
                <w:rFonts w:hint="default" w:ascii="Times New Roman" w:hAnsi="Times New Roman" w:eastAsia="宋体" w:cs="Times New Roman"/>
                <w:color w:val="auto"/>
                <w:sz w:val="24"/>
                <w:szCs w:val="24"/>
                <w:lang w:val="en-US" w:eastAsia="zh-CN" w:bidi="ar-SA"/>
              </w:rPr>
              <w:t>表9中</w:t>
            </w:r>
            <w:r>
              <w:rPr>
                <w:rFonts w:hint="default" w:ascii="Times New Roman" w:hAnsi="Times New Roman" w:eastAsia="宋体" w:cs="Times New Roman"/>
                <w:color w:val="auto"/>
                <w:sz w:val="24"/>
                <w:szCs w:val="24"/>
                <w:lang w:eastAsia="zh-CN" w:bidi="ar-SA"/>
              </w:rPr>
              <w:t>限值</w:t>
            </w:r>
            <w:r>
              <w:rPr>
                <w:rFonts w:hint="default" w:ascii="Times New Roman" w:hAnsi="Times New Roman" w:eastAsia="宋体" w:cs="Times New Roman"/>
                <w:color w:val="auto"/>
                <w:sz w:val="24"/>
                <w:szCs w:val="24"/>
                <w:lang w:bidi="ar-SA"/>
              </w:rPr>
              <w:t>（</w:t>
            </w:r>
            <w:r>
              <w:rPr>
                <w:rFonts w:hint="default" w:ascii="Times New Roman" w:hAnsi="Times New Roman" w:eastAsia="宋体" w:cs="Times New Roman"/>
                <w:color w:val="auto"/>
                <w:sz w:val="24"/>
                <w:szCs w:val="24"/>
                <w:lang w:val="en-US" w:eastAsia="zh-CN" w:bidi="ar-SA"/>
              </w:rPr>
              <w:t>4.0</w:t>
            </w:r>
            <w:r>
              <w:rPr>
                <w:rFonts w:hint="default" w:ascii="Times New Roman" w:hAnsi="Times New Roman" w:eastAsia="宋体" w:cs="Times New Roman"/>
                <w:color w:val="auto"/>
                <w:kern w:val="28"/>
                <w:sz w:val="24"/>
                <w:szCs w:val="24"/>
                <w:highlight w:val="none"/>
                <w:lang w:val="en-US" w:eastAsia="zh-CN" w:bidi="ar-SA"/>
              </w:rPr>
              <w:t>mg/m</w:t>
            </w:r>
            <w:r>
              <w:rPr>
                <w:rFonts w:hint="default" w:ascii="Times New Roman" w:hAnsi="Times New Roman" w:eastAsia="宋体" w:cs="Times New Roman"/>
                <w:color w:val="auto"/>
                <w:kern w:val="28"/>
                <w:sz w:val="24"/>
                <w:szCs w:val="24"/>
                <w:highlight w:val="none"/>
                <w:vertAlign w:val="superscript"/>
                <w:lang w:val="en-US" w:eastAsia="zh-CN" w:bidi="ar-SA"/>
              </w:rPr>
              <w:t>3</w:t>
            </w:r>
            <w:r>
              <w:rPr>
                <w:rFonts w:hint="default" w:ascii="Times New Roman" w:hAnsi="Times New Roman" w:eastAsia="宋体" w:cs="Times New Roman"/>
                <w:color w:val="auto"/>
                <w:sz w:val="24"/>
                <w:szCs w:val="24"/>
                <w:lang w:bidi="ar-SA"/>
              </w:rPr>
              <w:t>）</w:t>
            </w:r>
            <w:r>
              <w:rPr>
                <w:rFonts w:hint="default" w:ascii="Times New Roman" w:hAnsi="Times New Roman" w:eastAsia="宋体" w:cs="Times New Roman"/>
                <w:color w:val="auto"/>
                <w:sz w:val="24"/>
                <w:szCs w:val="24"/>
                <w:lang w:eastAsia="zh-CN" w:bidi="ar-SA"/>
              </w:rPr>
              <w:t>、</w:t>
            </w:r>
            <w:r>
              <w:rPr>
                <w:rFonts w:hint="eastAsia" w:cs="Times New Roman"/>
                <w:color w:val="auto"/>
                <w:sz w:val="24"/>
                <w:szCs w:val="24"/>
                <w:lang w:val="en-US" w:eastAsia="zh-CN"/>
              </w:rPr>
              <w:t>厂界内无组织排放</w:t>
            </w:r>
            <w:r>
              <w:rPr>
                <w:rFonts w:hint="eastAsia" w:ascii="Times New Roman" w:hAnsi="Times New Roman" w:eastAsia="宋体" w:cs="Times New Roman"/>
                <w:color w:val="auto"/>
                <w:sz w:val="24"/>
                <w:szCs w:val="24"/>
                <w:lang w:val="en-US" w:eastAsia="zh-CN" w:bidi="ar-SA"/>
              </w:rPr>
              <w:t>浓度</w:t>
            </w:r>
            <w:r>
              <w:rPr>
                <w:rFonts w:hint="eastAsia" w:cs="Times New Roman"/>
                <w:color w:val="auto"/>
                <w:sz w:val="24"/>
                <w:szCs w:val="24"/>
                <w:lang w:val="en-US" w:eastAsia="zh-CN"/>
              </w:rPr>
              <w:t>满足</w:t>
            </w:r>
            <w:r>
              <w:rPr>
                <w:rFonts w:hint="default" w:ascii="Times New Roman" w:hAnsi="Times New Roman" w:eastAsia="宋体" w:cs="Times New Roman"/>
                <w:color w:val="auto"/>
                <w:sz w:val="24"/>
                <w:szCs w:val="24"/>
                <w:lang w:eastAsia="zh-CN" w:bidi="ar-SA"/>
              </w:rPr>
              <w:t>《挥发性有机物无组织排放控制标准》（</w:t>
            </w:r>
            <w:r>
              <w:rPr>
                <w:rFonts w:hint="default" w:ascii="Times New Roman" w:hAnsi="Times New Roman" w:eastAsia="宋体" w:cs="Times New Roman"/>
                <w:color w:val="auto"/>
                <w:sz w:val="24"/>
                <w:szCs w:val="24"/>
                <w:lang w:val="en-US" w:eastAsia="zh-CN" w:bidi="ar-SA"/>
              </w:rPr>
              <w:t>GB37822-2019</w:t>
            </w:r>
            <w:r>
              <w:rPr>
                <w:rFonts w:hint="default" w:ascii="Times New Roman" w:hAnsi="Times New Roman" w:eastAsia="宋体" w:cs="Times New Roman"/>
                <w:color w:val="auto"/>
                <w:sz w:val="24"/>
                <w:szCs w:val="24"/>
                <w:lang w:eastAsia="zh-CN" w:bidi="ar-SA"/>
              </w:rPr>
              <w:t>）表</w:t>
            </w:r>
            <w:r>
              <w:rPr>
                <w:rFonts w:hint="default" w:ascii="Times New Roman" w:hAnsi="Times New Roman" w:eastAsia="宋体" w:cs="Times New Roman"/>
                <w:color w:val="auto"/>
                <w:sz w:val="24"/>
                <w:szCs w:val="24"/>
                <w:lang w:val="en-US" w:eastAsia="zh-CN" w:bidi="ar-SA"/>
              </w:rPr>
              <w:t>A.1特别排放限值</w:t>
            </w:r>
            <w:r>
              <w:rPr>
                <w:rFonts w:hint="default" w:ascii="Times New Roman" w:hAnsi="Times New Roman" w:eastAsia="宋体" w:cs="Times New Roman"/>
                <w:color w:val="auto"/>
                <w:sz w:val="24"/>
                <w:szCs w:val="24"/>
                <w:lang w:eastAsia="zh-CN" w:bidi="ar-SA"/>
              </w:rPr>
              <w:t>要求（监控点处</w:t>
            </w:r>
            <w:r>
              <w:rPr>
                <w:rFonts w:hint="default" w:ascii="Times New Roman" w:hAnsi="Times New Roman" w:eastAsia="宋体" w:cs="Times New Roman"/>
                <w:color w:val="auto"/>
                <w:sz w:val="24"/>
                <w:szCs w:val="24"/>
                <w:lang w:val="en-US" w:eastAsia="zh-CN" w:bidi="ar-SA"/>
              </w:rPr>
              <w:t>1h平均值浓度6mg/</w:t>
            </w:r>
            <w:r>
              <w:rPr>
                <w:rFonts w:hint="default" w:ascii="Times New Roman" w:hAnsi="Times New Roman" w:eastAsia="宋体" w:cs="Times New Roman"/>
                <w:color w:val="auto"/>
                <w:kern w:val="28"/>
                <w:sz w:val="24"/>
                <w:szCs w:val="24"/>
                <w:highlight w:val="none"/>
                <w:lang w:val="en-US" w:eastAsia="zh-CN" w:bidi="ar-SA"/>
              </w:rPr>
              <w:t>m</w:t>
            </w:r>
            <w:r>
              <w:rPr>
                <w:rFonts w:hint="default" w:ascii="Times New Roman" w:hAnsi="Times New Roman" w:eastAsia="宋体" w:cs="Times New Roman"/>
                <w:color w:val="auto"/>
                <w:kern w:val="28"/>
                <w:sz w:val="24"/>
                <w:szCs w:val="24"/>
                <w:highlight w:val="none"/>
                <w:vertAlign w:val="superscript"/>
                <w:lang w:val="en-US" w:eastAsia="zh-CN" w:bidi="ar-SA"/>
              </w:rPr>
              <w:t>3</w:t>
            </w:r>
            <w:r>
              <w:rPr>
                <w:rFonts w:hint="default" w:ascii="Times New Roman" w:hAnsi="Times New Roman" w:eastAsia="宋体" w:cs="Times New Roman"/>
                <w:color w:val="auto"/>
                <w:sz w:val="24"/>
                <w:szCs w:val="24"/>
                <w:lang w:val="en-US" w:eastAsia="zh-CN" w:bidi="ar-SA"/>
              </w:rPr>
              <w:t>；监控点处任意一次浓度值20mg/</w:t>
            </w:r>
            <w:r>
              <w:rPr>
                <w:rFonts w:hint="default" w:ascii="Times New Roman" w:hAnsi="Times New Roman" w:eastAsia="宋体" w:cs="Times New Roman"/>
                <w:color w:val="auto"/>
                <w:kern w:val="28"/>
                <w:sz w:val="24"/>
                <w:szCs w:val="24"/>
                <w:highlight w:val="none"/>
                <w:lang w:val="en-US" w:eastAsia="zh-CN" w:bidi="ar-SA"/>
              </w:rPr>
              <w:t>m</w:t>
            </w:r>
            <w:r>
              <w:rPr>
                <w:rFonts w:hint="default" w:ascii="Times New Roman" w:hAnsi="Times New Roman" w:eastAsia="宋体" w:cs="Times New Roman"/>
                <w:color w:val="auto"/>
                <w:kern w:val="28"/>
                <w:sz w:val="24"/>
                <w:szCs w:val="24"/>
                <w:highlight w:val="none"/>
                <w:vertAlign w:val="superscript"/>
                <w:lang w:val="en-US" w:eastAsia="zh-CN" w:bidi="ar-SA"/>
              </w:rPr>
              <w:t>3</w:t>
            </w:r>
            <w:r>
              <w:rPr>
                <w:rFonts w:hint="default" w:ascii="Times New Roman" w:hAnsi="Times New Roman" w:eastAsia="宋体" w:cs="Times New Roman"/>
                <w:color w:val="auto"/>
                <w:sz w:val="24"/>
                <w:szCs w:val="24"/>
                <w:lang w:eastAsia="zh-CN" w:bidi="ar-SA"/>
              </w:rPr>
              <w:t>）</w:t>
            </w:r>
            <w:r>
              <w:rPr>
                <w:rFonts w:hint="eastAsia" w:ascii="Times New Roman" w:hAnsi="Times New Roman" w:eastAsia="宋体" w:cs="Times New Roman"/>
                <w:color w:val="auto"/>
                <w:sz w:val="24"/>
                <w:szCs w:val="24"/>
                <w:lang w:eastAsia="zh-CN" w:bidi="ar-SA"/>
              </w:rPr>
              <w:t>；臭气浓度无组织排放满足《恶臭污染物排放标准》（GB14554-93）表1二级标准限值（</w:t>
            </w:r>
            <w:r>
              <w:rPr>
                <w:rFonts w:hint="eastAsia" w:ascii="Times New Roman" w:hAnsi="Times New Roman" w:eastAsia="宋体" w:cs="Times New Roman"/>
                <w:color w:val="auto"/>
                <w:sz w:val="24"/>
                <w:szCs w:val="24"/>
                <w:lang w:val="en-US" w:eastAsia="zh-CN" w:bidi="ar-SA"/>
              </w:rPr>
              <w:t>20无量纲</w:t>
            </w:r>
            <w:r>
              <w:rPr>
                <w:rFonts w:hint="eastAsia" w:ascii="Times New Roman" w:hAnsi="Times New Roman" w:eastAsia="宋体" w:cs="Times New Roman"/>
                <w:color w:val="auto"/>
                <w:sz w:val="24"/>
                <w:szCs w:val="24"/>
                <w:lang w:eastAsia="zh-CN" w:bidi="ar-SA"/>
              </w:rPr>
              <w:t>）</w:t>
            </w:r>
            <w:r>
              <w:rPr>
                <w:rFonts w:hint="eastAsia" w:ascii="Times New Roman" w:hAnsi="Times New Roman" w:cs="Times New Roman"/>
                <w:color w:val="auto"/>
                <w:sz w:val="24"/>
                <w:szCs w:val="24"/>
                <w:lang w:val="zh-CN" w:eastAsia="zh-CN"/>
              </w:rPr>
              <w:t>，</w:t>
            </w:r>
            <w:r>
              <w:rPr>
                <w:rFonts w:hint="eastAsia" w:ascii="Times New Roman" w:hAnsi="Times New Roman" w:eastAsia="宋体" w:cs="Times New Roman"/>
                <w:color w:val="auto"/>
                <w:sz w:val="24"/>
                <w:szCs w:val="24"/>
                <w:lang w:val="en-US" w:eastAsia="zh-CN" w:bidi="ar-SA"/>
              </w:rPr>
              <w:t>对大气环境质量影响较小</w:t>
            </w:r>
            <w:r>
              <w:rPr>
                <w:rFonts w:hint="eastAsia" w:ascii="Times New Roman" w:hAnsi="Times New Roman" w:eastAsia="宋体" w:cs="Times New Roman"/>
                <w:color w:val="auto"/>
                <w:sz w:val="24"/>
                <w:highlight w:val="none"/>
                <w:lang w:val="en-US" w:eastAsia="zh-CN"/>
              </w:rPr>
              <w:t>，即项目无组织废气治理工艺可行</w:t>
            </w:r>
            <w:r>
              <w:rPr>
                <w:rFonts w:hint="eastAsia" w:ascii="Times New Roman" w:hAnsi="Times New Roman" w:eastAsia="宋体" w:cs="Times New Roman"/>
                <w:color w:val="auto"/>
                <w:sz w:val="24"/>
                <w:szCs w:val="24"/>
                <w:lang w:val="en-US" w:eastAsia="zh-CN" w:bidi="ar-SA"/>
              </w:rPr>
              <w:t>。</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因此，项目生产废气均可达标排放</w:t>
            </w:r>
            <w:r>
              <w:rPr>
                <w:rFonts w:hint="eastAsia" w:ascii="Times New Roman" w:hAnsi="Times New Roman" w:eastAsia="宋体" w:cs="Times New Roman"/>
                <w:color w:val="auto"/>
                <w:sz w:val="24"/>
                <w:szCs w:val="24"/>
                <w:lang w:val="en-US" w:eastAsia="zh-CN" w:bidi="ar-SA"/>
              </w:rPr>
              <w:t>，废气排放达标分析见</w:t>
            </w:r>
            <w:r>
              <w:rPr>
                <w:rFonts w:hint="default" w:ascii="Times New Roman" w:hAnsi="Times New Roman" w:eastAsia="宋体" w:cs="Times New Roman"/>
                <w:color w:val="auto"/>
                <w:sz w:val="24"/>
                <w:szCs w:val="24"/>
                <w:lang w:val="en-US" w:eastAsia="zh-CN" w:bidi="ar-SA"/>
              </w:rPr>
              <w:t>表</w:t>
            </w:r>
            <w:r>
              <w:rPr>
                <w:rFonts w:hint="eastAsia" w:ascii="Times New Roman" w:hAnsi="Times New Roman" w:eastAsia="宋体" w:cs="Times New Roman"/>
                <w:color w:val="auto"/>
                <w:sz w:val="24"/>
                <w:szCs w:val="24"/>
                <w:lang w:val="en-US" w:eastAsia="zh-CN" w:bidi="ar-SA"/>
              </w:rPr>
              <w:t>4-5</w:t>
            </w:r>
            <w:r>
              <w:rPr>
                <w:rFonts w:hint="default" w:ascii="Times New Roman" w:hAnsi="Times New Roman" w:eastAsia="宋体" w:cs="Times New Roman"/>
                <w:color w:val="auto"/>
                <w:sz w:val="24"/>
                <w:szCs w:val="24"/>
                <w:lang w:val="en-US" w:eastAsia="zh-CN" w:bidi="ar-SA"/>
              </w:rPr>
              <w:t>。</w:t>
            </w:r>
          </w:p>
          <w:p>
            <w:pPr>
              <w:spacing w:line="240" w:lineRule="auto"/>
              <w:jc w:val="center"/>
              <w:rPr>
                <w:rFonts w:hint="default" w:ascii="Times New Roman" w:hAnsi="Times New Roman" w:eastAsia="宋体" w:cs="Times New Roman"/>
                <w:b/>
                <w:bCs/>
                <w:color w:val="auto"/>
                <w:sz w:val="21"/>
                <w:szCs w:val="21"/>
                <w:lang w:val="zh-CN" w:eastAsia="zh-CN" w:bidi="ar-SA"/>
              </w:rPr>
            </w:pPr>
            <w:r>
              <w:rPr>
                <w:rFonts w:hint="default" w:ascii="Times New Roman" w:hAnsi="Times New Roman" w:eastAsia="宋体" w:cs="Times New Roman"/>
                <w:b/>
                <w:bCs/>
                <w:color w:val="auto"/>
                <w:sz w:val="21"/>
                <w:szCs w:val="21"/>
                <w:lang w:val="zh-CN" w:eastAsia="zh-CN" w:bidi="ar-SA"/>
              </w:rPr>
              <w:t>表</w:t>
            </w:r>
            <w:r>
              <w:rPr>
                <w:rFonts w:hint="eastAsia" w:ascii="Times New Roman" w:hAnsi="Times New Roman" w:eastAsia="宋体" w:cs="Times New Roman"/>
                <w:b/>
                <w:bCs/>
                <w:color w:val="auto"/>
                <w:sz w:val="21"/>
                <w:szCs w:val="21"/>
                <w:lang w:val="en-US" w:eastAsia="zh-CN" w:bidi="ar-SA"/>
              </w:rPr>
              <w:t>4-</w:t>
            </w:r>
            <w:r>
              <w:rPr>
                <w:rFonts w:hint="eastAsia" w:cs="Times New Roman"/>
                <w:b/>
                <w:bCs/>
                <w:color w:val="auto"/>
                <w:sz w:val="21"/>
                <w:szCs w:val="21"/>
                <w:lang w:val="en-US" w:eastAsia="zh-CN" w:bidi="ar-SA"/>
              </w:rPr>
              <w:t>5</w:t>
            </w:r>
            <w:r>
              <w:rPr>
                <w:rFonts w:hint="default" w:ascii="Times New Roman" w:hAnsi="Times New Roman" w:eastAsia="宋体" w:cs="Times New Roman"/>
                <w:b/>
                <w:bCs/>
                <w:color w:val="auto"/>
                <w:sz w:val="21"/>
                <w:szCs w:val="21"/>
                <w:lang w:val="en-US" w:eastAsia="zh-CN" w:bidi="ar-SA"/>
              </w:rPr>
              <w:t xml:space="preserve"> </w:t>
            </w:r>
            <w:r>
              <w:rPr>
                <w:rFonts w:hint="default" w:ascii="Times New Roman" w:hAnsi="Times New Roman" w:eastAsia="宋体" w:cs="Times New Roman"/>
                <w:b/>
                <w:bCs/>
                <w:color w:val="auto"/>
                <w:sz w:val="21"/>
                <w:szCs w:val="21"/>
                <w:lang w:val="zh-CN" w:eastAsia="zh-CN" w:bidi="ar-SA"/>
              </w:rPr>
              <w:t xml:space="preserve"> 本项目废气</w:t>
            </w:r>
            <w:r>
              <w:rPr>
                <w:rFonts w:hint="eastAsia" w:ascii="Times New Roman" w:hAnsi="Times New Roman" w:eastAsia="宋体" w:cs="Times New Roman"/>
                <w:b/>
                <w:bCs/>
                <w:color w:val="auto"/>
                <w:sz w:val="21"/>
                <w:szCs w:val="21"/>
                <w:lang w:val="zh-CN" w:eastAsia="zh-CN" w:bidi="ar-SA"/>
              </w:rPr>
              <w:t>达标分析一览</w:t>
            </w:r>
            <w:r>
              <w:rPr>
                <w:rFonts w:hint="default" w:ascii="Times New Roman" w:hAnsi="Times New Roman" w:eastAsia="宋体" w:cs="Times New Roman"/>
                <w:b/>
                <w:bCs/>
                <w:color w:val="auto"/>
                <w:sz w:val="21"/>
                <w:szCs w:val="21"/>
                <w:lang w:val="zh-CN" w:eastAsia="zh-CN" w:bidi="ar-SA"/>
              </w:rPr>
              <w:t>表</w:t>
            </w:r>
          </w:p>
          <w:tbl>
            <w:tblPr>
              <w:tblStyle w:val="31"/>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4"/>
              <w:gridCol w:w="427"/>
              <w:gridCol w:w="816"/>
              <w:gridCol w:w="990"/>
              <w:gridCol w:w="989"/>
              <w:gridCol w:w="1138"/>
              <w:gridCol w:w="2821"/>
              <w:gridCol w:w="5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24" w:type="pct"/>
                  <w:vMerge w:val="restart"/>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b/>
                      <w:bCs/>
                      <w:color w:val="auto"/>
                      <w:sz w:val="21"/>
                      <w:szCs w:val="21"/>
                      <w:lang w:val="en-US" w:eastAsia="zh-CN" w:bidi="ar-SA"/>
                    </w:rPr>
                    <w:t>污染源</w:t>
                  </w:r>
                </w:p>
              </w:tc>
              <w:tc>
                <w:tcPr>
                  <w:tcW w:w="259" w:type="pct"/>
                  <w:vMerge w:val="restart"/>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编号</w:t>
                  </w:r>
                </w:p>
              </w:tc>
              <w:tc>
                <w:tcPr>
                  <w:tcW w:w="496" w:type="pct"/>
                  <w:vMerge w:val="restart"/>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污染物</w:t>
                  </w:r>
                </w:p>
              </w:tc>
              <w:tc>
                <w:tcPr>
                  <w:tcW w:w="1204" w:type="pct"/>
                  <w:gridSpan w:val="2"/>
                  <w:tcBorders>
                    <w:bottom w:val="single" w:color="000000" w:sz="4"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b/>
                      <w:bCs/>
                      <w:color w:val="auto"/>
                      <w:sz w:val="21"/>
                      <w:szCs w:val="21"/>
                      <w:lang w:val="en-US" w:eastAsia="zh-CN" w:bidi="ar-SA"/>
                    </w:rPr>
                    <w:t>污染物排放</w:t>
                  </w:r>
                </w:p>
              </w:tc>
              <w:tc>
                <w:tcPr>
                  <w:tcW w:w="2408" w:type="pct"/>
                  <w:gridSpan w:val="2"/>
                  <w:noWrap w:val="0"/>
                  <w:vAlign w:val="center"/>
                </w:tcPr>
                <w:p>
                  <w:pPr>
                    <w:spacing w:line="240" w:lineRule="auto"/>
                    <w:jc w:val="center"/>
                    <w:rPr>
                      <w:rFonts w:hint="eastAsia" w:ascii="Times New Roman" w:hAnsi="Times New Roman" w:eastAsia="宋体" w:cs="Times New Roman"/>
                      <w:b/>
                      <w:bCs/>
                      <w:color w:val="auto"/>
                      <w:sz w:val="21"/>
                      <w:szCs w:val="21"/>
                      <w:lang w:val="en-US" w:eastAsia="zh-CN" w:bidi="ar-SA"/>
                    </w:rPr>
                  </w:pPr>
                  <w:r>
                    <w:rPr>
                      <w:rFonts w:hint="eastAsia" w:cs="Times New Roman"/>
                      <w:b/>
                      <w:bCs/>
                      <w:color w:val="auto"/>
                      <w:sz w:val="21"/>
                      <w:szCs w:val="21"/>
                      <w:lang w:val="en-US" w:eastAsia="zh-CN" w:bidi="ar-SA"/>
                    </w:rPr>
                    <w:t>排放标准</w:t>
                  </w:r>
                </w:p>
              </w:tc>
              <w:tc>
                <w:tcPr>
                  <w:tcW w:w="306" w:type="pct"/>
                  <w:vMerge w:val="restart"/>
                  <w:noWrap w:val="0"/>
                  <w:vAlign w:val="center"/>
                </w:tcPr>
                <w:p>
                  <w:pPr>
                    <w:spacing w:line="240" w:lineRule="auto"/>
                    <w:jc w:val="center"/>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b/>
                      <w:bCs/>
                      <w:color w:val="auto"/>
                      <w:sz w:val="21"/>
                      <w:szCs w:val="21"/>
                      <w:lang w:val="en-US" w:eastAsia="zh-CN" w:bidi="ar-SA"/>
                    </w:rPr>
                    <w:t>是否达标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24" w:type="pct"/>
                  <w:vMerge w:val="continue"/>
                  <w:tcBorders>
                    <w:bottom w:val="single" w:color="000000" w:sz="12" w:space="0"/>
                  </w:tcBorders>
                  <w:noWrap w:val="0"/>
                  <w:vAlign w:val="center"/>
                </w:tcPr>
                <w:p>
                  <w:pPr>
                    <w:rPr>
                      <w:color w:val="auto"/>
                    </w:rPr>
                  </w:pPr>
                </w:p>
              </w:tc>
              <w:tc>
                <w:tcPr>
                  <w:tcW w:w="259" w:type="pct"/>
                  <w:vMerge w:val="continue"/>
                  <w:tcBorders>
                    <w:bottom w:val="single" w:color="000000" w:sz="12" w:space="0"/>
                  </w:tcBorders>
                  <w:noWrap w:val="0"/>
                  <w:vAlign w:val="center"/>
                </w:tcPr>
                <w:p>
                  <w:pPr>
                    <w:rPr>
                      <w:color w:val="auto"/>
                    </w:rPr>
                  </w:pPr>
                </w:p>
              </w:tc>
              <w:tc>
                <w:tcPr>
                  <w:tcW w:w="496" w:type="pct"/>
                  <w:vMerge w:val="continue"/>
                  <w:tcBorders>
                    <w:bottom w:val="single" w:color="000000" w:sz="12" w:space="0"/>
                  </w:tcBorders>
                  <w:noWrap w:val="0"/>
                  <w:vAlign w:val="center"/>
                </w:tcPr>
                <w:p>
                  <w:pPr>
                    <w:rPr>
                      <w:color w:val="auto"/>
                    </w:rPr>
                  </w:pPr>
                </w:p>
              </w:tc>
              <w:tc>
                <w:tcPr>
                  <w:tcW w:w="602" w:type="pct"/>
                  <w:tcBorders>
                    <w:top w:val="single" w:color="000000" w:sz="4" w:space="0"/>
                    <w:bottom w:val="single" w:color="000000"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浓度/（mg/</w:t>
                  </w:r>
                  <w:r>
                    <w:rPr>
                      <w:rFonts w:hint="default" w:ascii="Times New Roman" w:hAnsi="Times New Roman" w:eastAsia="宋体" w:cs="Times New Roman"/>
                      <w:b/>
                      <w:bCs/>
                      <w:color w:val="auto"/>
                      <w:sz w:val="21"/>
                      <w:szCs w:val="21"/>
                      <w:highlight w:val="none"/>
                      <w:lang w:val="en-US" w:eastAsia="zh-CN" w:bidi="ar-SA"/>
                    </w:rPr>
                    <w:t>m</w:t>
                  </w:r>
                  <w:r>
                    <w:rPr>
                      <w:rFonts w:hint="default" w:ascii="Times New Roman" w:hAnsi="Times New Roman" w:eastAsia="宋体" w:cs="Times New Roman"/>
                      <w:b/>
                      <w:bCs/>
                      <w:color w:val="auto"/>
                      <w:sz w:val="21"/>
                      <w:szCs w:val="21"/>
                      <w:highlight w:val="none"/>
                      <w:vertAlign w:val="superscript"/>
                      <w:lang w:val="en-US" w:eastAsia="zh-CN" w:bidi="ar-SA"/>
                    </w:rPr>
                    <w:t>3</w:t>
                  </w:r>
                  <w:r>
                    <w:rPr>
                      <w:rFonts w:hint="default" w:ascii="Times New Roman" w:hAnsi="Times New Roman" w:eastAsia="宋体" w:cs="Times New Roman"/>
                      <w:b/>
                      <w:bCs/>
                      <w:color w:val="auto"/>
                      <w:sz w:val="21"/>
                      <w:szCs w:val="21"/>
                      <w:lang w:val="en-US" w:eastAsia="zh-CN" w:bidi="ar-SA"/>
                    </w:rPr>
                    <w:t>）</w:t>
                  </w:r>
                </w:p>
              </w:tc>
              <w:tc>
                <w:tcPr>
                  <w:tcW w:w="601" w:type="pct"/>
                  <w:tcBorders>
                    <w:top w:val="single" w:color="000000" w:sz="4" w:space="0"/>
                    <w:bottom w:val="single" w:color="000000"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速率/（kg/h）</w:t>
                  </w:r>
                </w:p>
              </w:tc>
              <w:tc>
                <w:tcPr>
                  <w:tcW w:w="692" w:type="pct"/>
                  <w:tcBorders>
                    <w:top w:val="single" w:color="000000" w:sz="4" w:space="0"/>
                    <w:bottom w:val="single" w:color="000000"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浓度/（mg/</w:t>
                  </w:r>
                  <w:r>
                    <w:rPr>
                      <w:rFonts w:hint="default" w:ascii="Times New Roman" w:hAnsi="Times New Roman" w:eastAsia="宋体" w:cs="Times New Roman"/>
                      <w:b/>
                      <w:bCs/>
                      <w:color w:val="auto"/>
                      <w:sz w:val="21"/>
                      <w:szCs w:val="21"/>
                      <w:highlight w:val="none"/>
                      <w:lang w:val="en-US" w:eastAsia="zh-CN" w:bidi="ar-SA"/>
                    </w:rPr>
                    <w:t>m</w:t>
                  </w:r>
                  <w:r>
                    <w:rPr>
                      <w:rFonts w:hint="default" w:ascii="Times New Roman" w:hAnsi="Times New Roman" w:eastAsia="宋体" w:cs="Times New Roman"/>
                      <w:b/>
                      <w:bCs/>
                      <w:color w:val="auto"/>
                      <w:sz w:val="21"/>
                      <w:szCs w:val="21"/>
                      <w:highlight w:val="none"/>
                      <w:vertAlign w:val="superscript"/>
                      <w:lang w:val="en-US" w:eastAsia="zh-CN" w:bidi="ar-SA"/>
                    </w:rPr>
                    <w:t>3</w:t>
                  </w:r>
                  <w:r>
                    <w:rPr>
                      <w:rFonts w:hint="default" w:ascii="Times New Roman" w:hAnsi="Times New Roman" w:eastAsia="宋体" w:cs="Times New Roman"/>
                      <w:b/>
                      <w:bCs/>
                      <w:color w:val="auto"/>
                      <w:sz w:val="21"/>
                      <w:szCs w:val="21"/>
                      <w:lang w:val="en-US" w:eastAsia="zh-CN" w:bidi="ar-SA"/>
                    </w:rPr>
                    <w:t>）</w:t>
                  </w:r>
                </w:p>
              </w:tc>
              <w:tc>
                <w:tcPr>
                  <w:tcW w:w="1716" w:type="pct"/>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rPr>
                  </w:pPr>
                  <w:r>
                    <w:rPr>
                      <w:rFonts w:hint="eastAsia" w:ascii="Times New Roman" w:hAnsi="Times New Roman" w:eastAsia="宋体" w:cs="Times New Roman"/>
                      <w:b/>
                      <w:bCs/>
                      <w:color w:val="auto"/>
                      <w:sz w:val="21"/>
                      <w:szCs w:val="21"/>
                      <w:lang w:val="en-US" w:eastAsia="zh-CN" w:bidi="ar-SA"/>
                    </w:rPr>
                    <w:t>标准名称</w:t>
                  </w:r>
                </w:p>
              </w:tc>
              <w:tc>
                <w:tcPr>
                  <w:tcW w:w="306" w:type="pct"/>
                  <w:vMerge w:val="continue"/>
                  <w:tcBorders>
                    <w:bottom w:val="single" w:color="000000" w:sz="12" w:space="0"/>
                  </w:tcBorders>
                  <w:noWrap w:val="0"/>
                  <w:vAlign w:val="center"/>
                </w:tcPr>
                <w:p>
                  <w:pPr>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24" w:type="pct"/>
                  <w:tcBorders>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石英砂上料、修整工序</w:t>
                  </w:r>
                </w:p>
              </w:tc>
              <w:tc>
                <w:tcPr>
                  <w:tcW w:w="259" w:type="pct"/>
                  <w:tcBorders>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DA001</w:t>
                  </w:r>
                </w:p>
              </w:tc>
              <w:tc>
                <w:tcPr>
                  <w:tcW w:w="496" w:type="pct"/>
                  <w:tcBorders>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颗粒物</w:t>
                  </w:r>
                </w:p>
              </w:tc>
              <w:tc>
                <w:tcPr>
                  <w:tcW w:w="602" w:type="pct"/>
                  <w:tcBorders>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bidi="ar-SA"/>
                    </w:rPr>
                    <w:t>5.11</w:t>
                  </w:r>
                </w:p>
              </w:tc>
              <w:tc>
                <w:tcPr>
                  <w:tcW w:w="601" w:type="pct"/>
                  <w:tcBorders>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0.199</w:t>
                  </w:r>
                </w:p>
              </w:tc>
              <w:tc>
                <w:tcPr>
                  <w:tcW w:w="692" w:type="pct"/>
                  <w:tcBorders>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w:t>
                  </w:r>
                </w:p>
              </w:tc>
              <w:tc>
                <w:tcPr>
                  <w:tcW w:w="1716"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lang w:bidi="ar-SA"/>
                    </w:rPr>
                  </w:pPr>
                  <w:r>
                    <w:rPr>
                      <w:rFonts w:hint="default" w:ascii="Times New Roman" w:hAnsi="Times New Roman" w:eastAsia="宋体" w:cs="Times New Roman"/>
                      <w:color w:val="auto"/>
                      <w:lang w:bidi="ar-SA"/>
                    </w:rPr>
                    <w:t>《合成树脂工业污染物排放标准》（GB31572-2015）中表5大气污染物特别排放标准</w:t>
                  </w:r>
                </w:p>
              </w:tc>
              <w:tc>
                <w:tcPr>
                  <w:tcW w:w="306" w:type="pct"/>
                  <w:tcBorders>
                    <w:top w:val="single" w:color="000000" w:sz="12" w:space="0"/>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24"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浸胶、缠绕、自然固化工序</w:t>
                  </w:r>
                </w:p>
              </w:tc>
              <w:tc>
                <w:tcPr>
                  <w:tcW w:w="259"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DA002</w:t>
                  </w:r>
                </w:p>
              </w:tc>
              <w:tc>
                <w:tcPr>
                  <w:tcW w:w="496" w:type="pct"/>
                  <w:tcBorders>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非甲烷总烃（苯乙烯）、臭气浓度</w:t>
                  </w:r>
                </w:p>
              </w:tc>
              <w:tc>
                <w:tcPr>
                  <w:tcW w:w="602" w:type="pct"/>
                  <w:tcBorders>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bidi="ar-SA"/>
                    </w:rPr>
                    <w:t>25.5</w:t>
                  </w:r>
                </w:p>
                <w:p>
                  <w:pPr>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bidi="ar-SA"/>
                    </w:rPr>
                    <w:t>（0.39）</w:t>
                  </w:r>
                </w:p>
              </w:tc>
              <w:tc>
                <w:tcPr>
                  <w:tcW w:w="601" w:type="pct"/>
                  <w:tcBorders>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bidi="ar-SA"/>
                    </w:rPr>
                    <w:t>0.204（0.0031）</w:t>
                  </w:r>
                </w:p>
              </w:tc>
              <w:tc>
                <w:tcPr>
                  <w:tcW w:w="692" w:type="pct"/>
                  <w:tcBorders>
                    <w:top w:val="single" w:color="000000" w:sz="4" w:space="0"/>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60</w:t>
                  </w:r>
                </w:p>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（20、6.5kg/h）、2000无量纲</w:t>
                  </w:r>
                </w:p>
              </w:tc>
              <w:tc>
                <w:tcPr>
                  <w:tcW w:w="1716" w:type="pct"/>
                  <w:tcBorders>
                    <w:top w:val="single" w:color="000000" w:sz="4" w:space="0"/>
                  </w:tcBorders>
                  <w:noWrap w:val="0"/>
                  <w:vAlign w:val="center"/>
                </w:tcPr>
                <w:p>
                  <w:pPr>
                    <w:spacing w:line="240" w:lineRule="auto"/>
                    <w:jc w:val="center"/>
                    <w:rPr>
                      <w:rFonts w:hint="eastAsia" w:ascii="Times New Roman" w:hAnsi="Times New Roman" w:eastAsia="宋体" w:cs="Times New Roman"/>
                      <w:color w:val="auto"/>
                      <w:lang w:eastAsia="zh-CN" w:bidi="ar-SA"/>
                    </w:rPr>
                  </w:pPr>
                  <w:r>
                    <w:rPr>
                      <w:rFonts w:hint="default" w:ascii="Times New Roman" w:hAnsi="Times New Roman" w:eastAsia="宋体" w:cs="Times New Roman"/>
                      <w:color w:val="auto"/>
                      <w:lang w:bidi="ar-SA"/>
                    </w:rPr>
                    <w:t>《合成树脂工业污染物排放标准》（GB31572-2015）中表5大气污染物特别排放标准</w:t>
                  </w:r>
                  <w:r>
                    <w:rPr>
                      <w:rFonts w:hint="eastAsia" w:ascii="Times New Roman" w:hAnsi="Times New Roman" w:eastAsia="宋体" w:cs="Times New Roman"/>
                      <w:color w:val="auto"/>
                      <w:lang w:eastAsia="zh-CN" w:bidi="ar-SA"/>
                    </w:rPr>
                    <w:t>、《恶臭污染物排放标准》（GB14554-93）中表2排放标准限值</w:t>
                  </w:r>
                </w:p>
              </w:tc>
              <w:tc>
                <w:tcPr>
                  <w:tcW w:w="306" w:type="pct"/>
                  <w:tcBorders>
                    <w:top w:val="single" w:color="000000" w:sz="4" w:space="0"/>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2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石英砂上料、修整工序</w:t>
                  </w:r>
                  <w:r>
                    <w:rPr>
                      <w:rFonts w:hint="eastAsia" w:ascii="Times New Roman" w:hAnsi="Times New Roman" w:eastAsia="宋体" w:cs="Times New Roman"/>
                      <w:color w:val="auto"/>
                      <w:sz w:val="21"/>
                      <w:szCs w:val="21"/>
                      <w:lang w:val="en-US" w:eastAsia="zh-CN" w:bidi="ar-SA"/>
                    </w:rPr>
                    <w:t>、原料储存</w:t>
                  </w:r>
                </w:p>
              </w:tc>
              <w:tc>
                <w:tcPr>
                  <w:tcW w:w="259" w:type="pct"/>
                  <w:vMerge w:val="restar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厂界</w:t>
                  </w:r>
                </w:p>
              </w:tc>
              <w:tc>
                <w:tcPr>
                  <w:tcW w:w="496"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602"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60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0.209</w:t>
                  </w:r>
                </w:p>
              </w:tc>
              <w:tc>
                <w:tcPr>
                  <w:tcW w:w="692"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w:t>
                  </w:r>
                </w:p>
              </w:tc>
              <w:tc>
                <w:tcPr>
                  <w:tcW w:w="1716"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《合成树脂工业污染物排放标准》（GB31572-2015）中表9企业边界大气污染物浓度限值</w:t>
                  </w:r>
                </w:p>
              </w:tc>
              <w:tc>
                <w:tcPr>
                  <w:tcW w:w="306"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24"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浸胶、缠绕、自然固化工序</w:t>
                  </w:r>
                </w:p>
              </w:tc>
              <w:tc>
                <w:tcPr>
                  <w:tcW w:w="259" w:type="pct"/>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496" w:type="pc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eastAsia="zh-CN"/>
                    </w:rPr>
                    <w:t>非甲烷总烃（苯乙烯）、臭气浓度</w:t>
                  </w:r>
                </w:p>
              </w:tc>
              <w:tc>
                <w:tcPr>
                  <w:tcW w:w="602" w:type="pct"/>
                  <w:noWrap w:val="0"/>
                  <w:vAlign w:val="center"/>
                </w:tcPr>
                <w:p>
                  <w:pPr>
                    <w:spacing w:line="240" w:lineRule="auto"/>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w:t>
                  </w:r>
                </w:p>
              </w:tc>
              <w:tc>
                <w:tcPr>
                  <w:tcW w:w="60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cs="Times New Roman"/>
                      <w:b w:val="0"/>
                      <w:bCs w:val="0"/>
                      <w:color w:val="auto"/>
                      <w:sz w:val="21"/>
                      <w:szCs w:val="21"/>
                      <w:lang w:val="en-US" w:eastAsia="zh-CN"/>
                    </w:rPr>
                    <w:t>0.0260（0.0004）</w:t>
                  </w:r>
                </w:p>
              </w:tc>
              <w:tc>
                <w:tcPr>
                  <w:tcW w:w="692"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4.0</w:t>
                  </w:r>
                </w:p>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（5.0）、20无量纲</w:t>
                  </w:r>
                </w:p>
              </w:tc>
              <w:tc>
                <w:tcPr>
                  <w:tcW w:w="1716"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《恶臭污染物排放标准》（GB14554-93）表1二级标准；非甲烷总烃厂界外无组织排放满足《合成树脂工业污染物排放标准》（GB31572-2015）中表9中限值（4.0mg/m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）、厂界内无组织排放满足《挥发性有机物无组织排放控制标准》（GB37822-2019）表A.1特别排放限值要求（监控点处1h平均值浓度6mg/m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；监控点处任意一次浓度值20mg/m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w:t>
                  </w:r>
                </w:p>
              </w:tc>
              <w:tc>
                <w:tcPr>
                  <w:tcW w:w="306"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达标</w:t>
                  </w:r>
                </w:p>
              </w:tc>
            </w:tr>
          </w:tbl>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1.</w:t>
            </w:r>
            <w:r>
              <w:rPr>
                <w:rFonts w:hint="eastAsia" w:cs="Times New Roman"/>
                <w:b/>
                <w:bCs/>
                <w:color w:val="auto"/>
                <w:sz w:val="24"/>
                <w:szCs w:val="24"/>
                <w:lang w:val="en-US" w:eastAsia="zh-CN" w:bidi="ar-SA"/>
              </w:rPr>
              <w:t>3</w:t>
            </w:r>
            <w:r>
              <w:rPr>
                <w:rFonts w:hint="default" w:ascii="Times New Roman" w:hAnsi="Times New Roman" w:eastAsia="宋体" w:cs="Times New Roman"/>
                <w:b/>
                <w:bCs/>
                <w:color w:val="auto"/>
                <w:sz w:val="24"/>
                <w:szCs w:val="24"/>
                <w:lang w:val="en-US" w:eastAsia="zh-CN" w:bidi="ar-SA"/>
              </w:rPr>
              <w:t>污染物排放量核算</w:t>
            </w:r>
          </w:p>
          <w:p>
            <w:pPr>
              <w:spacing w:line="360" w:lineRule="auto"/>
              <w:ind w:firstLine="480" w:firstLineChars="200"/>
              <w:rPr>
                <w:rFonts w:hint="default" w:ascii="Times New Roman" w:hAnsi="Times New Roman" w:eastAsia="宋体" w:cs="Times New Roman"/>
                <w:b/>
                <w:bCs/>
                <w:color w:val="auto"/>
                <w:sz w:val="21"/>
                <w:szCs w:val="21"/>
                <w:lang w:val="zh-CN" w:eastAsia="zh-CN" w:bidi="ar-SA"/>
              </w:rPr>
            </w:pPr>
            <w:r>
              <w:rPr>
                <w:rFonts w:hint="default" w:ascii="Times New Roman" w:hAnsi="Times New Roman" w:eastAsia="宋体" w:cs="Times New Roman"/>
                <w:color w:val="auto"/>
                <w:sz w:val="24"/>
                <w:szCs w:val="24"/>
                <w:lang w:val="en-US" w:eastAsia="zh-CN" w:bidi="ar-SA"/>
              </w:rPr>
              <w:t>本项目有组织废气排放量核算见表4-</w:t>
            </w:r>
            <w:r>
              <w:rPr>
                <w:rFonts w:hint="eastAsia" w:ascii="Times New Roman" w:hAnsi="Times New Roman" w:eastAsia="宋体" w:cs="Times New Roman"/>
                <w:color w:val="auto"/>
                <w:sz w:val="24"/>
                <w:szCs w:val="24"/>
                <w:lang w:val="en-US" w:eastAsia="zh-CN" w:bidi="ar-SA"/>
              </w:rPr>
              <w:t>6</w:t>
            </w:r>
            <w:r>
              <w:rPr>
                <w:rFonts w:hint="default" w:ascii="Times New Roman" w:hAnsi="Times New Roman" w:eastAsia="宋体" w:cs="Times New Roman"/>
                <w:color w:val="auto"/>
                <w:sz w:val="24"/>
                <w:szCs w:val="24"/>
                <w:lang w:val="en-US" w:eastAsia="zh-CN" w:bidi="ar-SA"/>
              </w:rPr>
              <w:t>，无组织废气排放量核算见表4-</w:t>
            </w:r>
            <w:r>
              <w:rPr>
                <w:rFonts w:hint="eastAsia" w:ascii="Times New Roman" w:hAnsi="Times New Roman" w:eastAsia="宋体" w:cs="Times New Roman"/>
                <w:color w:val="auto"/>
                <w:sz w:val="24"/>
                <w:szCs w:val="24"/>
                <w:lang w:val="en-US" w:eastAsia="zh-CN" w:bidi="ar-SA"/>
              </w:rPr>
              <w:t>7</w:t>
            </w:r>
            <w:r>
              <w:rPr>
                <w:rFonts w:hint="default" w:ascii="Times New Roman" w:hAnsi="Times New Roman" w:eastAsia="宋体" w:cs="Times New Roman"/>
                <w:color w:val="auto"/>
                <w:sz w:val="24"/>
                <w:szCs w:val="24"/>
                <w:lang w:val="en-US" w:eastAsia="zh-CN" w:bidi="ar-SA"/>
              </w:rPr>
              <w:t>。</w:t>
            </w:r>
          </w:p>
          <w:p>
            <w:pPr>
              <w:spacing w:line="240" w:lineRule="auto"/>
              <w:ind w:firstLine="422" w:firstLineChars="200"/>
              <w:jc w:val="center"/>
              <w:rPr>
                <w:rFonts w:hint="default" w:ascii="Times New Roman" w:hAnsi="Times New Roman" w:eastAsia="宋体" w:cs="Times New Roman"/>
                <w:b/>
                <w:bCs/>
                <w:color w:val="auto"/>
                <w:sz w:val="21"/>
                <w:szCs w:val="21"/>
                <w:lang w:val="zh-CN" w:eastAsia="zh-CN" w:bidi="ar-SA"/>
              </w:rPr>
            </w:pPr>
            <w:r>
              <w:rPr>
                <w:rFonts w:hint="default" w:ascii="Times New Roman" w:hAnsi="Times New Roman" w:eastAsia="宋体" w:cs="Times New Roman"/>
                <w:b/>
                <w:bCs/>
                <w:color w:val="auto"/>
                <w:sz w:val="21"/>
                <w:szCs w:val="21"/>
                <w:lang w:val="zh-CN" w:eastAsia="zh-CN" w:bidi="ar-SA"/>
              </w:rPr>
              <w:t>表</w:t>
            </w:r>
            <w:r>
              <w:rPr>
                <w:rFonts w:hint="default" w:ascii="Times New Roman" w:hAnsi="Times New Roman" w:eastAsia="宋体" w:cs="Times New Roman"/>
                <w:b/>
                <w:bCs/>
                <w:color w:val="auto"/>
                <w:sz w:val="21"/>
                <w:szCs w:val="21"/>
                <w:lang w:val="en-US" w:eastAsia="zh-CN" w:bidi="ar-SA"/>
              </w:rPr>
              <w:t>4-</w:t>
            </w:r>
            <w:r>
              <w:rPr>
                <w:rFonts w:hint="eastAsia" w:ascii="Times New Roman" w:hAnsi="Times New Roman" w:eastAsia="宋体" w:cs="Times New Roman"/>
                <w:b/>
                <w:bCs/>
                <w:color w:val="auto"/>
                <w:sz w:val="21"/>
                <w:szCs w:val="21"/>
                <w:lang w:val="en-US" w:eastAsia="zh-CN" w:bidi="ar-SA"/>
              </w:rPr>
              <w:t>6</w:t>
            </w:r>
            <w:r>
              <w:rPr>
                <w:rFonts w:hint="default" w:ascii="Times New Roman" w:hAnsi="Times New Roman" w:eastAsia="宋体" w:cs="Times New Roman"/>
                <w:b/>
                <w:bCs/>
                <w:color w:val="auto"/>
                <w:sz w:val="21"/>
                <w:szCs w:val="21"/>
                <w:lang w:val="en-US" w:eastAsia="zh-CN" w:bidi="ar-SA"/>
              </w:rPr>
              <w:t xml:space="preserve"> </w:t>
            </w:r>
            <w:r>
              <w:rPr>
                <w:rFonts w:hint="default" w:ascii="Times New Roman" w:hAnsi="Times New Roman" w:eastAsia="宋体" w:cs="Times New Roman"/>
                <w:b/>
                <w:bCs/>
                <w:color w:val="auto"/>
                <w:sz w:val="21"/>
                <w:szCs w:val="21"/>
                <w:lang w:val="zh-CN" w:eastAsia="zh-CN" w:bidi="ar-SA"/>
              </w:rPr>
              <w:t xml:space="preserve"> 本项目</w:t>
            </w:r>
            <w:r>
              <w:rPr>
                <w:rFonts w:hint="eastAsia" w:ascii="Times New Roman" w:hAnsi="Times New Roman" w:eastAsia="宋体" w:cs="Times New Roman"/>
                <w:b/>
                <w:bCs/>
                <w:color w:val="auto"/>
                <w:sz w:val="21"/>
                <w:szCs w:val="21"/>
                <w:lang w:val="zh-CN" w:eastAsia="zh-CN" w:bidi="ar-SA"/>
              </w:rPr>
              <w:t>有组织</w:t>
            </w:r>
            <w:r>
              <w:rPr>
                <w:rFonts w:hint="default" w:ascii="Times New Roman" w:hAnsi="Times New Roman" w:eastAsia="宋体" w:cs="Times New Roman"/>
                <w:b/>
                <w:bCs/>
                <w:color w:val="auto"/>
                <w:sz w:val="21"/>
                <w:szCs w:val="21"/>
                <w:lang w:val="zh-CN" w:eastAsia="zh-CN" w:bidi="ar-SA"/>
              </w:rPr>
              <w:t>废气排放核算表</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88"/>
              <w:gridCol w:w="1408"/>
              <w:gridCol w:w="2125"/>
              <w:gridCol w:w="1375"/>
              <w:gridCol w:w="13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385"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序号</w:t>
                  </w:r>
                </w:p>
              </w:tc>
              <w:tc>
                <w:tcPr>
                  <w:tcW w:w="783"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排放口编号</w:t>
                  </w:r>
                </w:p>
              </w:tc>
              <w:tc>
                <w:tcPr>
                  <w:tcW w:w="856"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污染物</w:t>
                  </w:r>
                </w:p>
              </w:tc>
              <w:tc>
                <w:tcPr>
                  <w:tcW w:w="1292"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核算排放浓度/（mg/m</w:t>
                  </w:r>
                  <w:r>
                    <w:rPr>
                      <w:rFonts w:hint="default" w:ascii="Times New Roman" w:hAnsi="Times New Roman" w:eastAsia="宋体" w:cs="Times New Roman"/>
                      <w:b/>
                      <w:bCs/>
                      <w:color w:val="auto"/>
                      <w:sz w:val="21"/>
                      <w:szCs w:val="21"/>
                      <w:vertAlign w:val="superscript"/>
                      <w:lang w:val="en-US" w:eastAsia="zh-CN" w:bidi="ar-SA"/>
                    </w:rPr>
                    <w:t>3</w:t>
                  </w:r>
                  <w:r>
                    <w:rPr>
                      <w:rFonts w:hint="default" w:ascii="Times New Roman" w:hAnsi="Times New Roman" w:eastAsia="宋体" w:cs="Times New Roman"/>
                      <w:b/>
                      <w:bCs/>
                      <w:color w:val="auto"/>
                      <w:sz w:val="21"/>
                      <w:szCs w:val="21"/>
                      <w:lang w:val="en-US" w:eastAsia="zh-CN" w:bidi="ar-SA"/>
                    </w:rPr>
                    <w:t>）</w:t>
                  </w:r>
                </w:p>
              </w:tc>
              <w:tc>
                <w:tcPr>
                  <w:tcW w:w="836"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核算排放速率/（kg/h）</w:t>
                  </w:r>
                </w:p>
              </w:tc>
              <w:tc>
                <w:tcPr>
                  <w:tcW w:w="847"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核算年排放量/（t/a）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000" w:type="pct"/>
                  <w:gridSpan w:val="6"/>
                  <w:tcBorders>
                    <w:top w:val="single" w:color="000000"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主要排放口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385"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783"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85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1292"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83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84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168" w:type="pct"/>
                  <w:gridSpan w:val="2"/>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主要排放口合计</w:t>
                  </w:r>
                </w:p>
              </w:tc>
              <w:tc>
                <w:tcPr>
                  <w:tcW w:w="2984" w:type="pct"/>
                  <w:gridSpan w:val="3"/>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84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000" w:type="pct"/>
                  <w:gridSpan w:val="6"/>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一般排放口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85"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w:t>
                  </w:r>
                </w:p>
              </w:tc>
              <w:tc>
                <w:tcPr>
                  <w:tcW w:w="783"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DA001</w:t>
                  </w:r>
                </w:p>
              </w:tc>
              <w:tc>
                <w:tcPr>
                  <w:tcW w:w="85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颗粒物</w:t>
                  </w:r>
                </w:p>
              </w:tc>
              <w:tc>
                <w:tcPr>
                  <w:tcW w:w="1292"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5.11</w:t>
                  </w:r>
                </w:p>
              </w:tc>
              <w:tc>
                <w:tcPr>
                  <w:tcW w:w="83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0.199</w:t>
                  </w:r>
                </w:p>
              </w:tc>
              <w:tc>
                <w:tcPr>
                  <w:tcW w:w="84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0.382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85"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w:t>
                  </w:r>
                </w:p>
              </w:tc>
              <w:tc>
                <w:tcPr>
                  <w:tcW w:w="783" w:type="pct"/>
                  <w:noWrap w:val="0"/>
                  <w:vAlign w:val="center"/>
                </w:tcPr>
                <w:p>
                  <w:pPr>
                    <w:spacing w:line="240" w:lineRule="auto"/>
                    <w:jc w:val="center"/>
                    <w:rPr>
                      <w:rFonts w:hint="eastAsia" w:cs="Times New Roman"/>
                      <w:color w:val="auto"/>
                      <w:sz w:val="21"/>
                      <w:szCs w:val="21"/>
                      <w:lang w:val="en-US" w:eastAsia="zh-CN" w:bidi="ar-SA"/>
                    </w:rPr>
                  </w:pPr>
                  <w:r>
                    <w:rPr>
                      <w:rFonts w:hint="eastAsia" w:cs="Times New Roman"/>
                      <w:color w:val="auto"/>
                      <w:sz w:val="21"/>
                      <w:szCs w:val="21"/>
                      <w:lang w:val="en-US" w:eastAsia="zh-CN" w:bidi="ar-SA"/>
                    </w:rPr>
                    <w:t>DA002</w:t>
                  </w:r>
                </w:p>
              </w:tc>
              <w:tc>
                <w:tcPr>
                  <w:tcW w:w="856" w:type="pct"/>
                  <w:noWrap w:val="0"/>
                  <w:vAlign w:val="center"/>
                </w:tcPr>
                <w:p>
                  <w:pPr>
                    <w:spacing w:line="240" w:lineRule="auto"/>
                    <w:jc w:val="center"/>
                    <w:rPr>
                      <w:rFonts w:hint="eastAsia"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非甲烷总烃（苯乙烯）、臭气浓度</w:t>
                  </w:r>
                </w:p>
              </w:tc>
              <w:tc>
                <w:tcPr>
                  <w:tcW w:w="1292"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25.5（0.39）</w:t>
                  </w:r>
                </w:p>
              </w:tc>
              <w:tc>
                <w:tcPr>
                  <w:tcW w:w="836" w:type="pct"/>
                  <w:noWrap w:val="0"/>
                  <w:vAlign w:val="center"/>
                </w:tcPr>
                <w:p>
                  <w:pPr>
                    <w:spacing w:line="240" w:lineRule="auto"/>
                    <w:jc w:val="center"/>
                    <w:rPr>
                      <w:rFonts w:hint="default" w:cs="Times New Roman"/>
                      <w:color w:val="auto"/>
                      <w:sz w:val="21"/>
                      <w:szCs w:val="21"/>
                      <w:vertAlign w:val="baseline"/>
                      <w:lang w:val="en-US" w:eastAsia="zh-CN" w:bidi="ar-SA"/>
                    </w:rPr>
                  </w:pPr>
                  <w:r>
                    <w:rPr>
                      <w:rFonts w:hint="eastAsia" w:cs="Times New Roman"/>
                      <w:color w:val="auto"/>
                      <w:sz w:val="21"/>
                      <w:szCs w:val="21"/>
                      <w:vertAlign w:val="baseline"/>
                      <w:lang w:val="en-US" w:eastAsia="zh-CN" w:bidi="ar-SA"/>
                    </w:rPr>
                    <w:t>0.204（0.0031）</w:t>
                  </w:r>
                </w:p>
              </w:tc>
              <w:tc>
                <w:tcPr>
                  <w:tcW w:w="847" w:type="pct"/>
                  <w:noWrap w:val="0"/>
                  <w:vAlign w:val="center"/>
                </w:tcPr>
                <w:p>
                  <w:pPr>
                    <w:spacing w:line="240" w:lineRule="auto"/>
                    <w:jc w:val="center"/>
                    <w:rPr>
                      <w:rFonts w:hint="default" w:cs="Times New Roman"/>
                      <w:color w:val="auto"/>
                      <w:sz w:val="21"/>
                      <w:szCs w:val="21"/>
                      <w:vertAlign w:val="baseline"/>
                      <w:lang w:val="en-US" w:eastAsia="zh-CN" w:bidi="ar-SA"/>
                    </w:rPr>
                  </w:pPr>
                  <w:r>
                    <w:rPr>
                      <w:rFonts w:hint="eastAsia" w:cs="Times New Roman"/>
                      <w:color w:val="auto"/>
                      <w:sz w:val="21"/>
                      <w:szCs w:val="21"/>
                      <w:vertAlign w:val="baseline"/>
                      <w:lang w:val="en-US" w:eastAsia="zh-CN" w:bidi="ar-SA"/>
                    </w:rPr>
                    <w:t>0.392（0.0059）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168" w:type="pct"/>
                  <w:gridSpan w:val="2"/>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一般排放口</w:t>
                  </w:r>
                </w:p>
              </w:tc>
              <w:tc>
                <w:tcPr>
                  <w:tcW w:w="2984" w:type="pct"/>
                  <w:gridSpan w:val="3"/>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84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5000" w:type="pct"/>
                  <w:gridSpan w:val="6"/>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有组织排放总计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168" w:type="pct"/>
                  <w:gridSpan w:val="2"/>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有组织排放总计</w:t>
                  </w:r>
                </w:p>
              </w:tc>
              <w:tc>
                <w:tcPr>
                  <w:tcW w:w="2984" w:type="pct"/>
                  <w:gridSpan w:val="3"/>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颗粒物</w:t>
                  </w:r>
                </w:p>
              </w:tc>
              <w:tc>
                <w:tcPr>
                  <w:tcW w:w="139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0.382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168" w:type="pct"/>
                  <w:gridSpan w:val="2"/>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c>
                <w:tcPr>
                  <w:tcW w:w="2984" w:type="pct"/>
                  <w:gridSpan w:val="3"/>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非甲烷总烃（苯乙烯）、臭气浓度</w:t>
                  </w:r>
                </w:p>
              </w:tc>
              <w:tc>
                <w:tcPr>
                  <w:tcW w:w="1393" w:type="dxa"/>
                  <w:noWrap w:val="0"/>
                  <w:vAlign w:val="center"/>
                </w:tcPr>
                <w:p>
                  <w:pPr>
                    <w:spacing w:line="240" w:lineRule="auto"/>
                    <w:jc w:val="center"/>
                    <w:rPr>
                      <w:rFonts w:hint="default" w:cs="Times New Roman"/>
                      <w:color w:val="auto"/>
                      <w:sz w:val="21"/>
                      <w:szCs w:val="21"/>
                      <w:vertAlign w:val="baseline"/>
                      <w:lang w:val="en-US" w:eastAsia="zh-CN" w:bidi="ar-SA"/>
                    </w:rPr>
                  </w:pPr>
                  <w:r>
                    <w:rPr>
                      <w:rFonts w:hint="eastAsia" w:cs="Times New Roman"/>
                      <w:color w:val="auto"/>
                      <w:sz w:val="21"/>
                      <w:szCs w:val="21"/>
                      <w:vertAlign w:val="baseline"/>
                      <w:lang w:val="en-US" w:eastAsia="zh-CN" w:bidi="ar-SA"/>
                    </w:rPr>
                    <w:t>0.392（0.0059）</w:t>
                  </w:r>
                </w:p>
              </w:tc>
            </w:tr>
          </w:tbl>
          <w:p>
            <w:pPr>
              <w:spacing w:line="240" w:lineRule="auto"/>
              <w:ind w:firstLine="422" w:firstLineChars="200"/>
              <w:jc w:val="center"/>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eastAsia" w:ascii="Times New Roman" w:hAnsi="Times New Roman" w:eastAsia="宋体" w:cs="Times New Roman"/>
                <w:b/>
                <w:bCs/>
                <w:color w:val="auto"/>
                <w:sz w:val="21"/>
                <w:szCs w:val="21"/>
                <w:lang w:val="en-US" w:eastAsia="zh-CN"/>
              </w:rPr>
              <w:t>4-7</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zh-CN" w:eastAsia="zh-CN"/>
              </w:rPr>
              <w:t xml:space="preserve"> 本项目无组织废气排放核算表</w:t>
            </w:r>
          </w:p>
          <w:tbl>
            <w:tblPr>
              <w:tblStyle w:val="31"/>
              <w:tblW w:w="498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61"/>
              <w:gridCol w:w="665"/>
              <w:gridCol w:w="807"/>
              <w:gridCol w:w="1948"/>
              <w:gridCol w:w="2394"/>
              <w:gridCol w:w="1001"/>
              <w:gridCol w:w="10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219"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405"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排放口编号</w:t>
                  </w:r>
                </w:p>
              </w:tc>
              <w:tc>
                <w:tcPr>
                  <w:tcW w:w="491"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1186"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主要污染防治措施</w:t>
                  </w:r>
                </w:p>
              </w:tc>
              <w:tc>
                <w:tcPr>
                  <w:tcW w:w="2068" w:type="pct"/>
                  <w:gridSpan w:val="2"/>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国家或地方污染物排放标准</w:t>
                  </w:r>
                </w:p>
              </w:tc>
              <w:tc>
                <w:tcPr>
                  <w:tcW w:w="62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219" w:type="pct"/>
                  <w:vMerge w:val="continue"/>
                  <w:tcBorders>
                    <w:bottom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p>
              </w:tc>
              <w:tc>
                <w:tcPr>
                  <w:tcW w:w="405" w:type="pct"/>
                  <w:vMerge w:val="continue"/>
                  <w:tcBorders>
                    <w:bottom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p>
              </w:tc>
              <w:tc>
                <w:tcPr>
                  <w:tcW w:w="491" w:type="pct"/>
                  <w:vMerge w:val="continue"/>
                  <w:tcBorders>
                    <w:bottom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p>
              </w:tc>
              <w:tc>
                <w:tcPr>
                  <w:tcW w:w="1186" w:type="pct"/>
                  <w:vMerge w:val="continue"/>
                  <w:tcBorders>
                    <w:bottom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p>
              </w:tc>
              <w:tc>
                <w:tcPr>
                  <w:tcW w:w="1458" w:type="pct"/>
                  <w:tcBorders>
                    <w:bottom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标准名称</w:t>
                  </w:r>
                </w:p>
              </w:tc>
              <w:tc>
                <w:tcPr>
                  <w:tcW w:w="609" w:type="pct"/>
                  <w:tcBorders>
                    <w:bottom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浓度限值/（mg/m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c>
                <w:tcPr>
                  <w:tcW w:w="627" w:type="pct"/>
                  <w:vMerge w:val="continue"/>
                  <w:tcBorders>
                    <w:bottom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9"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05" w:type="pct"/>
                  <w:vMerge w:val="restart"/>
                  <w:tcBorders>
                    <w:top w:val="single" w:color="000000" w:sz="12"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w:t>
                  </w:r>
                </w:p>
              </w:tc>
              <w:tc>
                <w:tcPr>
                  <w:tcW w:w="491"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86"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车间日常封闭，采用机械排风扇对车间加强车间内通风，大部分粉尘被阻挡沉降于车间内，无组织粉尘外排量较小。</w:t>
                  </w:r>
                </w:p>
              </w:tc>
              <w:tc>
                <w:tcPr>
                  <w:tcW w:w="1458" w:type="pct"/>
                  <w:tcBorders>
                    <w:top w:val="single" w:color="000000" w:sz="12" w:space="0"/>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《合成树脂工业污染物排放标准》（GB31572-2015）中表9企业边界大气污染物浓度限值</w:t>
                  </w:r>
                </w:p>
              </w:tc>
              <w:tc>
                <w:tcPr>
                  <w:tcW w:w="609"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1.0</w:t>
                  </w:r>
                </w:p>
              </w:tc>
              <w:tc>
                <w:tcPr>
                  <w:tcW w:w="627"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67" w:hRule="atLeast"/>
              </w:trPr>
              <w:tc>
                <w:tcPr>
                  <w:tcW w:w="219" w:type="pct"/>
                  <w:tcBorders>
                    <w:top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405"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491" w:type="pct"/>
                  <w:tcBorders>
                    <w:top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eastAsia="zh-CN"/>
                    </w:rPr>
                    <w:t>非甲烷总烃（苯乙烯）、臭气浓度</w:t>
                  </w:r>
                </w:p>
              </w:tc>
              <w:tc>
                <w:tcPr>
                  <w:tcW w:w="1186" w:type="pct"/>
                  <w:tcBorders>
                    <w:top w:val="single" w:color="000000" w:sz="4" w:space="0"/>
                  </w:tcBorders>
                  <w:noWrap w:val="0"/>
                  <w:vAlign w:val="center"/>
                </w:tcPr>
                <w:p>
                  <w:pPr>
                    <w:spacing w:line="240" w:lineRule="auto"/>
                    <w:jc w:val="center"/>
                    <w:rPr>
                      <w:rFonts w:hint="eastAsia" w:eastAsia="宋体"/>
                      <w:color w:val="auto"/>
                      <w:sz w:val="21"/>
                      <w:lang w:eastAsia="zh-CN"/>
                    </w:rPr>
                  </w:pPr>
                  <w:r>
                    <w:rPr>
                      <w:rFonts w:hint="eastAsia" w:ascii="Times New Roman" w:hAnsi="Times New Roman" w:eastAsia="宋体" w:cs="Times New Roman"/>
                      <w:color w:val="auto"/>
                      <w:sz w:val="21"/>
                      <w:szCs w:val="21"/>
                      <w:lang w:val="en-US" w:eastAsia="zh-CN"/>
                    </w:rPr>
                    <w:t>加强废气收集的设备的维护和管理，尽量减少无组织废气的排放，并在车间内设置排气扇，加强车间通风换气。</w:t>
                  </w:r>
                </w:p>
              </w:tc>
              <w:tc>
                <w:tcPr>
                  <w:tcW w:w="1458" w:type="pct"/>
                  <w:tcBorders>
                    <w:top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《恶臭污染物排放标准》（GB14554-93）表1二级标准；非甲烷总烃厂界外无组织排放满足《合成树脂工业污染物排放标准》（GB31572-2015）中表9中限值（4.0mg/m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）、厂界内无组织排放满足《挥发性有机物无组织排放控制标准》（GB37822-2019）表A.1特别排放限值要求（监控点处1h平均值浓度6mg/m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；监控点处任意一次浓度值20mg/m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w:t>
                  </w:r>
                </w:p>
              </w:tc>
              <w:tc>
                <w:tcPr>
                  <w:tcW w:w="609" w:type="pct"/>
                  <w:tcBorders>
                    <w:top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4.0</w:t>
                  </w:r>
                </w:p>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（5.0）、20无量纲</w:t>
                  </w:r>
                </w:p>
              </w:tc>
              <w:tc>
                <w:tcPr>
                  <w:tcW w:w="627" w:type="pct"/>
                  <w:tcBorders>
                    <w:top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0.050（0.0008）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5000" w:type="pct"/>
                  <w:gridSpan w:val="7"/>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625" w:type="pct"/>
                  <w:gridSpan w:val="2"/>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无组织排放总计</w:t>
                  </w:r>
                </w:p>
              </w:tc>
              <w:tc>
                <w:tcPr>
                  <w:tcW w:w="3747" w:type="pct"/>
                  <w:gridSpan w:val="4"/>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2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625" w:type="pct"/>
                  <w:gridSpan w:val="2"/>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3747" w:type="pct"/>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eastAsia="zh-CN"/>
                    </w:rPr>
                    <w:t>非甲烷总烃（苯乙烯）、臭气浓度</w:t>
                  </w:r>
                </w:p>
              </w:tc>
              <w:tc>
                <w:tcPr>
                  <w:tcW w:w="62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0.050（0.0008）</w:t>
                  </w:r>
                </w:p>
              </w:tc>
            </w:tr>
          </w:tbl>
          <w:p>
            <w:pPr>
              <w:spacing w:line="360" w:lineRule="auto"/>
              <w:rPr>
                <w:rFonts w:hint="eastAsia" w:ascii="Times New Roman" w:hAnsi="Times New Roman" w:eastAsia="宋体" w:cs="Times New Roman"/>
                <w:b/>
                <w:bCs/>
                <w:color w:val="auto"/>
                <w:sz w:val="24"/>
                <w:szCs w:val="24"/>
                <w:lang w:val="en-US" w:eastAsia="zh-CN" w:bidi="ar-SA"/>
              </w:rPr>
            </w:pPr>
            <w:r>
              <w:rPr>
                <w:rFonts w:hint="eastAsia" w:cs="Times New Roman"/>
                <w:b/>
                <w:bCs/>
                <w:color w:val="auto"/>
                <w:sz w:val="24"/>
                <w:szCs w:val="24"/>
                <w:lang w:val="en-US" w:eastAsia="zh-CN" w:bidi="ar-SA"/>
              </w:rPr>
              <w:t>1.4非正常工况分析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本项目非正常工况废气排放代表性事故表现为污染物防治措施故障情况下废气超标排放情况，根据本项目特点，主要表现为颗粒物、有机废气处理设施故障。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（1）污染物治理措施故障工况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w:t>
            </w:r>
            <w:r>
              <w:rPr>
                <w:rFonts w:hint="eastAsia" w:ascii="Times New Roman" w:hAnsi="Times New Roman" w:cs="Times New Roman"/>
                <w:color w:val="auto"/>
                <w:sz w:val="24"/>
                <w:lang w:val="en-US" w:eastAsia="zh-CN"/>
              </w:rPr>
              <w:t>生产设备启动前</w:t>
            </w:r>
            <w:r>
              <w:rPr>
                <w:rFonts w:hint="default" w:ascii="Times New Roman" w:hAnsi="Times New Roman" w:cs="Times New Roman"/>
                <w:color w:val="auto"/>
                <w:sz w:val="24"/>
                <w:lang w:val="en-US" w:eastAsia="zh-CN"/>
              </w:rPr>
              <w:t>按照程序先启动相应废气处理措施，废气处理措施正常运行后</w:t>
            </w:r>
            <w:r>
              <w:rPr>
                <w:rFonts w:hint="eastAsia" w:ascii="Times New Roman" w:hAnsi="Times New Roman" w:cs="Times New Roman"/>
                <w:color w:val="auto"/>
                <w:sz w:val="24"/>
                <w:lang w:val="en-US" w:eastAsia="zh-CN"/>
              </w:rPr>
              <w:t>方可</w:t>
            </w:r>
            <w:r>
              <w:rPr>
                <w:rFonts w:hint="default" w:ascii="Times New Roman" w:hAnsi="Times New Roman" w:cs="Times New Roman"/>
                <w:color w:val="auto"/>
                <w:sz w:val="24"/>
                <w:lang w:val="en-US" w:eastAsia="zh-CN"/>
              </w:rPr>
              <w:t>进行生产设备启动，故项目生产设施开停机非正常情况</w:t>
            </w:r>
            <w:r>
              <w:rPr>
                <w:rFonts w:hint="eastAsia" w:ascii="Times New Roman" w:hAnsi="Times New Roman" w:cs="Times New Roman"/>
                <w:color w:val="auto"/>
                <w:sz w:val="24"/>
                <w:lang w:val="en-US" w:eastAsia="zh-CN"/>
              </w:rPr>
              <w:t>下</w:t>
            </w:r>
            <w:r>
              <w:rPr>
                <w:rFonts w:hint="default" w:ascii="Times New Roman" w:hAnsi="Times New Roman" w:cs="Times New Roman"/>
                <w:color w:val="auto"/>
                <w:sz w:val="24"/>
                <w:lang w:val="en-US" w:eastAsia="zh-CN"/>
              </w:rPr>
              <w:t>亦不会产生</w:t>
            </w:r>
            <w:r>
              <w:rPr>
                <w:rFonts w:hint="eastAsia" w:ascii="Times New Roman" w:hAnsi="Times New Roman" w:cs="Times New Roman"/>
                <w:color w:val="auto"/>
                <w:sz w:val="24"/>
                <w:lang w:val="en-US" w:eastAsia="zh-CN"/>
              </w:rPr>
              <w:t>废气未经处理</w:t>
            </w:r>
            <w:r>
              <w:rPr>
                <w:rFonts w:hint="default" w:ascii="Times New Roman" w:hAnsi="Times New Roman" w:cs="Times New Roman"/>
                <w:color w:val="auto"/>
                <w:sz w:val="24"/>
                <w:lang w:val="en-US" w:eastAsia="zh-CN"/>
              </w:rPr>
              <w:t>直接排放情况。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Cs w:val="21"/>
              </w:rPr>
            </w:pPr>
            <w:r>
              <w:rPr>
                <w:rFonts w:hint="eastAsia" w:ascii="Times New Roman" w:hAnsi="Times New Roman" w:cs="Times New Roman"/>
                <w:color w:val="auto"/>
                <w:sz w:val="24"/>
                <w:lang w:val="en-US" w:eastAsia="zh-CN"/>
              </w:rPr>
              <w:t>本次评价以废气处理设备（</w:t>
            </w:r>
            <w:r>
              <w:rPr>
                <w:rFonts w:hint="eastAsia" w:ascii="Times New Roman" w:hAnsi="Times New Roman" w:eastAsia="宋体" w:cs="Times New Roman"/>
                <w:color w:val="auto"/>
                <w:sz w:val="24"/>
                <w:highlight w:val="none"/>
                <w:lang w:val="en-US" w:eastAsia="zh-CN" w:bidi="ar"/>
              </w:rPr>
              <w:t>排气筒编号DA001、DA002</w:t>
            </w:r>
            <w:r>
              <w:rPr>
                <w:rFonts w:hint="eastAsia" w:ascii="Times New Roman" w:hAnsi="Times New Roman" w:cs="Times New Roman"/>
                <w:color w:val="auto"/>
                <w:sz w:val="24"/>
                <w:lang w:val="en-US" w:eastAsia="zh-CN"/>
              </w:rPr>
              <w:t>）突发故障停止运行进行统计，发生频率不高于2次/年，一般发现后可在1小时内停止设备运转，终止事故排放。项目非正常工况排放情况见下表。</w:t>
            </w:r>
          </w:p>
          <w:p>
            <w:pPr>
              <w:adjustRightInd w:val="0"/>
              <w:snapToGrid w:val="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表4-</w:t>
            </w:r>
            <w:r>
              <w:rPr>
                <w:rFonts w:hint="eastAsia" w:ascii="Times New Roman" w:hAnsi="Times New Roman" w:eastAsia="宋体" w:cs="Times New Roman"/>
                <w:b/>
                <w:bCs/>
                <w:color w:val="auto"/>
                <w:szCs w:val="21"/>
                <w:lang w:val="en-US" w:eastAsia="zh-CN"/>
              </w:rPr>
              <w:t>8</w:t>
            </w:r>
            <w:r>
              <w:rPr>
                <w:rFonts w:hint="eastAsia" w:ascii="Times New Roman" w:hAnsi="Times New Roman" w:eastAsia="宋体" w:cs="Times New Roman"/>
                <w:b/>
                <w:bCs/>
                <w:color w:val="auto"/>
                <w:szCs w:val="21"/>
              </w:rPr>
              <w:t xml:space="preserve">  项目非正常排放参数表</w:t>
            </w:r>
          </w:p>
          <w:tbl>
            <w:tblPr>
              <w:tblStyle w:val="31"/>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786"/>
              <w:gridCol w:w="670"/>
              <w:gridCol w:w="877"/>
              <w:gridCol w:w="980"/>
              <w:gridCol w:w="905"/>
              <w:gridCol w:w="795"/>
              <w:gridCol w:w="783"/>
              <w:gridCol w:w="783"/>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96" w:type="dxa"/>
                  <w:tcBorders>
                    <w:top w:val="single" w:color="auto" w:sz="12" w:space="0"/>
                    <w:bottom w:val="single" w:color="auto" w:sz="12"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非正常排放源</w:t>
                  </w:r>
                </w:p>
              </w:tc>
              <w:tc>
                <w:tcPr>
                  <w:tcW w:w="786" w:type="dxa"/>
                  <w:tcBorders>
                    <w:top w:val="single" w:color="auto" w:sz="12" w:space="0"/>
                    <w:bottom w:val="single" w:color="auto" w:sz="12"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非正常排放原因</w:t>
                  </w:r>
                </w:p>
              </w:tc>
              <w:tc>
                <w:tcPr>
                  <w:tcW w:w="670" w:type="dxa"/>
                  <w:tcBorders>
                    <w:top w:val="single" w:color="auto" w:sz="12" w:space="0"/>
                    <w:bottom w:val="single" w:color="auto" w:sz="12"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878" w:type="dxa"/>
                  <w:tcBorders>
                    <w:top w:val="single" w:color="auto" w:sz="12" w:space="0"/>
                    <w:bottom w:val="single" w:color="auto" w:sz="12"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排放量（</w:t>
                  </w:r>
                  <w:r>
                    <w:rPr>
                      <w:rFonts w:hint="eastAsia" w:ascii="Times New Roman" w:hAnsi="Times New Roman" w:eastAsia="宋体" w:cs="Times New Roman"/>
                      <w:b/>
                      <w:bCs/>
                      <w:color w:val="auto"/>
                      <w:szCs w:val="21"/>
                      <w:lang w:val="en-US" w:eastAsia="zh-CN"/>
                    </w:rPr>
                    <w:t>t</w:t>
                  </w:r>
                  <w:r>
                    <w:rPr>
                      <w:rFonts w:hint="default" w:ascii="Times New Roman" w:hAnsi="Times New Roman" w:eastAsia="宋体" w:cs="Times New Roman"/>
                      <w:b/>
                      <w:bCs/>
                      <w:color w:val="auto"/>
                      <w:szCs w:val="21"/>
                    </w:rPr>
                    <w:t>）</w:t>
                  </w:r>
                </w:p>
              </w:tc>
              <w:tc>
                <w:tcPr>
                  <w:tcW w:w="981" w:type="dxa"/>
                  <w:tcBorders>
                    <w:top w:val="single" w:color="auto" w:sz="12" w:space="0"/>
                    <w:bottom w:val="single" w:color="auto" w:sz="12"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浓度（mg/m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c>
                <w:tcPr>
                  <w:tcW w:w="906" w:type="dxa"/>
                  <w:tcBorders>
                    <w:top w:val="single" w:color="auto" w:sz="12" w:space="0"/>
                    <w:bottom w:val="single" w:color="auto" w:sz="12"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排放速率（kg/h）</w:t>
                  </w:r>
                </w:p>
              </w:tc>
              <w:tc>
                <w:tcPr>
                  <w:tcW w:w="795" w:type="dxa"/>
                  <w:tcBorders>
                    <w:top w:val="single" w:color="auto" w:sz="12" w:space="0"/>
                    <w:bottom w:val="single" w:color="auto" w:sz="12"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单次持续时间/h</w:t>
                  </w:r>
                </w:p>
              </w:tc>
              <w:tc>
                <w:tcPr>
                  <w:tcW w:w="783" w:type="dxa"/>
                  <w:tcBorders>
                    <w:top w:val="single" w:color="auto" w:sz="12" w:space="0"/>
                    <w:bottom w:val="single" w:color="auto" w:sz="12"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年发生频次/次</w:t>
                  </w:r>
                </w:p>
              </w:tc>
              <w:tc>
                <w:tcPr>
                  <w:tcW w:w="783" w:type="dxa"/>
                  <w:tcBorders>
                    <w:top w:val="single" w:color="auto" w:sz="12" w:space="0"/>
                    <w:bottom w:val="single" w:color="auto" w:sz="12"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是否超标</w:t>
                  </w:r>
                </w:p>
              </w:tc>
              <w:tc>
                <w:tcPr>
                  <w:tcW w:w="820" w:type="dxa"/>
                  <w:tcBorders>
                    <w:top w:val="single" w:color="auto" w:sz="12" w:space="0"/>
                    <w:bottom w:val="single" w:color="auto" w:sz="12" w:space="0"/>
                    <w:right w:val="nil"/>
                  </w:tcBorders>
                  <w:noWrap w:val="0"/>
                  <w:tcMar>
                    <w:left w:w="0" w:type="dxa"/>
                    <w:right w:w="0" w:type="dxa"/>
                  </w:tcMar>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96" w:type="dxa"/>
                  <w:tcBorders>
                    <w:top w:val="single" w:color="auto" w:sz="12" w:space="0"/>
                    <w:left w:val="nil"/>
                    <w:bottom w:val="single" w:color="auto" w:sz="4" w:space="0"/>
                  </w:tcBorders>
                  <w:noWrap w:val="0"/>
                  <w:tcMar>
                    <w:left w:w="0" w:type="dxa"/>
                    <w:right w:w="0" w:type="dxa"/>
                  </w:tcMar>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DA001</w:t>
                  </w:r>
                </w:p>
              </w:tc>
              <w:tc>
                <w:tcPr>
                  <w:tcW w:w="786" w:type="dxa"/>
                  <w:vMerge w:val="restart"/>
                  <w:tcBorders>
                    <w:top w:val="single" w:color="auto" w:sz="12" w:space="0"/>
                  </w:tcBorders>
                  <w:noWrap w:val="0"/>
                  <w:tcMar>
                    <w:left w:w="0" w:type="dxa"/>
                    <w:right w:w="0" w:type="dxa"/>
                  </w:tcMar>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废气治理设备</w:t>
                  </w:r>
                  <w:r>
                    <w:rPr>
                      <w:rFonts w:hint="default" w:ascii="Times New Roman" w:hAnsi="Times New Roman" w:eastAsia="宋体" w:cs="Times New Roman"/>
                      <w:color w:val="auto"/>
                      <w:szCs w:val="21"/>
                    </w:rPr>
                    <w:t>故障</w:t>
                  </w:r>
                </w:p>
              </w:tc>
              <w:tc>
                <w:tcPr>
                  <w:tcW w:w="670" w:type="dxa"/>
                  <w:tcBorders>
                    <w:top w:val="single" w:color="auto" w:sz="12" w:space="0"/>
                    <w:bottom w:val="single" w:color="auto" w:sz="4" w:space="0"/>
                  </w:tcBorders>
                  <w:noWrap w:val="0"/>
                  <w:tcMar>
                    <w:left w:w="0" w:type="dxa"/>
                    <w:right w:w="0" w:type="dxa"/>
                  </w:tcMar>
                  <w:vAlign w:val="center"/>
                </w:tcPr>
                <w:p>
                  <w:pPr>
                    <w:spacing w:line="240" w:lineRule="auto"/>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 w:val="21"/>
                      <w:szCs w:val="21"/>
                    </w:rPr>
                    <w:t>颗粒物</w:t>
                  </w:r>
                </w:p>
              </w:tc>
              <w:tc>
                <w:tcPr>
                  <w:tcW w:w="878" w:type="dxa"/>
                  <w:tcBorders>
                    <w:top w:val="single" w:color="auto" w:sz="12" w:space="0"/>
                    <w:bottom w:val="single" w:color="auto" w:sz="4" w:space="0"/>
                  </w:tcBorders>
                  <w:noWrap w:val="0"/>
                  <w:tcMar>
                    <w:left w:w="0" w:type="dxa"/>
                    <w:right w:w="0" w:type="dxa"/>
                  </w:tcMar>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0.0199</w:t>
                  </w:r>
                </w:p>
              </w:tc>
              <w:tc>
                <w:tcPr>
                  <w:tcW w:w="981" w:type="dxa"/>
                  <w:tcBorders>
                    <w:top w:val="single" w:color="auto" w:sz="12" w:space="0"/>
                    <w:bottom w:val="single" w:color="auto" w:sz="4" w:space="0"/>
                  </w:tcBorders>
                  <w:noWrap w:val="0"/>
                  <w:tcMar>
                    <w:left w:w="0" w:type="dxa"/>
                    <w:right w:w="0" w:type="dxa"/>
                  </w:tcMar>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511.57</w:t>
                  </w:r>
                </w:p>
              </w:tc>
              <w:tc>
                <w:tcPr>
                  <w:tcW w:w="906" w:type="dxa"/>
                  <w:tcBorders>
                    <w:top w:val="single" w:color="auto" w:sz="12" w:space="0"/>
                    <w:bottom w:val="single" w:color="auto" w:sz="4" w:space="0"/>
                  </w:tcBorders>
                  <w:noWrap w:val="0"/>
                  <w:tcMar>
                    <w:left w:w="0" w:type="dxa"/>
                    <w:right w:w="0" w:type="dxa"/>
                  </w:tcMar>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19.92</w:t>
                  </w:r>
                </w:p>
              </w:tc>
              <w:tc>
                <w:tcPr>
                  <w:tcW w:w="795" w:type="dxa"/>
                  <w:tcBorders>
                    <w:top w:val="single" w:color="auto" w:sz="12" w:space="0"/>
                    <w:bottom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783" w:type="dxa"/>
                  <w:tcBorders>
                    <w:top w:val="single" w:color="auto" w:sz="12" w:space="0"/>
                    <w:bottom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2次</w:t>
                  </w:r>
                </w:p>
              </w:tc>
              <w:tc>
                <w:tcPr>
                  <w:tcW w:w="783" w:type="dxa"/>
                  <w:tcBorders>
                    <w:top w:val="single" w:color="auto" w:sz="12" w:space="0"/>
                    <w:bottom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是</w:t>
                  </w:r>
                </w:p>
              </w:tc>
              <w:tc>
                <w:tcPr>
                  <w:tcW w:w="820" w:type="dxa"/>
                  <w:tcBorders>
                    <w:top w:val="single" w:color="auto" w:sz="12" w:space="0"/>
                    <w:bottom w:val="single" w:color="auto" w:sz="4" w:space="0"/>
                    <w:right w:val="nil"/>
                  </w:tcBorders>
                  <w:noWrap w:val="0"/>
                  <w:tcMar>
                    <w:left w:w="0" w:type="dxa"/>
                    <w:right w:w="0" w:type="dxa"/>
                  </w:tcMar>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96" w:type="dxa"/>
                  <w:tcBorders>
                    <w:top w:val="single" w:color="auto" w:sz="4" w:space="0"/>
                    <w:left w:val="nil"/>
                    <w:bottom w:val="single" w:color="auto" w:sz="12" w:space="0"/>
                  </w:tcBorders>
                  <w:noWrap w:val="0"/>
                  <w:tcMar>
                    <w:left w:w="0" w:type="dxa"/>
                    <w:right w:w="0" w:type="dxa"/>
                  </w:tcMar>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DA002</w:t>
                  </w:r>
                </w:p>
              </w:tc>
              <w:tc>
                <w:tcPr>
                  <w:tcW w:w="786" w:type="dxa"/>
                  <w:vMerge w:val="continue"/>
                  <w:tcBorders>
                    <w:bottom w:val="single" w:color="auto" w:sz="12" w:space="0"/>
                  </w:tcBorders>
                  <w:noWrap w:val="0"/>
                  <w:tcMar>
                    <w:left w:w="0" w:type="dxa"/>
                    <w:right w:w="0" w:type="dxa"/>
                  </w:tcMar>
                  <w:vAlign w:val="center"/>
                </w:tcPr>
                <w:p>
                  <w:pPr>
                    <w:adjustRightInd w:val="0"/>
                    <w:snapToGrid w:val="0"/>
                    <w:jc w:val="center"/>
                    <w:rPr>
                      <w:rFonts w:hint="eastAsia" w:ascii="Times New Roman" w:hAnsi="Times New Roman" w:eastAsia="宋体" w:cs="Times New Roman"/>
                      <w:color w:val="auto"/>
                      <w:szCs w:val="21"/>
                      <w:lang w:eastAsia="zh-CN"/>
                    </w:rPr>
                  </w:pPr>
                </w:p>
              </w:tc>
              <w:tc>
                <w:tcPr>
                  <w:tcW w:w="670" w:type="dxa"/>
                  <w:tcBorders>
                    <w:top w:val="single" w:color="auto" w:sz="4" w:space="0"/>
                    <w:bottom w:val="single" w:color="auto" w:sz="12" w:space="0"/>
                  </w:tcBorders>
                  <w:noWrap w:val="0"/>
                  <w:tcMar>
                    <w:left w:w="0" w:type="dxa"/>
                    <w:right w:w="0" w:type="dxa"/>
                  </w:tcMar>
                  <w:vAlign w:val="center"/>
                </w:tcPr>
                <w:p>
                  <w:pPr>
                    <w:spacing w:line="240" w:lineRule="auto"/>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 w:val="21"/>
                      <w:szCs w:val="21"/>
                      <w:lang w:val="en-US" w:eastAsia="zh-CN"/>
                    </w:rPr>
                    <w:t>非甲烷总烃（苯乙烯）、臭气浓度</w:t>
                  </w:r>
                </w:p>
              </w:tc>
              <w:tc>
                <w:tcPr>
                  <w:tcW w:w="878" w:type="dxa"/>
                  <w:tcBorders>
                    <w:top w:val="single" w:color="auto" w:sz="4" w:space="0"/>
                    <w:bottom w:val="single" w:color="auto" w:sz="12" w:space="0"/>
                  </w:tcBorders>
                  <w:noWrap w:val="0"/>
                  <w:tcMar>
                    <w:left w:w="0" w:type="dxa"/>
                    <w:right w:w="0" w:type="dxa"/>
                  </w:tcMar>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0.000498（0.0000074）</w:t>
                  </w:r>
                </w:p>
              </w:tc>
              <w:tc>
                <w:tcPr>
                  <w:tcW w:w="981" w:type="dxa"/>
                  <w:tcBorders>
                    <w:top w:val="single" w:color="auto" w:sz="4" w:space="0"/>
                    <w:bottom w:val="single" w:color="auto" w:sz="12" w:space="0"/>
                  </w:tcBorders>
                  <w:noWrap w:val="0"/>
                  <w:tcMar>
                    <w:left w:w="0" w:type="dxa"/>
                    <w:right w:w="0" w:type="dxa"/>
                  </w:tcMar>
                  <w:vAlign w:val="center"/>
                </w:tcPr>
                <w:p>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62.25</w:t>
                  </w:r>
                </w:p>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（0.93）</w:t>
                  </w:r>
                </w:p>
              </w:tc>
              <w:tc>
                <w:tcPr>
                  <w:tcW w:w="906" w:type="dxa"/>
                  <w:tcBorders>
                    <w:top w:val="single" w:color="auto" w:sz="4" w:space="0"/>
                    <w:bottom w:val="single" w:color="auto" w:sz="12" w:space="0"/>
                  </w:tcBorders>
                  <w:noWrap w:val="0"/>
                  <w:tcMar>
                    <w:left w:w="0" w:type="dxa"/>
                    <w:right w:w="0" w:type="dxa"/>
                  </w:tcMar>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0.498（0.0074）</w:t>
                  </w:r>
                </w:p>
              </w:tc>
              <w:tc>
                <w:tcPr>
                  <w:tcW w:w="795" w:type="dxa"/>
                  <w:tcBorders>
                    <w:top w:val="single" w:color="auto" w:sz="4" w:space="0"/>
                    <w:bottom w:val="single" w:color="auto" w:sz="12" w:space="0"/>
                  </w:tcBorders>
                  <w:noWrap w:val="0"/>
                  <w:tcMar>
                    <w:left w:w="0" w:type="dxa"/>
                    <w:right w:w="0" w:type="dxa"/>
                  </w:tcMar>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783" w:type="dxa"/>
                  <w:tcBorders>
                    <w:top w:val="single" w:color="auto" w:sz="4" w:space="0"/>
                    <w:bottom w:val="single" w:color="auto" w:sz="12" w:space="0"/>
                  </w:tcBorders>
                  <w:noWrap w:val="0"/>
                  <w:tcMar>
                    <w:left w:w="0" w:type="dxa"/>
                    <w:right w:w="0"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2次</w:t>
                  </w:r>
                </w:p>
              </w:tc>
              <w:tc>
                <w:tcPr>
                  <w:tcW w:w="783" w:type="dxa"/>
                  <w:tcBorders>
                    <w:top w:val="single" w:color="auto" w:sz="4" w:space="0"/>
                    <w:bottom w:val="single" w:color="auto" w:sz="12" w:space="0"/>
                  </w:tcBorders>
                  <w:noWrap w:val="0"/>
                  <w:tcMar>
                    <w:left w:w="0" w:type="dxa"/>
                    <w:right w:w="0" w:type="dxa"/>
                  </w:tcMar>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是</w:t>
                  </w:r>
                </w:p>
              </w:tc>
              <w:tc>
                <w:tcPr>
                  <w:tcW w:w="820" w:type="dxa"/>
                  <w:tcBorders>
                    <w:top w:val="single" w:color="auto" w:sz="4" w:space="0"/>
                    <w:bottom w:val="single" w:color="auto" w:sz="12" w:space="0"/>
                    <w:right w:val="nil"/>
                  </w:tcBorders>
                  <w:noWrap w:val="0"/>
                  <w:tcMar>
                    <w:left w:w="0" w:type="dxa"/>
                    <w:right w:w="0" w:type="dxa"/>
                  </w:tcMar>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1.04</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由上表数据分析，当污染物治理措施故障时，颗粒物、有机废气排放浓度超标，排放浓度达到511.57mg/m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、62.25mg/m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，超标倍数为25.58、1.04倍，若未及时发现并制止，会对周边大气环境产生一定污染。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（2）非正常工况处理措施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eastAsia" w:ascii="Times New Roman" w:hAnsi="Times New Roman" w:eastAsia="宋体" w:cs="Times New Roman"/>
                <w:color w:val="auto"/>
                <w:sz w:val="24"/>
                <w:lang w:val="en-US" w:eastAsia="zh-CN"/>
              </w:rPr>
              <w:t>企业应在日常生产中加强管理，制定严格的操作规章制度，确保生产设备停开机阶段不会出现非正常工况排放，同时对厂区内所有环保设施设备定期检修，发现隐患及时排除，减少非正常工况排放出现频率。一旦发生非正常工况排放，立即进行抢修，如在短时间内无法排除故障，应关停对应产污设备停产抢修，待故障完全排除后方可恢复运行。</w:t>
            </w:r>
          </w:p>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1.</w:t>
            </w:r>
            <w:r>
              <w:rPr>
                <w:rFonts w:hint="eastAsia" w:ascii="Times New Roman" w:hAnsi="Times New Roman" w:eastAsia="宋体" w:cs="Times New Roman"/>
                <w:b/>
                <w:bCs/>
                <w:color w:val="auto"/>
                <w:sz w:val="24"/>
                <w:szCs w:val="24"/>
                <w:lang w:val="en-US" w:eastAsia="zh-CN" w:bidi="ar-SA"/>
              </w:rPr>
              <w:t>5</w:t>
            </w:r>
            <w:r>
              <w:rPr>
                <w:rFonts w:hint="eastAsia" w:cs="Times New Roman"/>
                <w:b/>
                <w:bCs/>
                <w:color w:val="auto"/>
                <w:sz w:val="24"/>
                <w:szCs w:val="24"/>
                <w:lang w:val="en-US" w:eastAsia="zh-CN" w:bidi="ar-SA"/>
              </w:rPr>
              <w:t>废气</w:t>
            </w:r>
            <w:r>
              <w:rPr>
                <w:rFonts w:hint="default" w:ascii="Times New Roman" w:hAnsi="Times New Roman" w:eastAsia="宋体" w:cs="Times New Roman"/>
                <w:b/>
                <w:bCs/>
                <w:color w:val="auto"/>
                <w:sz w:val="24"/>
                <w:szCs w:val="24"/>
                <w:lang w:val="en-US" w:eastAsia="zh-CN" w:bidi="ar-SA"/>
              </w:rPr>
              <w:t>监测计划</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rPr>
              <w:t>参照《排污单位自行监测技术指南</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总则》</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HJ819-2017</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中的相关规定</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开展本项目的自行监测工作</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确定本项目自行监测内容、监测点位、监测项目及监测频率见下表</w:t>
            </w:r>
            <w:r>
              <w:rPr>
                <w:rFonts w:hint="default" w:ascii="Times New Roman" w:hAnsi="Times New Roman" w:eastAsia="宋体" w:cs="Times New Roman"/>
                <w:color w:val="auto"/>
                <w:sz w:val="24"/>
                <w:szCs w:val="24"/>
                <w:lang w:val="en-US" w:eastAsia="zh-CN" w:bidi="ar-SA"/>
              </w:rPr>
              <w:t>。</w:t>
            </w:r>
          </w:p>
          <w:p>
            <w:pPr>
              <w:spacing w:line="240" w:lineRule="auto"/>
              <w:jc w:val="center"/>
              <w:rPr>
                <w:rFonts w:hint="default"/>
                <w:color w:val="auto"/>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4-9</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废气自行监测一览表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46"/>
              <w:gridCol w:w="1820"/>
              <w:gridCol w:w="1173"/>
              <w:gridCol w:w="2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dxa"/>
                  <w:tcBorders>
                    <w:bottom w:val="single" w:color="auto"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内容</w:t>
                  </w:r>
                </w:p>
              </w:tc>
              <w:tc>
                <w:tcPr>
                  <w:tcW w:w="1678" w:type="dxa"/>
                  <w:tcBorders>
                    <w:bottom w:val="single" w:color="auto"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监测项目</w:t>
                  </w:r>
                </w:p>
              </w:tc>
              <w:tc>
                <w:tcPr>
                  <w:tcW w:w="1856" w:type="dxa"/>
                  <w:tcBorders>
                    <w:bottom w:val="single" w:color="auto"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监测点</w:t>
                  </w:r>
                </w:p>
              </w:tc>
              <w:tc>
                <w:tcPr>
                  <w:tcW w:w="1196" w:type="dxa"/>
                  <w:tcBorders>
                    <w:bottom w:val="single" w:color="auto"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监测频次</w:t>
                  </w:r>
                </w:p>
              </w:tc>
              <w:tc>
                <w:tcPr>
                  <w:tcW w:w="2874" w:type="dxa"/>
                  <w:tcBorders>
                    <w:bottom w:val="single" w:color="auto" w:sz="12" w:space="0"/>
                  </w:tcBorders>
                  <w:noWrap w:val="0"/>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1" w:type="dxa"/>
                  <w:vMerge w:val="restart"/>
                  <w:tcBorders>
                    <w:top w:val="single" w:color="auto" w:sz="12"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废气</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w:t>
                  </w:r>
                </w:p>
              </w:tc>
              <w:tc>
                <w:tcPr>
                  <w:tcW w:w="1678" w:type="dxa"/>
                  <w:vMerge w:val="restart"/>
                  <w:tcBorders>
                    <w:top w:val="single" w:color="auto" w:sz="12"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颗粒物、非甲烷总烃、苯乙烯</w:t>
                  </w:r>
                  <w:r>
                    <w:rPr>
                      <w:rFonts w:hint="eastAsia" w:cs="Times New Roman"/>
                      <w:color w:val="auto"/>
                      <w:lang w:val="en-US" w:eastAsia="zh-CN"/>
                    </w:rPr>
                    <w:t>、臭气浓度</w:t>
                  </w:r>
                </w:p>
              </w:tc>
              <w:tc>
                <w:tcPr>
                  <w:tcW w:w="1856" w:type="dxa"/>
                  <w:tcBorders>
                    <w:top w:val="single" w:color="auto" w:sz="12"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排气筒</w:t>
                  </w:r>
                  <w:r>
                    <w:rPr>
                      <w:rFonts w:hint="default" w:ascii="Times New Roman" w:hAnsi="Times New Roman" w:eastAsia="宋体" w:cs="Times New Roman"/>
                      <w:color w:val="auto"/>
                      <w:lang w:val="en-US" w:eastAsia="zh-CN"/>
                    </w:rPr>
                    <w:t>DA001</w:t>
                  </w:r>
                </w:p>
              </w:tc>
              <w:tc>
                <w:tcPr>
                  <w:tcW w:w="1196" w:type="dxa"/>
                  <w:vMerge w:val="restart"/>
                  <w:tcBorders>
                    <w:top w:val="single" w:color="auto" w:sz="12"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1次/半年</w:t>
                  </w:r>
                </w:p>
              </w:tc>
              <w:tc>
                <w:tcPr>
                  <w:tcW w:w="2874" w:type="dxa"/>
                  <w:vMerge w:val="restart"/>
                  <w:tcBorders>
                    <w:top w:val="single" w:color="auto" w:sz="12"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《合成树脂工业污染物排放标准》（GB31572-2015）</w:t>
                  </w:r>
                  <w:r>
                    <w:rPr>
                      <w:rFonts w:hint="eastAsia" w:cs="Times New Roman"/>
                      <w:color w:val="auto"/>
                      <w:lang w:val="en-US" w:eastAsia="zh-CN"/>
                    </w:rPr>
                    <w:t>、《恶臭污染物排放标准》（GB14554-93）</w:t>
                  </w:r>
                  <w:r>
                    <w:rPr>
                      <w:rFonts w:hint="eastAsia"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81" w:type="dxa"/>
                  <w:vMerge w:val="continue"/>
                  <w:noWrap w:val="0"/>
                  <w:vAlign w:val="center"/>
                </w:tcPr>
                <w:p>
                  <w:pPr>
                    <w:jc w:val="center"/>
                    <w:rPr>
                      <w:rFonts w:hint="default" w:ascii="Times New Roman" w:hAnsi="Times New Roman" w:eastAsia="宋体" w:cs="Times New Roman"/>
                      <w:color w:val="auto"/>
                    </w:rPr>
                  </w:pPr>
                </w:p>
              </w:tc>
              <w:tc>
                <w:tcPr>
                  <w:tcW w:w="1678" w:type="dxa"/>
                  <w:vMerge w:val="continue"/>
                  <w:noWrap w:val="0"/>
                  <w:vAlign w:val="center"/>
                </w:tcPr>
                <w:p>
                  <w:pPr>
                    <w:jc w:val="center"/>
                    <w:rPr>
                      <w:rFonts w:hint="default" w:ascii="Times New Roman" w:hAnsi="Times New Roman" w:eastAsia="宋体" w:cs="Times New Roman"/>
                      <w:color w:val="auto"/>
                      <w:lang w:val="en-US" w:eastAsia="zh-CN"/>
                    </w:rPr>
                  </w:pPr>
                </w:p>
              </w:tc>
              <w:tc>
                <w:tcPr>
                  <w:tcW w:w="1856"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排气筒</w:t>
                  </w:r>
                  <w:r>
                    <w:rPr>
                      <w:rFonts w:hint="default" w:ascii="Times New Roman" w:hAnsi="Times New Roman" w:eastAsia="宋体" w:cs="Times New Roman"/>
                      <w:color w:val="auto"/>
                      <w:lang w:val="en-US" w:eastAsia="zh-CN"/>
                    </w:rPr>
                    <w:t>DA002</w:t>
                  </w:r>
                </w:p>
              </w:tc>
              <w:tc>
                <w:tcPr>
                  <w:tcW w:w="1196" w:type="dxa"/>
                  <w:vMerge w:val="continue"/>
                  <w:noWrap w:val="0"/>
                  <w:vAlign w:val="center"/>
                </w:tcPr>
                <w:p>
                  <w:pPr>
                    <w:jc w:val="center"/>
                    <w:rPr>
                      <w:rFonts w:hint="default" w:ascii="Times New Roman" w:hAnsi="Times New Roman" w:eastAsia="宋体" w:cs="Times New Roman"/>
                      <w:color w:val="auto"/>
                      <w:lang w:val="en-US" w:eastAsia="zh-CN"/>
                    </w:rPr>
                  </w:pPr>
                </w:p>
              </w:tc>
              <w:tc>
                <w:tcPr>
                  <w:tcW w:w="2874" w:type="dxa"/>
                  <w:vMerge w:val="continue"/>
                  <w:noWrap w:val="0"/>
                  <w:vAlign w:val="center"/>
                </w:tcPr>
                <w:p>
                  <w:pPr>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81" w:type="dxa"/>
                  <w:vMerge w:val="continue"/>
                  <w:noWrap w:val="0"/>
                  <w:vAlign w:val="center"/>
                </w:tcPr>
                <w:p>
                  <w:pPr>
                    <w:jc w:val="center"/>
                    <w:rPr>
                      <w:rFonts w:hint="default" w:ascii="Times New Roman" w:hAnsi="Times New Roman" w:eastAsia="宋体" w:cs="Times New Roman"/>
                      <w:color w:val="auto"/>
                    </w:rPr>
                  </w:pPr>
                </w:p>
              </w:tc>
              <w:tc>
                <w:tcPr>
                  <w:tcW w:w="1678" w:type="dxa"/>
                  <w:vMerge w:val="continue"/>
                  <w:noWrap w:val="0"/>
                  <w:vAlign w:val="center"/>
                </w:tcPr>
                <w:p>
                  <w:pPr>
                    <w:jc w:val="center"/>
                    <w:rPr>
                      <w:rFonts w:hint="default" w:ascii="Times New Roman" w:hAnsi="Times New Roman" w:eastAsia="宋体" w:cs="Times New Roman"/>
                      <w:color w:val="auto"/>
                    </w:rPr>
                  </w:pPr>
                </w:p>
              </w:tc>
              <w:tc>
                <w:tcPr>
                  <w:tcW w:w="1856"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w:t>
                  </w:r>
                </w:p>
              </w:tc>
              <w:tc>
                <w:tcPr>
                  <w:tcW w:w="1196" w:type="dxa"/>
                  <w:vMerge w:val="continue"/>
                  <w:noWrap w:val="0"/>
                  <w:vAlign w:val="center"/>
                </w:tcPr>
                <w:p>
                  <w:pPr>
                    <w:jc w:val="center"/>
                    <w:rPr>
                      <w:rFonts w:hint="default" w:ascii="Times New Roman" w:hAnsi="Times New Roman" w:eastAsia="宋体" w:cs="Times New Roman"/>
                      <w:color w:val="auto"/>
                    </w:rPr>
                  </w:pPr>
                </w:p>
              </w:tc>
              <w:tc>
                <w:tcPr>
                  <w:tcW w:w="2874" w:type="dxa"/>
                  <w:vMerge w:val="continue"/>
                  <w:noWrap w:val="0"/>
                  <w:vAlign w:val="center"/>
                </w:tcPr>
                <w:p>
                  <w:pPr>
                    <w:jc w:val="center"/>
                    <w:rPr>
                      <w:rFonts w:hint="default"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81" w:type="dxa"/>
                  <w:vMerge w:val="continue"/>
                  <w:noWrap w:val="0"/>
                  <w:vAlign w:val="center"/>
                </w:tcPr>
                <w:p>
                  <w:pPr>
                    <w:jc w:val="center"/>
                    <w:rPr>
                      <w:rFonts w:hint="default" w:ascii="Times New Roman" w:hAnsi="Times New Roman" w:eastAsia="宋体" w:cs="Times New Roman"/>
                      <w:color w:val="auto"/>
                    </w:rPr>
                  </w:pPr>
                </w:p>
              </w:tc>
              <w:tc>
                <w:tcPr>
                  <w:tcW w:w="1678" w:type="dxa"/>
                  <w:vMerge w:val="continue"/>
                  <w:noWrap w:val="0"/>
                  <w:vAlign w:val="center"/>
                </w:tcPr>
                <w:p>
                  <w:pPr>
                    <w:jc w:val="center"/>
                    <w:rPr>
                      <w:rFonts w:hint="default" w:ascii="Times New Roman" w:hAnsi="Times New Roman" w:eastAsia="宋体" w:cs="Times New Roman"/>
                      <w:color w:val="auto"/>
                    </w:rPr>
                  </w:pPr>
                </w:p>
              </w:tc>
              <w:tc>
                <w:tcPr>
                  <w:tcW w:w="1856"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厂房周边</w:t>
                  </w:r>
                </w:p>
              </w:tc>
              <w:tc>
                <w:tcPr>
                  <w:tcW w:w="1196" w:type="dxa"/>
                  <w:vMerge w:val="continue"/>
                  <w:noWrap w:val="0"/>
                  <w:vAlign w:val="center"/>
                </w:tcPr>
                <w:p>
                  <w:pPr>
                    <w:jc w:val="center"/>
                    <w:rPr>
                      <w:rFonts w:hint="default" w:ascii="Times New Roman" w:hAnsi="Times New Roman" w:eastAsia="宋体" w:cs="Times New Roman"/>
                      <w:color w:val="auto"/>
                    </w:rPr>
                  </w:pPr>
                </w:p>
              </w:tc>
              <w:tc>
                <w:tcPr>
                  <w:tcW w:w="2874"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《挥发性有机物无组织排放控制标准》（GB37822-2019）表A.1特别排放限值要求。</w:t>
                  </w:r>
                </w:p>
              </w:tc>
            </w:tr>
          </w:tbl>
          <w:p>
            <w:pPr>
              <w:spacing w:line="360" w:lineRule="auto"/>
              <w:jc w:val="left"/>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2废水</w:t>
            </w:r>
          </w:p>
          <w:p>
            <w:pPr>
              <w:spacing w:line="360" w:lineRule="auto"/>
              <w:ind w:firstLine="480" w:firstLineChars="200"/>
              <w:rPr>
                <w:rFonts w:hint="eastAsia"/>
                <w:color w:val="auto"/>
                <w:sz w:val="24"/>
                <w:lang w:val="zh-CN"/>
              </w:rPr>
            </w:pPr>
            <w:r>
              <w:rPr>
                <w:rFonts w:hint="eastAsia" w:ascii="Times New Roman" w:hAnsi="Times New Roman" w:eastAsia="宋体" w:cs="Times New Roman"/>
                <w:color w:val="auto"/>
                <w:sz w:val="24"/>
                <w:szCs w:val="24"/>
                <w:lang w:val="en-US" w:eastAsia="zh-CN" w:bidi="ar-SA"/>
              </w:rPr>
              <w:t>本项目运营期废水主要为员工生活污水</w:t>
            </w:r>
            <w:r>
              <w:rPr>
                <w:rFonts w:hint="eastAsia"/>
                <w:color w:val="auto"/>
                <w:sz w:val="24"/>
                <w:lang w:val="zh-CN"/>
              </w:rPr>
              <w:t>。</w:t>
            </w:r>
          </w:p>
          <w:p>
            <w:pPr>
              <w:keepNext w:val="0"/>
              <w:keepLines w:val="0"/>
              <w:widowControl w:val="0"/>
              <w:numPr>
                <w:ilvl w:val="0"/>
                <w:numId w:val="0"/>
              </w:numPr>
              <w:suppressLineNumbers w:val="0"/>
              <w:spacing w:before="0" w:beforeAutospacing="0" w:after="0" w:afterAutospacing="0" w:line="360" w:lineRule="auto"/>
              <w:ind w:right="0" w:rightChars="0" w:firstLine="480" w:firstLineChars="200"/>
              <w:rPr>
                <w:rFonts w:hint="eastAsia" w:ascii="Times New Roman" w:hAnsi="Times New Roman" w:eastAsia="宋体" w:cs="Times New Roman"/>
                <w:color w:val="auto"/>
                <w:sz w:val="24"/>
                <w:szCs w:val="24"/>
                <w:lang w:eastAsia="zh-CN" w:bidi="ar-SA"/>
              </w:rPr>
            </w:pPr>
            <w:r>
              <w:rPr>
                <w:rFonts w:hint="default" w:ascii="Times New Roman" w:hAnsi="Times New Roman" w:eastAsia="宋体" w:cs="Times New Roman"/>
                <w:color w:val="auto"/>
                <w:sz w:val="24"/>
                <w:szCs w:val="24"/>
                <w:lang w:val="en-US" w:eastAsia="zh-CN" w:bidi="ar-SA"/>
              </w:rPr>
              <w:t>本项目劳动定员</w:t>
            </w:r>
            <w:r>
              <w:rPr>
                <w:rFonts w:hint="eastAsia" w:ascii="Times New Roman" w:hAnsi="Times New Roman" w:eastAsia="宋体" w:cs="Times New Roman"/>
                <w:color w:val="auto"/>
                <w:sz w:val="24"/>
                <w:szCs w:val="24"/>
                <w:lang w:val="en-US" w:eastAsia="zh-CN" w:bidi="ar-SA"/>
              </w:rPr>
              <w:t>10</w:t>
            </w:r>
            <w:r>
              <w:rPr>
                <w:rFonts w:hint="default" w:ascii="Times New Roman" w:hAnsi="Times New Roman" w:eastAsia="宋体" w:cs="Times New Roman"/>
                <w:color w:val="auto"/>
                <w:sz w:val="24"/>
                <w:szCs w:val="24"/>
                <w:lang w:val="en-US" w:eastAsia="zh-CN" w:bidi="ar-SA"/>
              </w:rPr>
              <w:t>人，员工生活用水按照《新疆维吾尔自治区工业和生活用水定额》（新政办发[2007]105号）中的厂区职工生活用水定额0.08m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/人·d计，则本项目员工生活用水量为</w:t>
            </w:r>
            <w:r>
              <w:rPr>
                <w:rFonts w:hint="eastAsia" w:ascii="Times New Roman" w:hAnsi="Times New Roman" w:eastAsia="宋体" w:cs="Times New Roman"/>
                <w:color w:val="auto"/>
                <w:sz w:val="24"/>
                <w:szCs w:val="24"/>
                <w:lang w:val="en-US" w:eastAsia="zh-CN" w:bidi="ar-SA"/>
              </w:rPr>
              <w:t>0.8</w:t>
            </w:r>
            <w:r>
              <w:rPr>
                <w:rFonts w:hint="default" w:ascii="Times New Roman" w:hAnsi="Times New Roman" w:eastAsia="宋体" w:cs="Times New Roman"/>
                <w:color w:val="auto"/>
                <w:sz w:val="24"/>
                <w:szCs w:val="24"/>
                <w:lang w:val="en-US" w:eastAsia="zh-CN" w:bidi="ar-SA"/>
              </w:rPr>
              <w:t>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/d（</w:t>
            </w:r>
            <w:r>
              <w:rPr>
                <w:rFonts w:hint="eastAsia" w:ascii="Times New Roman" w:hAnsi="Times New Roman" w:eastAsia="宋体" w:cs="Times New Roman"/>
                <w:color w:val="auto"/>
                <w:sz w:val="24"/>
                <w:szCs w:val="24"/>
                <w:lang w:val="en-US" w:eastAsia="zh-CN" w:bidi="ar-SA"/>
              </w:rPr>
              <w:t>192</w:t>
            </w:r>
            <w:r>
              <w:rPr>
                <w:rFonts w:hint="default" w:ascii="Times New Roman" w:hAnsi="Times New Roman" w:eastAsia="宋体" w:cs="Times New Roman"/>
                <w:color w:val="auto"/>
                <w:sz w:val="24"/>
                <w:szCs w:val="24"/>
                <w:lang w:val="en-US" w:eastAsia="zh-CN" w:bidi="ar-SA"/>
              </w:rPr>
              <w:t>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/a）</w:t>
            </w:r>
            <w:r>
              <w:rPr>
                <w:rFonts w:hint="eastAsia"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eastAsia="zh-CN" w:bidi="ar-SA"/>
              </w:rPr>
              <w:t>生活污水</w:t>
            </w:r>
            <w:r>
              <w:rPr>
                <w:rFonts w:hint="default" w:ascii="Times New Roman" w:hAnsi="Times New Roman" w:eastAsia="宋体" w:cs="Times New Roman"/>
                <w:color w:val="auto"/>
                <w:sz w:val="24"/>
                <w:szCs w:val="24"/>
                <w:lang w:val="en-US" w:eastAsia="zh-CN" w:bidi="ar-SA"/>
              </w:rPr>
              <w:t>以用水量</w:t>
            </w:r>
            <w:r>
              <w:rPr>
                <w:rFonts w:hint="eastAsia" w:ascii="Times New Roman" w:hAnsi="Times New Roman" w:eastAsia="宋体" w:cs="Times New Roman"/>
                <w:color w:val="auto"/>
                <w:sz w:val="24"/>
                <w:szCs w:val="24"/>
                <w:lang w:val="en-US" w:eastAsia="zh-CN" w:bidi="ar-SA"/>
              </w:rPr>
              <w:t>80</w:t>
            </w:r>
            <w:r>
              <w:rPr>
                <w:rFonts w:hint="default" w:ascii="Times New Roman" w:hAnsi="Times New Roman" w:eastAsia="宋体" w:cs="Times New Roman"/>
                <w:color w:val="auto"/>
                <w:sz w:val="24"/>
                <w:szCs w:val="24"/>
                <w:lang w:val="en-US" w:eastAsia="zh-CN" w:bidi="ar-SA"/>
              </w:rPr>
              <w:t>%计算</w:t>
            </w:r>
            <w:r>
              <w:rPr>
                <w:rFonts w:hint="eastAsia" w:ascii="Times New Roman" w:hAnsi="Times New Roman" w:eastAsia="宋体" w:cs="Times New Roman"/>
                <w:color w:val="auto"/>
                <w:sz w:val="24"/>
              </w:rPr>
              <w:t>，则</w:t>
            </w:r>
            <w:r>
              <w:rPr>
                <w:rFonts w:ascii="Times New Roman" w:hAnsi="Times New Roman" w:eastAsia="宋体" w:cs="Times New Roman"/>
                <w:color w:val="auto"/>
                <w:sz w:val="24"/>
              </w:rPr>
              <w:t>生活污水产生量为</w:t>
            </w:r>
            <w:r>
              <w:rPr>
                <w:rFonts w:hint="eastAsia" w:ascii="Times New Roman" w:hAnsi="Times New Roman" w:eastAsia="宋体" w:cs="Times New Roman"/>
                <w:color w:val="auto"/>
                <w:sz w:val="24"/>
                <w:lang w:val="en-US" w:eastAsia="zh-CN"/>
              </w:rPr>
              <w:t>0.64</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153.6</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ascii="Times New Roman" w:hAnsi="Times New Roman" w:eastAsia="宋体" w:cs="Times New Roman"/>
                <w:color w:val="auto"/>
                <w:sz w:val="24"/>
                <w:szCs w:val="24"/>
                <w:lang w:val="en-US" w:eastAsia="zh-CN" w:bidi="ar-SA"/>
              </w:rPr>
              <w:t>。</w:t>
            </w:r>
            <w:r>
              <w:rPr>
                <w:rFonts w:hint="eastAsia" w:cs="Times New Roman"/>
                <w:color w:val="auto"/>
                <w:sz w:val="24"/>
                <w:szCs w:val="24"/>
                <w:lang w:eastAsia="zh-CN" w:bidi="ar-SA"/>
              </w:rPr>
              <w:t>生活污水</w:t>
            </w:r>
            <w:r>
              <w:rPr>
                <w:rFonts w:hint="default" w:ascii="Times New Roman" w:hAnsi="Times New Roman" w:eastAsia="宋体" w:cs="Times New Roman"/>
                <w:color w:val="auto"/>
                <w:sz w:val="24"/>
                <w:szCs w:val="24"/>
                <w:lang w:eastAsia="zh-CN" w:bidi="ar-SA"/>
              </w:rPr>
              <w:t>排入园区污水管网，最终进入胡杨河经济技术开发区南园区污水处理厂处理</w:t>
            </w:r>
            <w:r>
              <w:rPr>
                <w:rFonts w:hint="eastAsia" w:ascii="Times New Roman" w:hAnsi="Times New Roman" w:eastAsia="宋体" w:cs="Times New Roman"/>
                <w:color w:val="auto"/>
                <w:sz w:val="24"/>
                <w:szCs w:val="24"/>
                <w:lang w:eastAsia="zh-CN" w:bidi="ar-SA"/>
              </w:rPr>
              <w:t>，废水污染物产排污情况见下表。</w:t>
            </w:r>
          </w:p>
          <w:p>
            <w:pPr>
              <w:jc w:val="center"/>
              <w:rPr>
                <w:rFonts w:hint="eastAsia"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color w:val="auto"/>
                <w:szCs w:val="21"/>
              </w:rPr>
              <w:t>表4-</w:t>
            </w:r>
            <w:r>
              <w:rPr>
                <w:rFonts w:hint="eastAsia" w:ascii="Times New Roman" w:hAnsi="Times New Roman" w:eastAsia="宋体" w:cs="Times New Roman"/>
                <w:b/>
                <w:color w:val="auto"/>
                <w:szCs w:val="21"/>
                <w:lang w:val="en-US" w:eastAsia="zh-CN"/>
              </w:rPr>
              <w:t xml:space="preserve">10  </w:t>
            </w:r>
            <w:r>
              <w:rPr>
                <w:rFonts w:hint="default" w:ascii="Times New Roman" w:hAnsi="Times New Roman" w:eastAsia="宋体" w:cs="Times New Roman"/>
                <w:b/>
                <w:bCs/>
                <w:color w:val="auto"/>
                <w:lang w:bidi="ar-SA"/>
              </w:rPr>
              <w:t>本项目废水产生及排放情况</w:t>
            </w:r>
            <w:r>
              <w:rPr>
                <w:rFonts w:hint="eastAsia" w:ascii="Times New Roman" w:hAnsi="Times New Roman" w:eastAsia="宋体" w:cs="Times New Roman"/>
                <w:b/>
                <w:bCs/>
                <w:color w:val="auto"/>
                <w:lang w:val="en-US" w:eastAsia="zh-CN" w:bidi="ar-SA"/>
              </w:rPr>
              <w:t>单位：mg/L</w:t>
            </w:r>
          </w:p>
          <w:tbl>
            <w:tblPr>
              <w:tblStyle w:val="31"/>
              <w:tblW w:w="822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69"/>
              <w:gridCol w:w="1186"/>
              <w:gridCol w:w="1150"/>
              <w:gridCol w:w="1043"/>
              <w:gridCol w:w="1116"/>
              <w:gridCol w:w="1095"/>
              <w:gridCol w:w="16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4" w:hRule="atLeast"/>
              </w:trPr>
              <w:tc>
                <w:tcPr>
                  <w:tcW w:w="969" w:type="dxa"/>
                  <w:tcBorders>
                    <w:bottom w:val="single" w:color="auto" w:sz="12"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废水</w:t>
                  </w:r>
                </w:p>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类型</w:t>
                  </w:r>
                </w:p>
              </w:tc>
              <w:tc>
                <w:tcPr>
                  <w:tcW w:w="1186" w:type="dxa"/>
                  <w:tcBorders>
                    <w:left w:val="single" w:color="auto" w:sz="4" w:space="0"/>
                    <w:bottom w:val="single" w:color="auto" w:sz="12"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污染物</w:t>
                  </w:r>
                </w:p>
              </w:tc>
              <w:tc>
                <w:tcPr>
                  <w:tcW w:w="1150" w:type="dxa"/>
                  <w:tcBorders>
                    <w:left w:val="single" w:color="auto" w:sz="4" w:space="0"/>
                    <w:bottom w:val="single" w:color="auto" w:sz="12"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产生浓度（mg/L）</w:t>
                  </w:r>
                </w:p>
              </w:tc>
              <w:tc>
                <w:tcPr>
                  <w:tcW w:w="1043" w:type="dxa"/>
                  <w:tcBorders>
                    <w:left w:val="single" w:color="auto" w:sz="4" w:space="0"/>
                    <w:bottom w:val="single" w:color="auto" w:sz="12"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产生量（t/a）</w:t>
                  </w:r>
                </w:p>
              </w:tc>
              <w:tc>
                <w:tcPr>
                  <w:tcW w:w="1116" w:type="dxa"/>
                  <w:tcBorders>
                    <w:left w:val="single" w:color="auto" w:sz="4" w:space="0"/>
                    <w:bottom w:val="single" w:color="auto" w:sz="12"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浓度（mg/L）</w:t>
                  </w:r>
                </w:p>
              </w:tc>
              <w:tc>
                <w:tcPr>
                  <w:tcW w:w="1095" w:type="dxa"/>
                  <w:tcBorders>
                    <w:left w:val="single" w:color="auto" w:sz="4" w:space="0"/>
                    <w:bottom w:val="single" w:color="auto" w:sz="12"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排放量（t/a）</w:t>
                  </w:r>
                </w:p>
              </w:tc>
              <w:tc>
                <w:tcPr>
                  <w:tcW w:w="1667" w:type="dxa"/>
                  <w:tcBorders>
                    <w:left w:val="single" w:color="auto" w:sz="4" w:space="0"/>
                    <w:bottom w:val="single" w:color="auto" w:sz="12" w:space="0"/>
                  </w:tcBorders>
                  <w:noWrap/>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排放去向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6" w:hRule="atLeast"/>
              </w:trPr>
              <w:tc>
                <w:tcPr>
                  <w:tcW w:w="969" w:type="dxa"/>
                  <w:vMerge w:val="restart"/>
                  <w:tcBorders>
                    <w:top w:val="single" w:color="auto" w:sz="12" w:space="0"/>
                  </w:tcBorders>
                  <w:noWrap w:val="0"/>
                  <w:vAlign w:val="center"/>
                </w:tcPr>
                <w:p>
                  <w:pPr>
                    <w:spacing w:line="240" w:lineRule="auto"/>
                    <w:jc w:val="center"/>
                    <w:rPr>
                      <w:rFonts w:hint="eastAsia" w:ascii="Times New Roman" w:hAnsi="Times New Roman" w:eastAsia="宋体" w:cs="Times New Roman"/>
                      <w:color w:val="auto"/>
                      <w:sz w:val="21"/>
                      <w:szCs w:val="21"/>
                      <w:lang w:eastAsia="zh-CN" w:bidi="ar-SA"/>
                    </w:rPr>
                  </w:pPr>
                  <w:r>
                    <w:rPr>
                      <w:rFonts w:hint="default" w:ascii="Times New Roman" w:hAnsi="Times New Roman" w:eastAsia="宋体" w:cs="Times New Roman"/>
                      <w:color w:val="auto"/>
                      <w:sz w:val="21"/>
                      <w:szCs w:val="21"/>
                      <w:lang w:bidi="ar-SA"/>
                    </w:rPr>
                    <w:t>生活污水</w:t>
                  </w:r>
                  <w:r>
                    <w:rPr>
                      <w:rFonts w:hint="eastAsia" w:ascii="Times New Roman" w:hAnsi="Times New Roman" w:eastAsia="宋体" w:cs="Times New Roman"/>
                      <w:color w:val="auto"/>
                      <w:sz w:val="21"/>
                      <w:szCs w:val="21"/>
                      <w:lang w:eastAsia="zh-CN" w:bidi="ar-SA"/>
                    </w:rPr>
                    <w:t>（</w:t>
                  </w:r>
                  <w:r>
                    <w:rPr>
                      <w:rFonts w:hint="eastAsia" w:ascii="Times New Roman" w:hAnsi="Times New Roman" w:eastAsia="宋体" w:cs="Times New Roman"/>
                      <w:color w:val="auto"/>
                      <w:sz w:val="21"/>
                      <w:szCs w:val="21"/>
                      <w:lang w:val="en-US" w:eastAsia="zh-CN" w:bidi="ar-SA"/>
                    </w:rPr>
                    <w:t>153.6</w:t>
                  </w:r>
                  <w:r>
                    <w:rPr>
                      <w:rFonts w:hint="eastAsia" w:ascii="Times New Roman" w:hAnsi="Times New Roman" w:eastAsia="宋体" w:cs="Times New Roman"/>
                      <w:color w:val="auto"/>
                      <w:sz w:val="21"/>
                      <w:szCs w:val="21"/>
                      <w:lang w:eastAsia="zh-CN" w:bidi="ar-SA"/>
                    </w:rPr>
                    <w:t>m</w:t>
                  </w:r>
                  <w:r>
                    <w:rPr>
                      <w:rFonts w:hint="eastAsia" w:ascii="Times New Roman" w:hAnsi="Times New Roman" w:eastAsia="宋体" w:cs="Times New Roman"/>
                      <w:color w:val="auto"/>
                      <w:sz w:val="21"/>
                      <w:szCs w:val="21"/>
                      <w:vertAlign w:val="superscript"/>
                      <w:lang w:eastAsia="zh-CN" w:bidi="ar-SA"/>
                    </w:rPr>
                    <w:t>3</w:t>
                  </w:r>
                  <w:r>
                    <w:rPr>
                      <w:rFonts w:hint="eastAsia" w:ascii="Times New Roman" w:hAnsi="Times New Roman" w:eastAsia="宋体" w:cs="Times New Roman"/>
                      <w:color w:val="auto"/>
                      <w:sz w:val="21"/>
                      <w:szCs w:val="21"/>
                      <w:lang w:eastAsia="zh-CN" w:bidi="ar-SA"/>
                    </w:rPr>
                    <w:t>/a）</w:t>
                  </w:r>
                </w:p>
              </w:tc>
              <w:tc>
                <w:tcPr>
                  <w:tcW w:w="1186" w:type="dxa"/>
                  <w:tcBorders>
                    <w:top w:val="single" w:color="auto" w:sz="12" w:space="0"/>
                  </w:tcBorders>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COD</w:t>
                  </w:r>
                </w:p>
              </w:tc>
              <w:tc>
                <w:tcPr>
                  <w:tcW w:w="1150" w:type="dxa"/>
                  <w:tcBorders>
                    <w:top w:val="single" w:color="auto"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350</w:t>
                  </w:r>
                </w:p>
              </w:tc>
              <w:tc>
                <w:tcPr>
                  <w:tcW w:w="1043" w:type="dxa"/>
                  <w:tcBorders>
                    <w:top w:val="single" w:color="auto" w:sz="12" w:space="0"/>
                  </w:tcBorders>
                  <w:noWrap/>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0.054</w:t>
                  </w:r>
                </w:p>
              </w:tc>
              <w:tc>
                <w:tcPr>
                  <w:tcW w:w="1116" w:type="dxa"/>
                  <w:tcBorders>
                    <w:top w:val="single" w:color="auto" w:sz="12" w:space="0"/>
                  </w:tcBorders>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eastAsia" w:ascii="Times New Roman" w:hAnsi="Times New Roman" w:eastAsia="宋体" w:cs="Times New Roman"/>
                      <w:color w:val="auto"/>
                      <w:sz w:val="21"/>
                      <w:szCs w:val="21"/>
                      <w:lang w:val="en-US" w:eastAsia="zh-CN" w:bidi="ar-SA"/>
                    </w:rPr>
                    <w:t>350</w:t>
                  </w:r>
                </w:p>
              </w:tc>
              <w:tc>
                <w:tcPr>
                  <w:tcW w:w="1095" w:type="dxa"/>
                  <w:tcBorders>
                    <w:top w:val="single" w:color="auto"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 w:val="21"/>
                      <w:szCs w:val="21"/>
                      <w:lang w:val="en-US" w:eastAsia="zh-CN" w:bidi="ar-SA"/>
                    </w:rPr>
                    <w:t>0.054</w:t>
                  </w:r>
                </w:p>
              </w:tc>
              <w:tc>
                <w:tcPr>
                  <w:tcW w:w="1667" w:type="dxa"/>
                  <w:vMerge w:val="restart"/>
                  <w:tcBorders>
                    <w:top w:val="single" w:color="auto" w:sz="12"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生活污水排入园区污水管网，最终进入胡杨河经济技术开发区南园区污水处理厂处理。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6" w:hRule="atLeast"/>
              </w:trPr>
              <w:tc>
                <w:tcPr>
                  <w:tcW w:w="969" w:type="dxa"/>
                  <w:vMerge w:val="continue"/>
                  <w:noWrap w:val="0"/>
                  <w:vAlign w:val="center"/>
                </w:tcPr>
                <w:p>
                  <w:pPr>
                    <w:rPr>
                      <w:color w:val="auto"/>
                    </w:rPr>
                  </w:pPr>
                </w:p>
              </w:tc>
              <w:tc>
                <w:tcPr>
                  <w:tcW w:w="1186" w:type="dxa"/>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BOD</w:t>
                  </w:r>
                  <w:r>
                    <w:rPr>
                      <w:rFonts w:hint="default" w:ascii="Times New Roman" w:hAnsi="Times New Roman" w:eastAsia="宋体" w:cs="Times New Roman"/>
                      <w:color w:val="auto"/>
                      <w:sz w:val="21"/>
                      <w:szCs w:val="21"/>
                      <w:vertAlign w:val="subscript"/>
                      <w:lang w:bidi="ar-SA"/>
                    </w:rPr>
                    <w:t>5</w:t>
                  </w:r>
                </w:p>
              </w:tc>
              <w:tc>
                <w:tcPr>
                  <w:tcW w:w="11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200</w:t>
                  </w:r>
                </w:p>
              </w:tc>
              <w:tc>
                <w:tcPr>
                  <w:tcW w:w="1043" w:type="dxa"/>
                  <w:noWrap/>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0.031</w:t>
                  </w:r>
                </w:p>
              </w:tc>
              <w:tc>
                <w:tcPr>
                  <w:tcW w:w="1116" w:type="dxa"/>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val="en-US" w:eastAsia="zh-CN" w:bidi="ar-SA"/>
                    </w:rPr>
                    <w:t>200</w:t>
                  </w:r>
                </w:p>
              </w:tc>
              <w:tc>
                <w:tcPr>
                  <w:tcW w:w="1095" w:type="dxa"/>
                  <w:noWrap w:val="0"/>
                  <w:vAlign w:val="center"/>
                </w:tcPr>
                <w:p>
                  <w:pPr>
                    <w:spacing w:line="240" w:lineRule="auto"/>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 w:val="21"/>
                      <w:szCs w:val="21"/>
                      <w:lang w:val="en-US" w:eastAsia="zh-CN" w:bidi="ar-SA"/>
                    </w:rPr>
                    <w:t>0.031</w:t>
                  </w:r>
                </w:p>
              </w:tc>
              <w:tc>
                <w:tcPr>
                  <w:tcW w:w="1667" w:type="dxa"/>
                  <w:vMerge w:val="continue"/>
                  <w:noWrap w:val="0"/>
                  <w:vAlign w:val="center"/>
                </w:tcPr>
                <w:p>
                  <w:pP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969" w:type="dxa"/>
                  <w:vMerge w:val="continue"/>
                  <w:noWrap w:val="0"/>
                  <w:vAlign w:val="center"/>
                </w:tcPr>
                <w:p>
                  <w:pPr>
                    <w:rPr>
                      <w:color w:val="auto"/>
                    </w:rPr>
                  </w:pPr>
                </w:p>
              </w:tc>
              <w:tc>
                <w:tcPr>
                  <w:tcW w:w="1186" w:type="dxa"/>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SS</w:t>
                  </w:r>
                </w:p>
              </w:tc>
              <w:tc>
                <w:tcPr>
                  <w:tcW w:w="11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200</w:t>
                  </w:r>
                </w:p>
              </w:tc>
              <w:tc>
                <w:tcPr>
                  <w:tcW w:w="1043" w:type="dxa"/>
                  <w:noWrap/>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0.0031</w:t>
                  </w:r>
                </w:p>
              </w:tc>
              <w:tc>
                <w:tcPr>
                  <w:tcW w:w="1116" w:type="dxa"/>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eastAsia" w:ascii="Times New Roman" w:hAnsi="Times New Roman" w:eastAsia="宋体" w:cs="Times New Roman"/>
                      <w:color w:val="auto"/>
                      <w:sz w:val="21"/>
                      <w:szCs w:val="21"/>
                      <w:lang w:val="en-US" w:eastAsia="zh-CN" w:bidi="ar-SA"/>
                    </w:rPr>
                    <w:t>200</w:t>
                  </w:r>
                </w:p>
              </w:tc>
              <w:tc>
                <w:tcPr>
                  <w:tcW w:w="1095" w:type="dxa"/>
                  <w:noWrap w:val="0"/>
                  <w:vAlign w:val="center"/>
                </w:tcPr>
                <w:p>
                  <w:pPr>
                    <w:spacing w:line="240" w:lineRule="auto"/>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 w:val="21"/>
                      <w:szCs w:val="21"/>
                      <w:lang w:val="en-US" w:eastAsia="zh-CN" w:bidi="ar-SA"/>
                    </w:rPr>
                    <w:t>0.0031</w:t>
                  </w:r>
                </w:p>
              </w:tc>
              <w:tc>
                <w:tcPr>
                  <w:tcW w:w="1667" w:type="dxa"/>
                  <w:vMerge w:val="continue"/>
                  <w:noWrap w:val="0"/>
                  <w:vAlign w:val="center"/>
                </w:tcPr>
                <w:p>
                  <w:pP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969" w:type="dxa"/>
                  <w:vMerge w:val="continue"/>
                  <w:noWrap w:val="0"/>
                  <w:vAlign w:val="center"/>
                </w:tcPr>
                <w:p>
                  <w:pPr>
                    <w:rPr>
                      <w:color w:val="auto"/>
                    </w:rPr>
                  </w:pPr>
                </w:p>
              </w:tc>
              <w:tc>
                <w:tcPr>
                  <w:tcW w:w="1186" w:type="dxa"/>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NH</w:t>
                  </w:r>
                  <w:r>
                    <w:rPr>
                      <w:rFonts w:hint="default" w:ascii="Times New Roman" w:hAnsi="Times New Roman" w:eastAsia="宋体" w:cs="Times New Roman"/>
                      <w:color w:val="auto"/>
                      <w:sz w:val="21"/>
                      <w:szCs w:val="21"/>
                      <w:vertAlign w:val="subscript"/>
                      <w:lang w:bidi="ar-SA"/>
                    </w:rPr>
                    <w:t>3</w:t>
                  </w:r>
                  <w:r>
                    <w:rPr>
                      <w:rFonts w:hint="default" w:ascii="Times New Roman" w:hAnsi="Times New Roman" w:eastAsia="宋体" w:cs="Times New Roman"/>
                      <w:color w:val="auto"/>
                      <w:sz w:val="21"/>
                      <w:szCs w:val="21"/>
                      <w:lang w:bidi="ar-SA"/>
                    </w:rPr>
                    <w:t>-N</w:t>
                  </w:r>
                </w:p>
              </w:tc>
              <w:tc>
                <w:tcPr>
                  <w:tcW w:w="11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30</w:t>
                  </w:r>
                </w:p>
              </w:tc>
              <w:tc>
                <w:tcPr>
                  <w:tcW w:w="1043" w:type="dxa"/>
                  <w:noWrap/>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0.0046</w:t>
                  </w:r>
                </w:p>
              </w:tc>
              <w:tc>
                <w:tcPr>
                  <w:tcW w:w="1116" w:type="dxa"/>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eastAsia" w:ascii="Times New Roman" w:hAnsi="Times New Roman" w:eastAsia="宋体" w:cs="Times New Roman"/>
                      <w:color w:val="auto"/>
                      <w:sz w:val="21"/>
                      <w:szCs w:val="21"/>
                      <w:lang w:val="en-US" w:eastAsia="zh-CN" w:bidi="ar-SA"/>
                    </w:rPr>
                    <w:t>30</w:t>
                  </w:r>
                </w:p>
              </w:tc>
              <w:tc>
                <w:tcPr>
                  <w:tcW w:w="1095" w:type="dxa"/>
                  <w:noWrap w:val="0"/>
                  <w:vAlign w:val="center"/>
                </w:tcPr>
                <w:p>
                  <w:pPr>
                    <w:spacing w:line="240" w:lineRule="auto"/>
                    <w:jc w:val="center"/>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 w:val="21"/>
                      <w:szCs w:val="21"/>
                      <w:lang w:val="en-US" w:eastAsia="zh-CN" w:bidi="ar-SA"/>
                    </w:rPr>
                    <w:t>0.0046</w:t>
                  </w:r>
                </w:p>
              </w:tc>
              <w:tc>
                <w:tcPr>
                  <w:tcW w:w="1667" w:type="dxa"/>
                  <w:vMerge w:val="continue"/>
                  <w:noWrap w:val="0"/>
                  <w:vAlign w:val="center"/>
                </w:tcPr>
                <w:p>
                  <w:pPr>
                    <w:rPr>
                      <w:color w:val="auto"/>
                    </w:rPr>
                  </w:pPr>
                </w:p>
              </w:tc>
            </w:tr>
          </w:tbl>
          <w:p>
            <w:pPr>
              <w:spacing w:line="360" w:lineRule="auto"/>
              <w:rPr>
                <w:rFonts w:hint="default" w:ascii="Times New Roman" w:hAnsi="Times New Roman" w:eastAsia="宋体" w:cs="Times New Roman"/>
                <w:b/>
                <w:bCs/>
                <w:color w:val="auto"/>
                <w:kern w:val="2"/>
                <w:sz w:val="24"/>
                <w:szCs w:val="24"/>
                <w:lang w:val="en-US" w:eastAsia="zh-CN" w:bidi="zh-CN"/>
              </w:rPr>
            </w:pPr>
            <w:r>
              <w:rPr>
                <w:rFonts w:hint="eastAsia" w:ascii="Times New Roman" w:hAnsi="Times New Roman" w:eastAsia="宋体" w:cs="Times New Roman"/>
                <w:b/>
                <w:bCs/>
                <w:color w:val="auto"/>
                <w:sz w:val="24"/>
                <w:szCs w:val="24"/>
                <w:lang w:val="en-US" w:eastAsia="zh-CN" w:bidi="ar-SA"/>
              </w:rPr>
              <w:t>2.1生活</w:t>
            </w:r>
            <w:r>
              <w:rPr>
                <w:rFonts w:hint="default" w:ascii="Times New Roman" w:hAnsi="Times New Roman" w:eastAsia="宋体" w:cs="Times New Roman"/>
                <w:b/>
                <w:bCs/>
                <w:color w:val="auto"/>
                <w:sz w:val="24"/>
                <w:szCs w:val="24"/>
                <w:lang w:val="en-US" w:eastAsia="zh-CN" w:bidi="ar-SA"/>
              </w:rPr>
              <w:t>污水依托胡杨河经济技术开发区南园区污水处理厂可行性分析</w:t>
            </w:r>
          </w:p>
          <w:p>
            <w:pPr>
              <w:autoSpaceDE w:val="0"/>
              <w:autoSpaceDN w:val="0"/>
              <w:adjustRightInd w:val="0"/>
              <w:spacing w:line="360" w:lineRule="auto"/>
              <w:ind w:firstLine="480" w:firstLineChars="200"/>
              <w:rPr>
                <w:rFonts w:hint="eastAsia" w:eastAsia="宋体"/>
                <w:color w:val="auto"/>
                <w:kern w:val="0"/>
                <w:sz w:val="24"/>
                <w:lang w:eastAsia="zh-CN"/>
              </w:rPr>
            </w:pPr>
            <w:r>
              <w:rPr>
                <w:rFonts w:hint="eastAsia"/>
                <w:color w:val="auto"/>
                <w:kern w:val="0"/>
                <w:sz w:val="24"/>
              </w:rPr>
              <w:t>胡杨河经济技术开发区南园区现有一座污水处理厂，位于南园区北侧。污水处理厂中心地理坐标：</w:t>
            </w:r>
            <w:r>
              <w:rPr>
                <w:rFonts w:hint="default" w:ascii="Times New Roman" w:hAnsi="Times New Roman" w:cs="Times New Roman"/>
                <w:color w:val="auto"/>
                <w:kern w:val="0"/>
                <w:sz w:val="24"/>
              </w:rPr>
              <w:t>E84</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53</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3.667″，N44°51′46.184″</w:t>
            </w:r>
            <w:r>
              <w:rPr>
                <w:rFonts w:hint="eastAsia"/>
                <w:color w:val="auto"/>
                <w:kern w:val="0"/>
                <w:sz w:val="24"/>
              </w:rPr>
              <w:t>，设计处理规模3万m</w:t>
            </w:r>
            <w:r>
              <w:rPr>
                <w:rFonts w:hint="eastAsia"/>
                <w:color w:val="auto"/>
                <w:kern w:val="0"/>
                <w:sz w:val="24"/>
                <w:vertAlign w:val="superscript"/>
              </w:rPr>
              <w:t>3</w:t>
            </w:r>
            <w:r>
              <w:rPr>
                <w:rFonts w:hint="eastAsia"/>
                <w:color w:val="auto"/>
                <w:kern w:val="0"/>
                <w:sz w:val="24"/>
              </w:rPr>
              <w:t>/d，目前南园区污水处理厂采用的处理工艺是</w:t>
            </w:r>
            <w:r>
              <w:rPr>
                <w:rFonts w:hint="eastAsia"/>
                <w:color w:val="auto"/>
                <w:kern w:val="0"/>
                <w:sz w:val="24"/>
                <w:lang w:eastAsia="zh-CN"/>
              </w:rPr>
              <w:t>“</w:t>
            </w:r>
            <w:r>
              <w:rPr>
                <w:rFonts w:hint="eastAsia"/>
                <w:color w:val="auto"/>
                <w:kern w:val="0"/>
                <w:sz w:val="24"/>
              </w:rPr>
              <w:t>预处理→生化处理→深度处理</w:t>
            </w:r>
            <w:r>
              <w:rPr>
                <w:rFonts w:hint="eastAsia"/>
                <w:color w:val="auto"/>
                <w:kern w:val="0"/>
                <w:sz w:val="24"/>
                <w:lang w:eastAsia="zh-CN"/>
              </w:rPr>
              <w:t>”</w:t>
            </w:r>
            <w:r>
              <w:rPr>
                <w:rFonts w:hint="eastAsia"/>
                <w:color w:val="auto"/>
                <w:kern w:val="0"/>
                <w:sz w:val="24"/>
              </w:rPr>
              <w:t>工艺，其中预处理单元采用</w:t>
            </w:r>
            <w:r>
              <w:rPr>
                <w:rFonts w:hint="eastAsia"/>
                <w:color w:val="auto"/>
                <w:kern w:val="0"/>
                <w:sz w:val="24"/>
                <w:lang w:eastAsia="zh-CN"/>
              </w:rPr>
              <w:t>“</w:t>
            </w:r>
            <w:r>
              <w:rPr>
                <w:rFonts w:hint="eastAsia"/>
                <w:color w:val="auto"/>
                <w:kern w:val="0"/>
                <w:sz w:val="24"/>
              </w:rPr>
              <w:t>混凝沉淀+气浮</w:t>
            </w:r>
            <w:r>
              <w:rPr>
                <w:rFonts w:hint="eastAsia"/>
                <w:color w:val="auto"/>
                <w:kern w:val="0"/>
                <w:sz w:val="24"/>
                <w:lang w:eastAsia="zh-CN"/>
              </w:rPr>
              <w:t>”</w:t>
            </w:r>
            <w:r>
              <w:rPr>
                <w:rFonts w:hint="eastAsia"/>
                <w:color w:val="auto"/>
                <w:kern w:val="0"/>
                <w:sz w:val="24"/>
              </w:rPr>
              <w:t>工艺，生化单元采用</w:t>
            </w:r>
            <w:r>
              <w:rPr>
                <w:rFonts w:hint="eastAsia"/>
                <w:color w:val="auto"/>
                <w:kern w:val="0"/>
                <w:sz w:val="24"/>
                <w:lang w:eastAsia="zh-CN"/>
              </w:rPr>
              <w:t>“</w:t>
            </w:r>
            <w:r>
              <w:rPr>
                <w:rFonts w:hint="eastAsia"/>
                <w:color w:val="auto"/>
                <w:kern w:val="0"/>
                <w:sz w:val="24"/>
              </w:rPr>
              <w:t>水解酸化+A</w:t>
            </w:r>
            <w:r>
              <w:rPr>
                <w:rFonts w:hint="eastAsia"/>
                <w:color w:val="auto"/>
                <w:kern w:val="0"/>
                <w:sz w:val="24"/>
                <w:vertAlign w:val="superscript"/>
              </w:rPr>
              <w:t>2</w:t>
            </w:r>
            <w:r>
              <w:rPr>
                <w:rFonts w:hint="eastAsia"/>
                <w:color w:val="auto"/>
                <w:kern w:val="0"/>
                <w:sz w:val="24"/>
              </w:rPr>
              <w:t>/O</w:t>
            </w:r>
            <w:r>
              <w:rPr>
                <w:rFonts w:hint="eastAsia"/>
                <w:color w:val="auto"/>
                <w:kern w:val="0"/>
                <w:sz w:val="24"/>
                <w:lang w:eastAsia="zh-CN"/>
              </w:rPr>
              <w:t>”</w:t>
            </w:r>
            <w:r>
              <w:rPr>
                <w:rFonts w:hint="eastAsia"/>
                <w:color w:val="auto"/>
                <w:kern w:val="0"/>
                <w:sz w:val="24"/>
              </w:rPr>
              <w:t>工艺，深度处理单元采用</w:t>
            </w:r>
            <w:r>
              <w:rPr>
                <w:rFonts w:hint="eastAsia"/>
                <w:color w:val="auto"/>
                <w:kern w:val="0"/>
                <w:sz w:val="24"/>
                <w:lang w:eastAsia="zh-CN"/>
              </w:rPr>
              <w:t>“</w:t>
            </w:r>
            <w:r>
              <w:rPr>
                <w:rFonts w:hint="eastAsia"/>
                <w:color w:val="auto"/>
                <w:kern w:val="0"/>
                <w:sz w:val="24"/>
              </w:rPr>
              <w:t>臭氧+曝气生物滤池</w:t>
            </w:r>
            <w:r>
              <w:rPr>
                <w:rFonts w:hint="eastAsia"/>
                <w:color w:val="auto"/>
                <w:kern w:val="0"/>
                <w:sz w:val="24"/>
                <w:lang w:eastAsia="zh-CN"/>
              </w:rPr>
              <w:t>”</w:t>
            </w:r>
            <w:r>
              <w:rPr>
                <w:rFonts w:hint="eastAsia"/>
                <w:color w:val="auto"/>
                <w:kern w:val="0"/>
                <w:sz w:val="24"/>
              </w:rPr>
              <w:t>工艺，出水达到《城镇污水处理厂污染物排放标准》（GB18918-2002）一级A标准后，通过中水管线排至中水库暂存。污泥采用</w:t>
            </w:r>
            <w:r>
              <w:rPr>
                <w:rFonts w:hint="eastAsia"/>
                <w:color w:val="auto"/>
                <w:kern w:val="0"/>
                <w:sz w:val="24"/>
                <w:lang w:eastAsia="zh-CN"/>
              </w:rPr>
              <w:t>“</w:t>
            </w:r>
            <w:r>
              <w:rPr>
                <w:rFonts w:hint="eastAsia"/>
                <w:color w:val="auto"/>
                <w:kern w:val="0"/>
                <w:sz w:val="24"/>
              </w:rPr>
              <w:t>浓缩+双隔膜压滤机脱水</w:t>
            </w:r>
            <w:r>
              <w:rPr>
                <w:rFonts w:hint="eastAsia"/>
                <w:color w:val="auto"/>
                <w:kern w:val="0"/>
                <w:sz w:val="24"/>
                <w:lang w:eastAsia="zh-CN"/>
              </w:rPr>
              <w:t>”</w:t>
            </w:r>
            <w:r>
              <w:rPr>
                <w:rFonts w:hint="eastAsia"/>
                <w:color w:val="auto"/>
                <w:kern w:val="0"/>
                <w:sz w:val="24"/>
              </w:rPr>
              <w:t>处理工艺，然后卫生填埋处理。该污水厂于2022年10月31日取得排污许可证（91650200072233233F001Q），目前污水厂运行状况良好</w:t>
            </w:r>
            <w:r>
              <w:rPr>
                <w:rFonts w:hint="eastAsia"/>
                <w:color w:val="auto"/>
                <w:kern w:val="0"/>
                <w:sz w:val="24"/>
                <w:lang w:eastAsia="zh-CN"/>
              </w:rPr>
              <w:t>。</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eastAsia"/>
                <w:color w:val="auto"/>
                <w:kern w:val="0"/>
                <w:sz w:val="24"/>
              </w:rPr>
              <w:t>根据调查，南园区现有污水处理厂全年日平均处理水量约5400m</w:t>
            </w:r>
            <w:r>
              <w:rPr>
                <w:rFonts w:hint="eastAsia"/>
                <w:color w:val="auto"/>
                <w:kern w:val="0"/>
                <w:sz w:val="24"/>
                <w:vertAlign w:val="superscript"/>
              </w:rPr>
              <w:t>3</w:t>
            </w:r>
            <w:r>
              <w:rPr>
                <w:rFonts w:hint="eastAsia"/>
                <w:color w:val="auto"/>
                <w:kern w:val="0"/>
                <w:sz w:val="24"/>
              </w:rPr>
              <w:t>/d，远小于3万m</w:t>
            </w:r>
            <w:r>
              <w:rPr>
                <w:rFonts w:hint="eastAsia"/>
                <w:color w:val="auto"/>
                <w:kern w:val="0"/>
                <w:sz w:val="24"/>
                <w:vertAlign w:val="superscript"/>
              </w:rPr>
              <w:t>3</w:t>
            </w:r>
            <w:r>
              <w:rPr>
                <w:rFonts w:hint="eastAsia"/>
                <w:color w:val="auto"/>
                <w:kern w:val="0"/>
                <w:sz w:val="24"/>
              </w:rPr>
              <w:t>/d的设计规模，尚富余较大的处理能力，完全能消纳项目区废水</w:t>
            </w:r>
            <w:r>
              <w:rPr>
                <w:rFonts w:hint="eastAsia"/>
                <w:color w:val="auto"/>
                <w:kern w:val="0"/>
                <w:sz w:val="24"/>
                <w:lang w:val="en-US" w:eastAsia="zh-CN"/>
              </w:rPr>
              <w:t>153.6</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a</w:t>
            </w:r>
            <w:r>
              <w:rPr>
                <w:rFonts w:hint="eastAsia"/>
                <w:color w:val="auto"/>
                <w:kern w:val="0"/>
                <w:sz w:val="24"/>
              </w:rPr>
              <w:t>，项目生活污水依托胡杨河经济技术开发区南园区污水处理厂可行</w:t>
            </w:r>
            <w:r>
              <w:rPr>
                <w:rFonts w:hint="default" w:ascii="Times New Roman" w:hAnsi="Times New Roman" w:eastAsia="宋体" w:cs="Times New Roman"/>
                <w:color w:val="auto"/>
                <w:sz w:val="24"/>
                <w:szCs w:val="24"/>
                <w:lang w:val="en-US" w:eastAsia="zh-CN" w:bidi="ar-SA"/>
              </w:rPr>
              <w:t>。</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2.2</w:t>
            </w:r>
            <w:r>
              <w:rPr>
                <w:rFonts w:hint="eastAsia" w:cs="Times New Roman"/>
                <w:b/>
                <w:bCs/>
                <w:color w:val="auto"/>
                <w:sz w:val="24"/>
                <w:szCs w:val="24"/>
                <w:lang w:val="en-US" w:eastAsia="zh-CN" w:bidi="ar-SA"/>
              </w:rPr>
              <w:t>废水</w:t>
            </w:r>
            <w:r>
              <w:rPr>
                <w:rFonts w:hint="default" w:ascii="Times New Roman" w:hAnsi="Times New Roman" w:eastAsia="宋体" w:cs="Times New Roman"/>
                <w:b/>
                <w:bCs/>
                <w:color w:val="auto"/>
                <w:sz w:val="24"/>
                <w:szCs w:val="24"/>
                <w:lang w:val="en-US" w:eastAsia="zh-CN" w:bidi="ar-SA"/>
              </w:rPr>
              <w:t>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结合《排污单位自行监测技术指南 总则》（HJ819-2017）相关要求，本项目只产生少量生活污水且全部排入园区处理厂可不进行监测。</w:t>
            </w:r>
          </w:p>
          <w:p>
            <w:pPr>
              <w:spacing w:line="360" w:lineRule="auto"/>
              <w:jc w:val="left"/>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3噪声</w:t>
            </w:r>
          </w:p>
          <w:p>
            <w:pPr>
              <w:spacing w:line="360" w:lineRule="auto"/>
              <w:jc w:val="left"/>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3.1噪声源强</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 w:val="24"/>
                <w:szCs w:val="24"/>
                <w:lang w:val="en-US" w:eastAsia="zh-CN" w:bidi="ar-SA"/>
              </w:rPr>
              <w:t>本工程声环境影响评价工作是在踏勘现场、了解周围环境状况、搜集并详细分析设计资料的基础上进行的，力求科学、实际。在确定设备噪声源强时，类比了同类工程实测数据。</w:t>
            </w:r>
            <w:r>
              <w:rPr>
                <w:rFonts w:hint="default" w:ascii="Times New Roman" w:hAnsi="Times New Roman" w:cs="Times New Roman"/>
                <w:color w:val="auto"/>
                <w:sz w:val="24"/>
                <w:szCs w:val="24"/>
                <w:highlight w:val="none"/>
                <w:lang w:val="en-US" w:eastAsia="zh-CN" w:bidi="ar-SA"/>
              </w:rPr>
              <w:t>噪声源与预测点的距离均按坐标根据大幅厂区平面布置图尺量按比例求出。</w:t>
            </w:r>
            <w:r>
              <w:rPr>
                <w:rFonts w:hint="default" w:ascii="Times New Roman" w:hAnsi="Times New Roman" w:eastAsia="宋体" w:cs="Times New Roman"/>
                <w:color w:val="auto"/>
                <w:sz w:val="24"/>
                <w:szCs w:val="24"/>
                <w:lang w:bidi="ar-SA"/>
              </w:rPr>
              <w:t>本项目营运期产生的噪声主要为厂区设备运行噪声，噪声源的噪声值约</w:t>
            </w:r>
            <w:r>
              <w:rPr>
                <w:rFonts w:hint="default" w:ascii="Times New Roman" w:hAnsi="Times New Roman" w:eastAsia="宋体" w:cs="Times New Roman"/>
                <w:color w:val="auto"/>
                <w:sz w:val="24"/>
                <w:szCs w:val="24"/>
                <w:lang w:val="en-US" w:eastAsia="zh-CN" w:bidi="ar-SA"/>
              </w:rPr>
              <w:t>在</w:t>
            </w:r>
            <w:r>
              <w:rPr>
                <w:rFonts w:hint="eastAsia" w:ascii="Times New Roman" w:hAnsi="Times New Roman" w:eastAsia="宋体" w:cs="Times New Roman"/>
                <w:color w:val="auto"/>
                <w:sz w:val="24"/>
                <w:szCs w:val="24"/>
                <w:lang w:val="en-US" w:eastAsia="zh-CN" w:bidi="ar-SA"/>
              </w:rPr>
              <w:t>65</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85</w:t>
            </w:r>
            <w:r>
              <w:rPr>
                <w:rFonts w:hint="default" w:ascii="Times New Roman" w:hAnsi="Times New Roman" w:eastAsia="宋体" w:cs="Times New Roman"/>
                <w:color w:val="auto"/>
                <w:sz w:val="24"/>
                <w:szCs w:val="24"/>
                <w:lang w:val="en-US" w:eastAsia="zh-CN" w:bidi="ar-SA"/>
              </w:rPr>
              <w:t>dB（A）之间。</w:t>
            </w:r>
          </w:p>
          <w:p>
            <w:pPr>
              <w:spacing w:line="240" w:lineRule="auto"/>
              <w:jc w:val="center"/>
              <w:rPr>
                <w:rFonts w:hint="eastAsia"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bidi="ar-SA"/>
              </w:rPr>
              <w:t>表</w:t>
            </w:r>
            <w:r>
              <w:rPr>
                <w:rFonts w:hint="eastAsia" w:ascii="Times New Roman" w:hAnsi="Times New Roman" w:eastAsia="宋体" w:cs="Times New Roman"/>
                <w:b/>
                <w:bCs/>
                <w:color w:val="auto"/>
                <w:lang w:val="en-US" w:eastAsia="zh-CN" w:bidi="ar-SA"/>
              </w:rPr>
              <w:t>4-</w:t>
            </w:r>
            <w:r>
              <w:rPr>
                <w:rFonts w:hint="eastAsia" w:cs="Times New Roman"/>
                <w:b/>
                <w:bCs/>
                <w:color w:val="auto"/>
                <w:lang w:val="en-US" w:eastAsia="zh-CN" w:bidi="ar-SA"/>
              </w:rPr>
              <w:t xml:space="preserve">11 </w:t>
            </w:r>
            <w:r>
              <w:rPr>
                <w:rFonts w:hint="eastAsia" w:ascii="Times New Roman" w:hAnsi="Times New Roman" w:eastAsia="宋体" w:cs="Times New Roman"/>
                <w:b/>
                <w:bCs/>
                <w:color w:val="auto"/>
                <w:lang w:val="en-US" w:eastAsia="zh-CN" w:bidi="ar-SA"/>
              </w:rPr>
              <w:t xml:space="preserve"> </w:t>
            </w:r>
            <w:r>
              <w:rPr>
                <w:rFonts w:hint="default" w:ascii="Times New Roman" w:hAnsi="Times New Roman" w:eastAsia="宋体" w:cs="Times New Roman"/>
                <w:b/>
                <w:bCs/>
                <w:color w:val="auto"/>
                <w:lang w:bidi="ar-SA"/>
              </w:rPr>
              <w:t>主要设备噪声源强一览表</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555"/>
              <w:gridCol w:w="2626"/>
              <w:gridCol w:w="1203"/>
              <w:gridCol w:w="1180"/>
              <w:gridCol w:w="266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337" w:type="pct"/>
                  <w:tcBorders>
                    <w:bottom w:val="single" w:color="000000" w:sz="12" w:space="0"/>
                  </w:tcBorders>
                  <w:noWrap w:val="0"/>
                  <w:vAlign w:val="center"/>
                </w:tcPr>
                <w:p>
                  <w:pPr>
                    <w:jc w:val="center"/>
                    <w:rPr>
                      <w:b/>
                      <w:bCs/>
                      <w:color w:val="auto"/>
                      <w:szCs w:val="21"/>
                    </w:rPr>
                  </w:pPr>
                  <w:r>
                    <w:rPr>
                      <w:b/>
                      <w:bCs/>
                      <w:color w:val="auto"/>
                      <w:szCs w:val="21"/>
                    </w:rPr>
                    <w:t>序号</w:t>
                  </w:r>
                </w:p>
              </w:tc>
              <w:tc>
                <w:tcPr>
                  <w:tcW w:w="1596" w:type="pct"/>
                  <w:tcBorders>
                    <w:bottom w:val="single" w:color="000000" w:sz="12" w:space="0"/>
                  </w:tcBorders>
                  <w:noWrap w:val="0"/>
                  <w:vAlign w:val="center"/>
                </w:tcPr>
                <w:p>
                  <w:pPr>
                    <w:jc w:val="center"/>
                    <w:rPr>
                      <w:b/>
                      <w:bCs/>
                      <w:color w:val="auto"/>
                      <w:szCs w:val="21"/>
                    </w:rPr>
                  </w:pPr>
                  <w:r>
                    <w:rPr>
                      <w:b/>
                      <w:bCs/>
                      <w:color w:val="auto"/>
                      <w:szCs w:val="21"/>
                    </w:rPr>
                    <w:t>设备名称</w:t>
                  </w:r>
                </w:p>
              </w:tc>
              <w:tc>
                <w:tcPr>
                  <w:tcW w:w="731" w:type="pct"/>
                  <w:tcBorders>
                    <w:bottom w:val="single" w:color="000000" w:sz="12" w:space="0"/>
                  </w:tcBorders>
                  <w:noWrap w:val="0"/>
                  <w:vAlign w:val="center"/>
                </w:tcPr>
                <w:p>
                  <w:pPr>
                    <w:jc w:val="center"/>
                    <w:rPr>
                      <w:b/>
                      <w:bCs/>
                      <w:color w:val="auto"/>
                      <w:szCs w:val="21"/>
                    </w:rPr>
                  </w:pPr>
                  <w:r>
                    <w:rPr>
                      <w:b/>
                      <w:bCs/>
                      <w:color w:val="auto"/>
                      <w:szCs w:val="21"/>
                    </w:rPr>
                    <w:t>数量</w:t>
                  </w:r>
                  <w:r>
                    <w:rPr>
                      <w:rFonts w:hint="eastAsia"/>
                      <w:b/>
                      <w:bCs/>
                      <w:color w:val="auto"/>
                      <w:szCs w:val="21"/>
                    </w:rPr>
                    <w:t>（台/套）</w:t>
                  </w:r>
                </w:p>
              </w:tc>
              <w:tc>
                <w:tcPr>
                  <w:tcW w:w="717" w:type="pct"/>
                  <w:tcBorders>
                    <w:bottom w:val="single" w:color="000000" w:sz="12" w:space="0"/>
                  </w:tcBorders>
                  <w:noWrap w:val="0"/>
                  <w:vAlign w:val="center"/>
                </w:tcPr>
                <w:p>
                  <w:pPr>
                    <w:jc w:val="center"/>
                    <w:rPr>
                      <w:b/>
                      <w:bCs/>
                      <w:color w:val="auto"/>
                      <w:szCs w:val="21"/>
                    </w:rPr>
                  </w:pPr>
                  <w:r>
                    <w:rPr>
                      <w:b/>
                      <w:bCs/>
                      <w:color w:val="auto"/>
                      <w:szCs w:val="21"/>
                    </w:rPr>
                    <w:t>源强</w:t>
                  </w:r>
                  <w:r>
                    <w:rPr>
                      <w:rFonts w:hint="eastAsia"/>
                      <w:b/>
                      <w:bCs/>
                      <w:color w:val="auto"/>
                      <w:szCs w:val="21"/>
                    </w:rPr>
                    <w:t>dB（A）</w:t>
                  </w:r>
                </w:p>
              </w:tc>
              <w:tc>
                <w:tcPr>
                  <w:tcW w:w="1617" w:type="pct"/>
                  <w:tcBorders>
                    <w:bottom w:val="single" w:color="000000" w:sz="12" w:space="0"/>
                  </w:tcBorders>
                  <w:noWrap w:val="0"/>
                  <w:vAlign w:val="center"/>
                </w:tcPr>
                <w:p>
                  <w:pPr>
                    <w:jc w:val="center"/>
                    <w:rPr>
                      <w:rFonts w:hint="eastAsia" w:eastAsia="宋体"/>
                      <w:b/>
                      <w:bCs/>
                      <w:color w:val="auto"/>
                      <w:szCs w:val="21"/>
                      <w:lang w:eastAsia="zh-CN"/>
                    </w:rPr>
                  </w:pPr>
                  <w:r>
                    <w:rPr>
                      <w:rFonts w:hint="eastAsia"/>
                      <w:b/>
                      <w:bCs/>
                      <w:color w:val="auto"/>
                      <w:szCs w:val="21"/>
                      <w:lang w:eastAsia="zh-CN"/>
                    </w:rPr>
                    <w:t>降噪措施</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337" w:type="pct"/>
                  <w:tcBorders>
                    <w:top w:val="single" w:color="000000" w:sz="12" w:space="0"/>
                  </w:tcBorders>
                  <w:noWrap w:val="0"/>
                  <w:vAlign w:val="center"/>
                </w:tcPr>
                <w:p>
                  <w:pPr>
                    <w:jc w:val="center"/>
                    <w:rPr>
                      <w:color w:val="auto"/>
                      <w:szCs w:val="21"/>
                    </w:rPr>
                  </w:pPr>
                  <w:r>
                    <w:rPr>
                      <w:color w:val="auto"/>
                      <w:szCs w:val="21"/>
                    </w:rPr>
                    <w:t>1</w:t>
                  </w:r>
                </w:p>
              </w:tc>
              <w:tc>
                <w:tcPr>
                  <w:tcW w:w="1596" w:type="pct"/>
                  <w:tcBorders>
                    <w:top w:val="single" w:color="000000" w:sz="12" w:space="0"/>
                  </w:tcBorders>
                  <w:noWrap w:val="0"/>
                  <w:vAlign w:val="center"/>
                </w:tcPr>
                <w:p>
                  <w:pPr>
                    <w:jc w:val="center"/>
                    <w:rPr>
                      <w:rFonts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夹砂管道生产线</w:t>
                  </w:r>
                </w:p>
              </w:tc>
              <w:tc>
                <w:tcPr>
                  <w:tcW w:w="731" w:type="pct"/>
                  <w:tcBorders>
                    <w:top w:val="single" w:color="000000" w:sz="12" w:space="0"/>
                  </w:tcBorders>
                  <w:noWrap w:val="0"/>
                  <w:vAlign w:val="center"/>
                </w:tcPr>
                <w:p>
                  <w:pPr>
                    <w:jc w:val="center"/>
                    <w:rPr>
                      <w:color w:val="auto"/>
                      <w:szCs w:val="21"/>
                    </w:rPr>
                  </w:pPr>
                  <w:r>
                    <w:rPr>
                      <w:rFonts w:hint="eastAsia" w:ascii="Times New Roman" w:hAnsi="Times New Roman" w:eastAsia="宋体" w:cs="Times New Roman"/>
                      <w:color w:val="auto"/>
                      <w:sz w:val="21"/>
                      <w:szCs w:val="21"/>
                      <w:lang w:val="en-US" w:eastAsia="zh-CN"/>
                    </w:rPr>
                    <w:t>1</w:t>
                  </w:r>
                </w:p>
              </w:tc>
              <w:tc>
                <w:tcPr>
                  <w:tcW w:w="717" w:type="pct"/>
                  <w:tcBorders>
                    <w:top w:val="single" w:color="000000" w:sz="12" w:space="0"/>
                  </w:tcBorders>
                  <w:noWrap w:val="0"/>
                  <w:vAlign w:val="center"/>
                </w:tcPr>
                <w:p>
                  <w:pPr>
                    <w:jc w:val="center"/>
                    <w:rPr>
                      <w:rFonts w:hint="default" w:eastAsia="宋体"/>
                      <w:color w:val="auto"/>
                      <w:szCs w:val="21"/>
                      <w:lang w:val="en-US" w:eastAsia="zh-CN"/>
                    </w:rPr>
                  </w:pPr>
                  <w:r>
                    <w:rPr>
                      <w:rFonts w:hint="eastAsia"/>
                      <w:color w:val="auto"/>
                      <w:szCs w:val="21"/>
                      <w:lang w:val="en-US" w:eastAsia="zh-CN"/>
                    </w:rPr>
                    <w:t>75</w:t>
                  </w:r>
                </w:p>
              </w:tc>
              <w:tc>
                <w:tcPr>
                  <w:tcW w:w="1617" w:type="pct"/>
                  <w:vMerge w:val="restart"/>
                  <w:tcBorders>
                    <w:top w:val="single" w:color="000000" w:sz="12" w:space="0"/>
                  </w:tcBorders>
                  <w:noWrap w:val="0"/>
                  <w:vAlign w:val="center"/>
                </w:tcPr>
                <w:p>
                  <w:pPr>
                    <w:jc w:val="center"/>
                    <w:rPr>
                      <w:color w:val="auto"/>
                      <w:szCs w:val="21"/>
                    </w:rPr>
                  </w:pPr>
                  <w:r>
                    <w:rPr>
                      <w:rFonts w:hint="eastAsia"/>
                      <w:color w:val="auto"/>
                      <w:szCs w:val="21"/>
                    </w:rPr>
                    <w:t>密闭措施，基础减振、消声</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337" w:type="pct"/>
                  <w:noWrap w:val="0"/>
                  <w:vAlign w:val="center"/>
                </w:tcPr>
                <w:p>
                  <w:pPr>
                    <w:jc w:val="center"/>
                    <w:rPr>
                      <w:color w:val="auto"/>
                      <w:szCs w:val="21"/>
                    </w:rPr>
                  </w:pPr>
                  <w:r>
                    <w:rPr>
                      <w:color w:val="auto"/>
                      <w:szCs w:val="21"/>
                    </w:rPr>
                    <w:t>2</w:t>
                  </w:r>
                </w:p>
              </w:tc>
              <w:tc>
                <w:tcPr>
                  <w:tcW w:w="1596" w:type="pct"/>
                  <w:noWrap w:val="0"/>
                  <w:vAlign w:val="center"/>
                </w:tcPr>
                <w:p>
                  <w:pPr>
                    <w:jc w:val="center"/>
                    <w:rPr>
                      <w:rFonts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微机控制缠绕机</w:t>
                  </w:r>
                </w:p>
              </w:tc>
              <w:tc>
                <w:tcPr>
                  <w:tcW w:w="731" w:type="pct"/>
                  <w:noWrap w:val="0"/>
                  <w:vAlign w:val="center"/>
                </w:tcPr>
                <w:p>
                  <w:pPr>
                    <w:jc w:val="center"/>
                    <w:rPr>
                      <w:color w:val="auto"/>
                      <w:szCs w:val="21"/>
                    </w:rPr>
                  </w:pPr>
                  <w:r>
                    <w:rPr>
                      <w:rFonts w:hint="eastAsia" w:ascii="Times New Roman" w:hAnsi="Times New Roman" w:eastAsia="宋体" w:cs="Times New Roman"/>
                      <w:color w:val="auto"/>
                      <w:sz w:val="21"/>
                      <w:szCs w:val="21"/>
                      <w:lang w:val="en-US" w:eastAsia="zh-CN"/>
                    </w:rPr>
                    <w:t>1</w:t>
                  </w:r>
                </w:p>
              </w:tc>
              <w:tc>
                <w:tcPr>
                  <w:tcW w:w="717" w:type="pct"/>
                  <w:noWrap w:val="0"/>
                  <w:vAlign w:val="center"/>
                </w:tcPr>
                <w:p>
                  <w:pPr>
                    <w:jc w:val="center"/>
                    <w:rPr>
                      <w:rFonts w:hint="default" w:eastAsia="宋体"/>
                      <w:color w:val="auto"/>
                      <w:szCs w:val="21"/>
                      <w:lang w:val="en-US" w:eastAsia="zh-CN"/>
                    </w:rPr>
                  </w:pPr>
                  <w:r>
                    <w:rPr>
                      <w:rFonts w:hint="eastAsia"/>
                      <w:color w:val="auto"/>
                      <w:szCs w:val="21"/>
                      <w:lang w:val="en-US" w:eastAsia="zh-CN"/>
                    </w:rPr>
                    <w:t>85</w:t>
                  </w:r>
                </w:p>
              </w:tc>
              <w:tc>
                <w:tcPr>
                  <w:tcW w:w="1617" w:type="pct"/>
                  <w:vMerge w:val="continue"/>
                  <w:noWrap w:val="0"/>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337" w:type="pct"/>
                  <w:noWrap w:val="0"/>
                  <w:vAlign w:val="center"/>
                </w:tcPr>
                <w:p>
                  <w:pPr>
                    <w:jc w:val="center"/>
                    <w:rPr>
                      <w:color w:val="auto"/>
                      <w:szCs w:val="21"/>
                    </w:rPr>
                  </w:pPr>
                  <w:r>
                    <w:rPr>
                      <w:color w:val="auto"/>
                      <w:szCs w:val="21"/>
                    </w:rPr>
                    <w:t>3</w:t>
                  </w:r>
                </w:p>
              </w:tc>
              <w:tc>
                <w:tcPr>
                  <w:tcW w:w="1596" w:type="pct"/>
                  <w:noWrap w:val="0"/>
                  <w:vAlign w:val="center"/>
                </w:tcPr>
                <w:p>
                  <w:pPr>
                    <w:jc w:val="center"/>
                    <w:rPr>
                      <w:rFonts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微机控制缠绕机</w:t>
                  </w:r>
                </w:p>
              </w:tc>
              <w:tc>
                <w:tcPr>
                  <w:tcW w:w="731" w:type="pct"/>
                  <w:noWrap w:val="0"/>
                  <w:vAlign w:val="center"/>
                </w:tcPr>
                <w:p>
                  <w:pPr>
                    <w:jc w:val="center"/>
                    <w:rPr>
                      <w:color w:val="auto"/>
                      <w:szCs w:val="21"/>
                    </w:rPr>
                  </w:pPr>
                  <w:r>
                    <w:rPr>
                      <w:rFonts w:hint="eastAsia" w:ascii="Times New Roman" w:hAnsi="Times New Roman" w:eastAsia="宋体" w:cs="Times New Roman"/>
                      <w:color w:val="auto"/>
                      <w:sz w:val="21"/>
                      <w:szCs w:val="21"/>
                      <w:lang w:val="en-US" w:eastAsia="zh-CN"/>
                    </w:rPr>
                    <w:t>1</w:t>
                  </w:r>
                </w:p>
              </w:tc>
              <w:tc>
                <w:tcPr>
                  <w:tcW w:w="717" w:type="pct"/>
                  <w:noWrap w:val="0"/>
                  <w:vAlign w:val="center"/>
                </w:tcPr>
                <w:p>
                  <w:pPr>
                    <w:jc w:val="center"/>
                    <w:rPr>
                      <w:rFonts w:hint="default" w:eastAsia="宋体"/>
                      <w:color w:val="auto"/>
                      <w:szCs w:val="21"/>
                      <w:lang w:val="en-US" w:eastAsia="zh-CN"/>
                    </w:rPr>
                  </w:pPr>
                  <w:r>
                    <w:rPr>
                      <w:rFonts w:hint="eastAsia"/>
                      <w:color w:val="auto"/>
                      <w:szCs w:val="21"/>
                      <w:lang w:val="en-US" w:eastAsia="zh-CN"/>
                    </w:rPr>
                    <w:t>85</w:t>
                  </w:r>
                </w:p>
              </w:tc>
              <w:tc>
                <w:tcPr>
                  <w:tcW w:w="1617" w:type="pct"/>
                  <w:vMerge w:val="continue"/>
                  <w:noWrap w:val="0"/>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337" w:type="pct"/>
                  <w:noWrap w:val="0"/>
                  <w:vAlign w:val="center"/>
                </w:tcPr>
                <w:p>
                  <w:pPr>
                    <w:jc w:val="center"/>
                    <w:rPr>
                      <w:color w:val="auto"/>
                      <w:szCs w:val="21"/>
                    </w:rPr>
                  </w:pPr>
                  <w:r>
                    <w:rPr>
                      <w:color w:val="auto"/>
                      <w:szCs w:val="21"/>
                    </w:rPr>
                    <w:t>4</w:t>
                  </w:r>
                </w:p>
              </w:tc>
              <w:tc>
                <w:tcPr>
                  <w:tcW w:w="1596" w:type="pct"/>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固化台</w:t>
                  </w:r>
                </w:p>
              </w:tc>
              <w:tc>
                <w:tcPr>
                  <w:tcW w:w="731" w:type="pct"/>
                  <w:noWrap w:val="0"/>
                  <w:vAlign w:val="center"/>
                </w:tcPr>
                <w:p>
                  <w:pPr>
                    <w:jc w:val="center"/>
                    <w:rPr>
                      <w:color w:val="auto"/>
                      <w:szCs w:val="21"/>
                    </w:rPr>
                  </w:pPr>
                  <w:r>
                    <w:rPr>
                      <w:rFonts w:hint="eastAsia" w:ascii="Times New Roman" w:hAnsi="Times New Roman" w:eastAsia="宋体" w:cs="Times New Roman"/>
                      <w:color w:val="auto"/>
                      <w:sz w:val="21"/>
                      <w:szCs w:val="21"/>
                      <w:lang w:val="en-US" w:eastAsia="zh-CN"/>
                    </w:rPr>
                    <w:t>4</w:t>
                  </w:r>
                </w:p>
              </w:tc>
              <w:tc>
                <w:tcPr>
                  <w:tcW w:w="717" w:type="pct"/>
                  <w:noWrap w:val="0"/>
                  <w:vAlign w:val="center"/>
                </w:tcPr>
                <w:p>
                  <w:pPr>
                    <w:jc w:val="center"/>
                    <w:rPr>
                      <w:rFonts w:hint="default" w:eastAsia="宋体"/>
                      <w:color w:val="auto"/>
                      <w:szCs w:val="21"/>
                      <w:lang w:val="en-US" w:eastAsia="zh-CN"/>
                    </w:rPr>
                  </w:pPr>
                  <w:r>
                    <w:rPr>
                      <w:rFonts w:hint="eastAsia"/>
                      <w:color w:val="auto"/>
                      <w:szCs w:val="21"/>
                      <w:lang w:val="en-US" w:eastAsia="zh-CN"/>
                    </w:rPr>
                    <w:t>75</w:t>
                  </w:r>
                </w:p>
              </w:tc>
              <w:tc>
                <w:tcPr>
                  <w:tcW w:w="1617" w:type="pct"/>
                  <w:vMerge w:val="continue"/>
                  <w:noWrap w:val="0"/>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337" w:type="pct"/>
                  <w:noWrap w:val="0"/>
                  <w:vAlign w:val="center"/>
                </w:tcPr>
                <w:p>
                  <w:pPr>
                    <w:jc w:val="center"/>
                    <w:rPr>
                      <w:color w:val="auto"/>
                      <w:szCs w:val="21"/>
                    </w:rPr>
                  </w:pPr>
                  <w:r>
                    <w:rPr>
                      <w:color w:val="auto"/>
                      <w:szCs w:val="21"/>
                    </w:rPr>
                    <w:t>5</w:t>
                  </w:r>
                </w:p>
              </w:tc>
              <w:tc>
                <w:tcPr>
                  <w:tcW w:w="1596" w:type="pct"/>
                  <w:noWrap w:val="0"/>
                  <w:vAlign w:val="center"/>
                </w:tcPr>
                <w:p>
                  <w:pPr>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 w:val="21"/>
                      <w:szCs w:val="21"/>
                      <w:lang w:val="en-US" w:eastAsia="zh-CN"/>
                    </w:rPr>
                    <w:t>内衬成型机</w:t>
                  </w:r>
                </w:p>
              </w:tc>
              <w:tc>
                <w:tcPr>
                  <w:tcW w:w="731" w:type="pct"/>
                  <w:noWrap w:val="0"/>
                  <w:vAlign w:val="center"/>
                </w:tcPr>
                <w:p>
                  <w:pPr>
                    <w:jc w:val="center"/>
                    <w:rPr>
                      <w:color w:val="auto"/>
                      <w:szCs w:val="21"/>
                    </w:rPr>
                  </w:pPr>
                  <w:r>
                    <w:rPr>
                      <w:rFonts w:hint="eastAsia" w:ascii="Times New Roman" w:hAnsi="Times New Roman" w:eastAsia="宋体" w:cs="Times New Roman"/>
                      <w:color w:val="auto"/>
                      <w:sz w:val="21"/>
                      <w:szCs w:val="21"/>
                      <w:lang w:val="en-US" w:eastAsia="zh-CN"/>
                    </w:rPr>
                    <w:t>3</w:t>
                  </w:r>
                </w:p>
              </w:tc>
              <w:tc>
                <w:tcPr>
                  <w:tcW w:w="717" w:type="pct"/>
                  <w:noWrap w:val="0"/>
                  <w:vAlign w:val="center"/>
                </w:tcPr>
                <w:p>
                  <w:pPr>
                    <w:jc w:val="center"/>
                    <w:rPr>
                      <w:rFonts w:hint="default" w:eastAsia="宋体"/>
                      <w:color w:val="auto"/>
                      <w:szCs w:val="21"/>
                      <w:lang w:val="en-US" w:eastAsia="zh-CN"/>
                    </w:rPr>
                  </w:pPr>
                  <w:r>
                    <w:rPr>
                      <w:rFonts w:hint="eastAsia"/>
                      <w:color w:val="auto"/>
                      <w:szCs w:val="21"/>
                      <w:lang w:val="en-US" w:eastAsia="zh-CN"/>
                    </w:rPr>
                    <w:t>80</w:t>
                  </w:r>
                </w:p>
              </w:tc>
              <w:tc>
                <w:tcPr>
                  <w:tcW w:w="1617" w:type="pct"/>
                  <w:vMerge w:val="continue"/>
                  <w:noWrap w:val="0"/>
                  <w:vAlign w:val="center"/>
                </w:tcPr>
                <w:p>
                  <w:pPr>
                    <w:jc w:val="center"/>
                    <w:rPr>
                      <w:rFonts w:hint="eastAsia" w:eastAsia="宋体"/>
                      <w:color w:val="auto"/>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337" w:type="pct"/>
                  <w:noWrap w:val="0"/>
                  <w:vAlign w:val="center"/>
                </w:tcPr>
                <w:p>
                  <w:pPr>
                    <w:jc w:val="center"/>
                    <w:rPr>
                      <w:rFonts w:hint="default"/>
                      <w:color w:val="auto"/>
                      <w:szCs w:val="21"/>
                      <w:lang w:val="en-US" w:eastAsia="zh-CN"/>
                    </w:rPr>
                  </w:pPr>
                  <w:r>
                    <w:rPr>
                      <w:rFonts w:hint="eastAsia"/>
                      <w:color w:val="auto"/>
                      <w:szCs w:val="21"/>
                      <w:lang w:val="en-US" w:eastAsia="zh-CN"/>
                    </w:rPr>
                    <w:t>6</w:t>
                  </w:r>
                </w:p>
              </w:tc>
              <w:tc>
                <w:tcPr>
                  <w:tcW w:w="15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空压机</w:t>
                  </w:r>
                </w:p>
              </w:tc>
              <w:tc>
                <w:tcPr>
                  <w:tcW w:w="731" w:type="pct"/>
                  <w:noWrap w:val="0"/>
                  <w:vAlign w:val="center"/>
                </w:tcPr>
                <w:p>
                  <w:pPr>
                    <w:jc w:val="center"/>
                    <w:rPr>
                      <w:rFonts w:hint="default"/>
                      <w:color w:val="auto"/>
                      <w:szCs w:val="21"/>
                      <w:lang w:val="en-US" w:eastAsia="zh-CN"/>
                    </w:rPr>
                  </w:pPr>
                  <w:r>
                    <w:rPr>
                      <w:rFonts w:hint="default" w:ascii="Times New Roman" w:hAnsi="Times New Roman" w:eastAsia="宋体" w:cs="Times New Roman"/>
                      <w:color w:val="auto"/>
                      <w:sz w:val="21"/>
                      <w:szCs w:val="21"/>
                      <w:lang w:val="en-US" w:eastAsia="zh-CN"/>
                    </w:rPr>
                    <w:t>2</w:t>
                  </w:r>
                </w:p>
              </w:tc>
              <w:tc>
                <w:tcPr>
                  <w:tcW w:w="717" w:type="pct"/>
                  <w:noWrap w:val="0"/>
                  <w:vAlign w:val="center"/>
                </w:tcPr>
                <w:p>
                  <w:pPr>
                    <w:jc w:val="center"/>
                    <w:rPr>
                      <w:rFonts w:hint="default"/>
                      <w:color w:val="auto"/>
                      <w:szCs w:val="21"/>
                      <w:lang w:val="en-US" w:eastAsia="zh-CN"/>
                    </w:rPr>
                  </w:pPr>
                  <w:r>
                    <w:rPr>
                      <w:rFonts w:hint="eastAsia"/>
                      <w:color w:val="auto"/>
                      <w:szCs w:val="21"/>
                      <w:lang w:val="en-US" w:eastAsia="zh-CN"/>
                    </w:rPr>
                    <w:t>80</w:t>
                  </w:r>
                </w:p>
              </w:tc>
              <w:tc>
                <w:tcPr>
                  <w:tcW w:w="1617" w:type="pct"/>
                  <w:vMerge w:val="continue"/>
                  <w:noWrap w:val="0"/>
                  <w:vAlign w:val="center"/>
                </w:tcPr>
                <w:p>
                  <w:pPr>
                    <w:jc w:val="center"/>
                    <w:rPr>
                      <w:rFonts w:hint="eastAsia"/>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337" w:type="pct"/>
                  <w:noWrap w:val="0"/>
                  <w:vAlign w:val="center"/>
                </w:tcPr>
                <w:p>
                  <w:pPr>
                    <w:jc w:val="center"/>
                    <w:rPr>
                      <w:rFonts w:hint="default"/>
                      <w:color w:val="auto"/>
                      <w:szCs w:val="21"/>
                      <w:lang w:val="en-US" w:eastAsia="zh-CN"/>
                    </w:rPr>
                  </w:pPr>
                  <w:r>
                    <w:rPr>
                      <w:rFonts w:hint="eastAsia"/>
                      <w:color w:val="auto"/>
                      <w:szCs w:val="21"/>
                      <w:lang w:val="en-US" w:eastAsia="zh-CN"/>
                    </w:rPr>
                    <w:t>7</w:t>
                  </w:r>
                </w:p>
              </w:tc>
              <w:tc>
                <w:tcPr>
                  <w:tcW w:w="1596" w:type="pct"/>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空压机</w:t>
                  </w:r>
                </w:p>
              </w:tc>
              <w:tc>
                <w:tcPr>
                  <w:tcW w:w="731" w:type="pct"/>
                  <w:noWrap w:val="0"/>
                  <w:vAlign w:val="center"/>
                </w:tcPr>
                <w:p>
                  <w:pPr>
                    <w:jc w:val="center"/>
                    <w:rPr>
                      <w:rFonts w:hint="eastAsia"/>
                      <w:color w:val="auto"/>
                      <w:szCs w:val="21"/>
                      <w:lang w:val="en-US" w:eastAsia="zh-CN"/>
                    </w:rPr>
                  </w:pPr>
                  <w:r>
                    <w:rPr>
                      <w:rFonts w:hint="default" w:ascii="Times New Roman" w:hAnsi="Times New Roman" w:eastAsia="宋体" w:cs="Times New Roman"/>
                      <w:color w:val="auto"/>
                      <w:sz w:val="21"/>
                      <w:szCs w:val="21"/>
                      <w:lang w:val="en-US" w:eastAsia="zh-CN"/>
                    </w:rPr>
                    <w:t>2</w:t>
                  </w:r>
                </w:p>
              </w:tc>
              <w:tc>
                <w:tcPr>
                  <w:tcW w:w="717" w:type="pct"/>
                  <w:noWrap w:val="0"/>
                  <w:vAlign w:val="center"/>
                </w:tcPr>
                <w:p>
                  <w:pPr>
                    <w:jc w:val="center"/>
                    <w:rPr>
                      <w:rFonts w:hint="eastAsia"/>
                      <w:color w:val="auto"/>
                      <w:szCs w:val="21"/>
                      <w:lang w:val="en-US" w:eastAsia="zh-CN"/>
                    </w:rPr>
                  </w:pPr>
                  <w:r>
                    <w:rPr>
                      <w:rFonts w:hint="eastAsia"/>
                      <w:color w:val="auto"/>
                      <w:szCs w:val="21"/>
                      <w:lang w:val="en-US" w:eastAsia="zh-CN"/>
                    </w:rPr>
                    <w:t>80</w:t>
                  </w:r>
                </w:p>
              </w:tc>
              <w:tc>
                <w:tcPr>
                  <w:tcW w:w="1617" w:type="pct"/>
                  <w:vMerge w:val="continue"/>
                  <w:noWrap w:val="0"/>
                  <w:vAlign w:val="center"/>
                </w:tcPr>
                <w:p>
                  <w:pPr>
                    <w:jc w:val="center"/>
                    <w:rPr>
                      <w:rFonts w:hint="eastAsia"/>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337" w:type="pct"/>
                  <w:noWrap w:val="0"/>
                  <w:vAlign w:val="center"/>
                </w:tcPr>
                <w:p>
                  <w:pPr>
                    <w:jc w:val="center"/>
                    <w:rPr>
                      <w:rFonts w:hint="default"/>
                      <w:color w:val="auto"/>
                      <w:szCs w:val="21"/>
                      <w:lang w:val="en-US" w:eastAsia="zh-CN"/>
                    </w:rPr>
                  </w:pPr>
                  <w:r>
                    <w:rPr>
                      <w:rFonts w:hint="eastAsia"/>
                      <w:color w:val="auto"/>
                      <w:szCs w:val="21"/>
                      <w:lang w:val="en-US" w:eastAsia="zh-CN"/>
                    </w:rPr>
                    <w:t>8</w:t>
                  </w:r>
                </w:p>
              </w:tc>
              <w:tc>
                <w:tcPr>
                  <w:tcW w:w="1596" w:type="pct"/>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T30无油空气压缩机</w:t>
                  </w:r>
                </w:p>
              </w:tc>
              <w:tc>
                <w:tcPr>
                  <w:tcW w:w="731" w:type="pct"/>
                  <w:noWrap w:val="0"/>
                  <w:vAlign w:val="center"/>
                </w:tcPr>
                <w:p>
                  <w:pPr>
                    <w:jc w:val="center"/>
                    <w:rPr>
                      <w:rFonts w:hint="eastAsia"/>
                      <w:color w:val="auto"/>
                      <w:szCs w:val="21"/>
                      <w:lang w:val="en-US" w:eastAsia="zh-CN"/>
                    </w:rPr>
                  </w:pPr>
                  <w:r>
                    <w:rPr>
                      <w:rFonts w:hint="default" w:ascii="Times New Roman" w:hAnsi="Times New Roman" w:eastAsia="宋体" w:cs="Times New Roman"/>
                      <w:color w:val="auto"/>
                      <w:sz w:val="21"/>
                      <w:szCs w:val="21"/>
                      <w:lang w:val="en-US" w:eastAsia="zh-CN"/>
                    </w:rPr>
                    <w:t>2</w:t>
                  </w:r>
                </w:p>
              </w:tc>
              <w:tc>
                <w:tcPr>
                  <w:tcW w:w="717" w:type="pct"/>
                  <w:noWrap w:val="0"/>
                  <w:vAlign w:val="center"/>
                </w:tcPr>
                <w:p>
                  <w:pPr>
                    <w:jc w:val="center"/>
                    <w:rPr>
                      <w:rFonts w:hint="eastAsia"/>
                      <w:color w:val="auto"/>
                      <w:szCs w:val="21"/>
                      <w:lang w:val="en-US" w:eastAsia="zh-CN"/>
                    </w:rPr>
                  </w:pPr>
                  <w:r>
                    <w:rPr>
                      <w:rFonts w:hint="eastAsia"/>
                      <w:color w:val="auto"/>
                      <w:szCs w:val="21"/>
                      <w:lang w:val="en-US" w:eastAsia="zh-CN"/>
                    </w:rPr>
                    <w:t>70</w:t>
                  </w:r>
                </w:p>
              </w:tc>
              <w:tc>
                <w:tcPr>
                  <w:tcW w:w="1617" w:type="pct"/>
                  <w:vMerge w:val="continue"/>
                  <w:noWrap w:val="0"/>
                  <w:vAlign w:val="center"/>
                </w:tcPr>
                <w:p>
                  <w:pPr>
                    <w:jc w:val="center"/>
                    <w:rPr>
                      <w:rFonts w:hint="eastAsia"/>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337" w:type="pct"/>
                  <w:noWrap w:val="0"/>
                  <w:vAlign w:val="center"/>
                </w:tcPr>
                <w:p>
                  <w:pPr>
                    <w:jc w:val="center"/>
                    <w:rPr>
                      <w:rFonts w:hint="default"/>
                      <w:color w:val="auto"/>
                      <w:szCs w:val="21"/>
                      <w:lang w:val="en-US" w:eastAsia="zh-CN"/>
                    </w:rPr>
                  </w:pPr>
                  <w:r>
                    <w:rPr>
                      <w:rFonts w:hint="eastAsia"/>
                      <w:color w:val="auto"/>
                      <w:szCs w:val="21"/>
                      <w:lang w:val="en-US" w:eastAsia="zh-CN"/>
                    </w:rPr>
                    <w:t>9</w:t>
                  </w:r>
                </w:p>
              </w:tc>
              <w:tc>
                <w:tcPr>
                  <w:tcW w:w="1596" w:type="pct"/>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电动单梁起重机</w:t>
                  </w:r>
                </w:p>
              </w:tc>
              <w:tc>
                <w:tcPr>
                  <w:tcW w:w="731" w:type="pct"/>
                  <w:noWrap w:val="0"/>
                  <w:vAlign w:val="center"/>
                </w:tcPr>
                <w:p>
                  <w:pPr>
                    <w:jc w:val="center"/>
                    <w:rPr>
                      <w:rFonts w:hint="eastAsia"/>
                      <w:color w:val="auto"/>
                      <w:szCs w:val="21"/>
                      <w:lang w:val="en-US" w:eastAsia="zh-CN"/>
                    </w:rPr>
                  </w:pPr>
                  <w:r>
                    <w:rPr>
                      <w:rFonts w:hint="eastAsia" w:ascii="Times New Roman" w:hAnsi="Times New Roman" w:eastAsia="宋体" w:cs="Times New Roman"/>
                      <w:color w:val="auto"/>
                      <w:sz w:val="21"/>
                      <w:szCs w:val="21"/>
                      <w:lang w:val="en-US" w:eastAsia="zh-CN"/>
                    </w:rPr>
                    <w:t>6</w:t>
                  </w:r>
                </w:p>
              </w:tc>
              <w:tc>
                <w:tcPr>
                  <w:tcW w:w="717" w:type="pct"/>
                  <w:noWrap w:val="0"/>
                  <w:vAlign w:val="center"/>
                </w:tcPr>
                <w:p>
                  <w:pPr>
                    <w:jc w:val="center"/>
                    <w:rPr>
                      <w:rFonts w:hint="eastAsia"/>
                      <w:color w:val="auto"/>
                      <w:szCs w:val="21"/>
                      <w:lang w:val="en-US" w:eastAsia="zh-CN"/>
                    </w:rPr>
                  </w:pPr>
                  <w:r>
                    <w:rPr>
                      <w:rFonts w:hint="eastAsia"/>
                      <w:color w:val="auto"/>
                      <w:szCs w:val="21"/>
                      <w:lang w:val="en-US" w:eastAsia="zh-CN"/>
                    </w:rPr>
                    <w:t>80</w:t>
                  </w:r>
                </w:p>
              </w:tc>
              <w:tc>
                <w:tcPr>
                  <w:tcW w:w="1617" w:type="pct"/>
                  <w:vMerge w:val="continue"/>
                  <w:noWrap w:val="0"/>
                  <w:vAlign w:val="center"/>
                </w:tcPr>
                <w:p>
                  <w:pPr>
                    <w:jc w:val="center"/>
                    <w:rPr>
                      <w:rFonts w:hint="eastAsia"/>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337" w:type="pct"/>
                  <w:noWrap w:val="0"/>
                  <w:vAlign w:val="center"/>
                </w:tcPr>
                <w:p>
                  <w:pPr>
                    <w:jc w:val="center"/>
                    <w:rPr>
                      <w:rFonts w:hint="default"/>
                      <w:color w:val="auto"/>
                      <w:szCs w:val="21"/>
                      <w:lang w:val="en-US" w:eastAsia="zh-CN"/>
                    </w:rPr>
                  </w:pPr>
                  <w:r>
                    <w:rPr>
                      <w:rFonts w:hint="eastAsia"/>
                      <w:color w:val="auto"/>
                      <w:szCs w:val="21"/>
                      <w:lang w:val="en-US" w:eastAsia="zh-CN"/>
                    </w:rPr>
                    <w:t>10</w:t>
                  </w:r>
                </w:p>
              </w:tc>
              <w:tc>
                <w:tcPr>
                  <w:tcW w:w="1596" w:type="pct"/>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双体搅拌罐</w:t>
                  </w:r>
                </w:p>
              </w:tc>
              <w:tc>
                <w:tcPr>
                  <w:tcW w:w="731" w:type="pct"/>
                  <w:noWrap w:val="0"/>
                  <w:vAlign w:val="center"/>
                </w:tcPr>
                <w:p>
                  <w:pPr>
                    <w:jc w:val="center"/>
                    <w:rPr>
                      <w:rFonts w:hint="eastAsia"/>
                      <w:color w:val="auto"/>
                      <w:szCs w:val="21"/>
                      <w:lang w:val="en-US" w:eastAsia="zh-CN"/>
                    </w:rPr>
                  </w:pPr>
                  <w:r>
                    <w:rPr>
                      <w:rFonts w:hint="eastAsia" w:ascii="Times New Roman" w:hAnsi="Times New Roman" w:eastAsia="宋体" w:cs="Times New Roman"/>
                      <w:color w:val="auto"/>
                      <w:sz w:val="21"/>
                      <w:szCs w:val="21"/>
                      <w:lang w:val="en-US" w:eastAsia="zh-CN"/>
                    </w:rPr>
                    <w:t>4</w:t>
                  </w:r>
                </w:p>
              </w:tc>
              <w:tc>
                <w:tcPr>
                  <w:tcW w:w="717" w:type="pct"/>
                  <w:noWrap w:val="0"/>
                  <w:vAlign w:val="center"/>
                </w:tcPr>
                <w:p>
                  <w:pPr>
                    <w:jc w:val="center"/>
                    <w:rPr>
                      <w:rFonts w:hint="eastAsia"/>
                      <w:color w:val="auto"/>
                      <w:szCs w:val="21"/>
                      <w:lang w:val="en-US" w:eastAsia="zh-CN"/>
                    </w:rPr>
                  </w:pPr>
                  <w:r>
                    <w:rPr>
                      <w:rFonts w:hint="eastAsia"/>
                      <w:color w:val="auto"/>
                      <w:szCs w:val="21"/>
                      <w:lang w:val="en-US" w:eastAsia="zh-CN"/>
                    </w:rPr>
                    <w:t>80</w:t>
                  </w:r>
                </w:p>
              </w:tc>
              <w:tc>
                <w:tcPr>
                  <w:tcW w:w="1617" w:type="pct"/>
                  <w:vMerge w:val="continue"/>
                  <w:noWrap w:val="0"/>
                  <w:vAlign w:val="center"/>
                </w:tcPr>
                <w:p>
                  <w:pPr>
                    <w:jc w:val="center"/>
                    <w:rPr>
                      <w:rFonts w:hint="eastAsia"/>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337" w:type="pct"/>
                  <w:noWrap w:val="0"/>
                  <w:vAlign w:val="center"/>
                </w:tcPr>
                <w:p>
                  <w:pPr>
                    <w:jc w:val="center"/>
                    <w:rPr>
                      <w:rFonts w:hint="default"/>
                      <w:color w:val="auto"/>
                      <w:szCs w:val="21"/>
                      <w:lang w:val="en-US" w:eastAsia="zh-CN"/>
                    </w:rPr>
                  </w:pPr>
                  <w:r>
                    <w:rPr>
                      <w:rFonts w:hint="eastAsia"/>
                      <w:color w:val="auto"/>
                      <w:szCs w:val="21"/>
                      <w:lang w:val="en-US" w:eastAsia="zh-CN"/>
                    </w:rPr>
                    <w:t>11</w:t>
                  </w:r>
                </w:p>
              </w:tc>
              <w:tc>
                <w:tcPr>
                  <w:tcW w:w="1596" w:type="pct"/>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胶体输送泵</w:t>
                  </w:r>
                </w:p>
              </w:tc>
              <w:tc>
                <w:tcPr>
                  <w:tcW w:w="731" w:type="pct"/>
                  <w:noWrap w:val="0"/>
                  <w:vAlign w:val="center"/>
                </w:tcPr>
                <w:p>
                  <w:pPr>
                    <w:jc w:val="center"/>
                    <w:rPr>
                      <w:rFonts w:hint="eastAsia"/>
                      <w:color w:val="auto"/>
                      <w:szCs w:val="21"/>
                      <w:lang w:val="en-US" w:eastAsia="zh-CN"/>
                    </w:rPr>
                  </w:pPr>
                  <w:r>
                    <w:rPr>
                      <w:rFonts w:hint="default" w:ascii="Times New Roman" w:hAnsi="Times New Roman" w:eastAsia="宋体" w:cs="Times New Roman"/>
                      <w:color w:val="auto"/>
                      <w:sz w:val="21"/>
                      <w:szCs w:val="21"/>
                      <w:lang w:val="en-US" w:eastAsia="zh-CN"/>
                    </w:rPr>
                    <w:t>4</w:t>
                  </w:r>
                </w:p>
              </w:tc>
              <w:tc>
                <w:tcPr>
                  <w:tcW w:w="717" w:type="pct"/>
                  <w:noWrap w:val="0"/>
                  <w:vAlign w:val="center"/>
                </w:tcPr>
                <w:p>
                  <w:pPr>
                    <w:jc w:val="center"/>
                    <w:rPr>
                      <w:rFonts w:hint="eastAsia"/>
                      <w:color w:val="auto"/>
                      <w:szCs w:val="21"/>
                      <w:lang w:val="en-US" w:eastAsia="zh-CN"/>
                    </w:rPr>
                  </w:pPr>
                  <w:r>
                    <w:rPr>
                      <w:rFonts w:hint="eastAsia"/>
                      <w:color w:val="auto"/>
                      <w:szCs w:val="21"/>
                      <w:lang w:val="en-US" w:eastAsia="zh-CN"/>
                    </w:rPr>
                    <w:t>80</w:t>
                  </w:r>
                </w:p>
              </w:tc>
              <w:tc>
                <w:tcPr>
                  <w:tcW w:w="1617" w:type="pct"/>
                  <w:vMerge w:val="continue"/>
                  <w:noWrap w:val="0"/>
                  <w:vAlign w:val="center"/>
                </w:tcPr>
                <w:p>
                  <w:pPr>
                    <w:jc w:val="center"/>
                    <w:rPr>
                      <w:rFonts w:hint="eastAsia"/>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337" w:type="pct"/>
                  <w:noWrap w:val="0"/>
                  <w:vAlign w:val="center"/>
                </w:tcPr>
                <w:p>
                  <w:pPr>
                    <w:jc w:val="center"/>
                    <w:rPr>
                      <w:rFonts w:hint="default"/>
                      <w:color w:val="auto"/>
                      <w:szCs w:val="21"/>
                      <w:lang w:val="en-US" w:eastAsia="zh-CN"/>
                    </w:rPr>
                  </w:pPr>
                  <w:r>
                    <w:rPr>
                      <w:rFonts w:hint="eastAsia"/>
                      <w:color w:val="auto"/>
                      <w:szCs w:val="21"/>
                      <w:lang w:val="en-US" w:eastAsia="zh-CN"/>
                    </w:rPr>
                    <w:t>12</w:t>
                  </w:r>
                </w:p>
              </w:tc>
              <w:tc>
                <w:tcPr>
                  <w:tcW w:w="1596" w:type="pc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喷涂枪</w:t>
                  </w:r>
                </w:p>
              </w:tc>
              <w:tc>
                <w:tcPr>
                  <w:tcW w:w="731" w:type="pct"/>
                  <w:noWrap w:val="0"/>
                  <w:vAlign w:val="center"/>
                </w:tcPr>
                <w:p>
                  <w:pPr>
                    <w:jc w:val="center"/>
                    <w:rPr>
                      <w:rFonts w:hint="eastAsia"/>
                      <w:color w:val="auto"/>
                      <w:szCs w:val="21"/>
                      <w:lang w:val="en-US" w:eastAsia="zh-CN"/>
                    </w:rPr>
                  </w:pPr>
                  <w:r>
                    <w:rPr>
                      <w:rFonts w:hint="eastAsia" w:ascii="Times New Roman" w:hAnsi="Times New Roman" w:eastAsia="宋体" w:cs="Times New Roman"/>
                      <w:color w:val="auto"/>
                      <w:sz w:val="21"/>
                      <w:szCs w:val="21"/>
                      <w:lang w:val="en-US" w:eastAsia="zh-CN"/>
                    </w:rPr>
                    <w:t>2</w:t>
                  </w:r>
                </w:p>
              </w:tc>
              <w:tc>
                <w:tcPr>
                  <w:tcW w:w="717" w:type="pct"/>
                  <w:noWrap w:val="0"/>
                  <w:vAlign w:val="center"/>
                </w:tcPr>
                <w:p>
                  <w:pPr>
                    <w:jc w:val="center"/>
                    <w:rPr>
                      <w:rFonts w:hint="eastAsia"/>
                      <w:color w:val="auto"/>
                      <w:szCs w:val="21"/>
                      <w:lang w:val="en-US" w:eastAsia="zh-CN"/>
                    </w:rPr>
                  </w:pPr>
                  <w:r>
                    <w:rPr>
                      <w:rFonts w:hint="eastAsia"/>
                      <w:color w:val="auto"/>
                      <w:szCs w:val="21"/>
                      <w:lang w:val="en-US" w:eastAsia="zh-CN"/>
                    </w:rPr>
                    <w:t>65</w:t>
                  </w:r>
                </w:p>
              </w:tc>
              <w:tc>
                <w:tcPr>
                  <w:tcW w:w="1617" w:type="pct"/>
                  <w:vMerge w:val="continue"/>
                  <w:noWrap w:val="0"/>
                  <w:vAlign w:val="center"/>
                </w:tcPr>
                <w:p>
                  <w:pPr>
                    <w:jc w:val="center"/>
                    <w:rPr>
                      <w:rFonts w:hint="eastAsia"/>
                      <w:color w:val="auto"/>
                      <w:szCs w:val="21"/>
                    </w:rPr>
                  </w:pPr>
                </w:p>
              </w:tc>
            </w:tr>
          </w:tbl>
          <w:p>
            <w:pPr>
              <w:spacing w:line="360" w:lineRule="auto"/>
              <w:jc w:val="left"/>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3.2噪声环境影响分析</w:t>
            </w:r>
          </w:p>
          <w:p>
            <w:pPr>
              <w:spacing w:line="360" w:lineRule="auto"/>
              <w:jc w:val="left"/>
              <w:rPr>
                <w:rFonts w:hint="default" w:ascii="Times New Roman" w:hAnsi="Times New Roman" w:eastAsia="宋体" w:cs="Times New Roman"/>
                <w:b w:val="0"/>
                <w:bCs w:val="0"/>
                <w:color w:val="auto"/>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3.2.1</w:t>
            </w:r>
            <w:r>
              <w:rPr>
                <w:rFonts w:hint="default" w:ascii="Times New Roman" w:hAnsi="Times New Roman" w:eastAsia="宋体" w:cs="Times New Roman"/>
                <w:b w:val="0"/>
                <w:bCs w:val="0"/>
                <w:color w:val="auto"/>
                <w:sz w:val="24"/>
                <w:szCs w:val="24"/>
                <w:lang w:val="en-US" w:eastAsia="zh-CN" w:bidi="ar-SA"/>
              </w:rPr>
              <w:t>预测方法</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依据《环境影响评价技术导则 声环境》（HJ2.4-2021），本次评价采用该导则附录B中</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B.1工业噪声预测计算模型</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进行预测分析。按《环境影响评价技术导则 声环境》（HJ2.4-2021），选择点声源预测模式来模拟预测本项目主要设备声源产生噪声随距离的衰减变化规律。</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由于在声波传播的过程中，通过距离衰减、空气吸收衰减到达厂界外，故实际衰减量要低于其预测衰减量，即实际噪声值将略低于其预测值。</w:t>
            </w:r>
          </w:p>
          <w:p>
            <w:pPr>
              <w:spacing w:line="360" w:lineRule="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3.2.</w:t>
            </w:r>
            <w:r>
              <w:rPr>
                <w:rFonts w:hint="eastAsia" w:ascii="Times New Roman" w:hAnsi="Times New Roman" w:eastAsia="宋体" w:cs="Times New Roman"/>
                <w:color w:val="auto"/>
                <w:sz w:val="24"/>
                <w:szCs w:val="24"/>
                <w:lang w:val="en-US" w:eastAsia="zh-CN" w:bidi="ar-SA"/>
              </w:rPr>
              <w:t>2</w:t>
            </w:r>
            <w:r>
              <w:rPr>
                <w:rFonts w:hint="default" w:ascii="Times New Roman" w:hAnsi="Times New Roman" w:eastAsia="宋体" w:cs="Times New Roman"/>
                <w:color w:val="auto"/>
                <w:sz w:val="24"/>
                <w:szCs w:val="24"/>
                <w:lang w:val="en-US" w:eastAsia="zh-CN" w:bidi="ar-SA"/>
              </w:rPr>
              <w:t>预测模式</w:t>
            </w:r>
          </w:p>
          <w:p>
            <w:pPr>
              <w:keepNext w:val="0"/>
              <w:keepLines w:val="0"/>
              <w:widowControl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lang w:bidi="ar-SA"/>
              </w:rPr>
            </w:pPr>
            <w:r>
              <w:rPr>
                <w:rFonts w:hint="default" w:ascii="Times New Roman" w:hAnsi="Times New Roman" w:eastAsia="宋体" w:cs="Times New Roman"/>
                <w:color w:val="auto"/>
                <w:sz w:val="24"/>
                <w:szCs w:val="24"/>
                <w:lang w:val="en-US" w:eastAsia="zh-CN" w:bidi="ar-SA"/>
              </w:rPr>
              <w:t>（1）</w:t>
            </w:r>
            <w:r>
              <w:rPr>
                <w:rFonts w:hint="default" w:ascii="Times New Roman" w:hAnsi="Times New Roman" w:cs="Times New Roman"/>
                <w:color w:val="auto"/>
                <w:sz w:val="24"/>
                <w:szCs w:val="24"/>
                <w:lang w:bidi="ar-SA"/>
              </w:rPr>
              <w:t>点声源衰减公式：</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bidi="ar-SA"/>
              </w:rPr>
            </w:pPr>
            <w:r>
              <w:rPr>
                <w:rFonts w:hint="default" w:ascii="Times New Roman" w:hAnsi="Times New Roman" w:cs="Times New Roman"/>
                <w:color w:val="auto"/>
                <w:sz w:val="24"/>
                <w:szCs w:val="24"/>
                <w:lang w:bidi="ar-SA"/>
              </w:rPr>
              <w:t>L</w:t>
            </w:r>
            <w:r>
              <w:rPr>
                <w:rFonts w:hint="default" w:ascii="Times New Roman" w:hAnsi="Times New Roman" w:cs="Times New Roman"/>
                <w:color w:val="auto"/>
                <w:sz w:val="24"/>
                <w:szCs w:val="24"/>
                <w:vertAlign w:val="subscript"/>
                <w:lang w:bidi="ar-SA"/>
              </w:rPr>
              <w:t>p2</w:t>
            </w:r>
            <w:r>
              <w:rPr>
                <w:rFonts w:hint="default" w:ascii="Times New Roman" w:hAnsi="Times New Roman" w:cs="Times New Roman"/>
                <w:color w:val="auto"/>
                <w:sz w:val="24"/>
                <w:szCs w:val="24"/>
                <w:lang w:bidi="ar-SA"/>
              </w:rPr>
              <w:t>＝L</w:t>
            </w:r>
            <w:r>
              <w:rPr>
                <w:rFonts w:hint="default" w:ascii="Times New Roman" w:hAnsi="Times New Roman" w:cs="Times New Roman"/>
                <w:color w:val="auto"/>
                <w:sz w:val="24"/>
                <w:szCs w:val="24"/>
                <w:vertAlign w:val="subscript"/>
                <w:lang w:bidi="ar-SA"/>
              </w:rPr>
              <w:t>p1</w:t>
            </w:r>
            <w:r>
              <w:rPr>
                <w:rFonts w:hint="default" w:ascii="Times New Roman" w:hAnsi="Times New Roman" w:cs="Times New Roman"/>
                <w:color w:val="auto"/>
                <w:sz w:val="24"/>
                <w:szCs w:val="24"/>
                <w:lang w:bidi="ar-SA"/>
              </w:rPr>
              <w:t>－20Lg（r</w:t>
            </w:r>
            <w:r>
              <w:rPr>
                <w:rFonts w:hint="default" w:ascii="Times New Roman" w:hAnsi="Times New Roman" w:cs="Times New Roman"/>
                <w:color w:val="auto"/>
                <w:sz w:val="24"/>
                <w:szCs w:val="24"/>
                <w:vertAlign w:val="subscript"/>
                <w:lang w:bidi="ar-SA"/>
              </w:rPr>
              <w:t>2</w:t>
            </w:r>
            <w:r>
              <w:rPr>
                <w:rFonts w:hint="default" w:ascii="Times New Roman" w:hAnsi="Times New Roman" w:cs="Times New Roman"/>
                <w:color w:val="auto"/>
                <w:sz w:val="24"/>
                <w:szCs w:val="24"/>
                <w:lang w:bidi="ar-SA"/>
              </w:rPr>
              <w:t>/r</w:t>
            </w:r>
            <w:r>
              <w:rPr>
                <w:rFonts w:hint="default" w:ascii="Times New Roman" w:hAnsi="Times New Roman" w:cs="Times New Roman"/>
                <w:color w:val="auto"/>
                <w:sz w:val="24"/>
                <w:szCs w:val="24"/>
                <w:vertAlign w:val="subscript"/>
                <w:lang w:bidi="ar-SA"/>
              </w:rPr>
              <w:t>1</w:t>
            </w:r>
            <w:r>
              <w:rPr>
                <w:rFonts w:hint="default" w:ascii="Times New Roman" w:hAnsi="Times New Roman" w:cs="Times New Roman"/>
                <w:color w:val="auto"/>
                <w:sz w:val="24"/>
                <w:szCs w:val="24"/>
                <w:lang w:bidi="ar-SA"/>
              </w:rPr>
              <w:t>）</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其中：</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L</w:t>
            </w:r>
            <w:r>
              <w:rPr>
                <w:rFonts w:hint="default" w:ascii="Times New Roman" w:hAnsi="Times New Roman" w:eastAsia="宋体" w:cs="Times New Roman"/>
                <w:color w:val="auto"/>
                <w:sz w:val="24"/>
                <w:szCs w:val="24"/>
                <w:vertAlign w:val="subscript"/>
                <w:lang w:val="en-US" w:eastAsia="zh-CN" w:bidi="ar-SA"/>
              </w:rPr>
              <w:t>p1</w:t>
            </w:r>
            <w:r>
              <w:rPr>
                <w:rFonts w:hint="default" w:ascii="Times New Roman" w:hAnsi="Times New Roman" w:eastAsia="宋体" w:cs="Times New Roman"/>
                <w:color w:val="auto"/>
                <w:sz w:val="24"/>
                <w:szCs w:val="24"/>
                <w:lang w:val="en-US" w:eastAsia="zh-CN" w:bidi="ar-SA"/>
              </w:rPr>
              <w:t>—距声源r</w:t>
            </w:r>
            <w:r>
              <w:rPr>
                <w:rFonts w:hint="default" w:ascii="Times New Roman" w:hAnsi="Times New Roman" w:eastAsia="宋体" w:cs="Times New Roman"/>
                <w:color w:val="auto"/>
                <w:sz w:val="24"/>
                <w:szCs w:val="24"/>
                <w:vertAlign w:val="subscript"/>
                <w:lang w:val="en-US" w:eastAsia="zh-CN" w:bidi="ar-SA"/>
              </w:rPr>
              <w:t>1</w:t>
            </w:r>
            <w:r>
              <w:rPr>
                <w:rFonts w:hint="default" w:ascii="Times New Roman" w:hAnsi="Times New Roman" w:eastAsia="宋体" w:cs="Times New Roman"/>
                <w:color w:val="auto"/>
                <w:sz w:val="24"/>
                <w:szCs w:val="24"/>
                <w:lang w:val="en-US" w:eastAsia="zh-CN" w:bidi="ar-SA"/>
              </w:rPr>
              <w:t>处的声压级dB（A）</w:t>
            </w:r>
            <w:r>
              <w:rPr>
                <w:rFonts w:hint="eastAsia" w:ascii="Times New Roman" w:hAnsi="Times New Roman" w:eastAsia="宋体" w:cs="Times New Roman"/>
                <w:color w:val="auto"/>
                <w:sz w:val="24"/>
                <w:szCs w:val="24"/>
                <w:lang w:val="en-US" w:eastAsia="zh-CN" w:bidi="ar-SA"/>
              </w:rPr>
              <w:t>；</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L</w:t>
            </w:r>
            <w:r>
              <w:rPr>
                <w:rFonts w:hint="default" w:ascii="Times New Roman" w:hAnsi="Times New Roman" w:eastAsia="宋体" w:cs="Times New Roman"/>
                <w:color w:val="auto"/>
                <w:sz w:val="24"/>
                <w:szCs w:val="24"/>
                <w:vertAlign w:val="subscript"/>
                <w:lang w:val="en-US" w:eastAsia="zh-CN" w:bidi="ar-SA"/>
              </w:rPr>
              <w:t>p2</w:t>
            </w:r>
            <w:r>
              <w:rPr>
                <w:rFonts w:hint="default" w:ascii="Times New Roman" w:hAnsi="Times New Roman" w:eastAsia="宋体" w:cs="Times New Roman"/>
                <w:color w:val="auto"/>
                <w:sz w:val="24"/>
                <w:szCs w:val="24"/>
                <w:lang w:val="en-US" w:eastAsia="zh-CN" w:bidi="ar-SA"/>
              </w:rPr>
              <w:t>—距声源r</w:t>
            </w:r>
            <w:r>
              <w:rPr>
                <w:rFonts w:hint="default" w:ascii="Times New Roman" w:hAnsi="Times New Roman" w:eastAsia="宋体" w:cs="Times New Roman"/>
                <w:color w:val="auto"/>
                <w:sz w:val="24"/>
                <w:szCs w:val="24"/>
                <w:vertAlign w:val="subscript"/>
                <w:lang w:val="en-US" w:eastAsia="zh-CN" w:bidi="ar-SA"/>
              </w:rPr>
              <w:t>2</w:t>
            </w:r>
            <w:r>
              <w:rPr>
                <w:rFonts w:hint="default" w:ascii="Times New Roman" w:hAnsi="Times New Roman" w:eastAsia="宋体" w:cs="Times New Roman"/>
                <w:color w:val="auto"/>
                <w:sz w:val="24"/>
                <w:szCs w:val="24"/>
                <w:lang w:val="en-US" w:eastAsia="zh-CN" w:bidi="ar-SA"/>
              </w:rPr>
              <w:t>处的声压级dB（A）</w:t>
            </w:r>
            <w:r>
              <w:rPr>
                <w:rFonts w:hint="eastAsia" w:ascii="Times New Roman" w:hAnsi="Times New Roman" w:eastAsia="宋体" w:cs="Times New Roman"/>
                <w:color w:val="auto"/>
                <w:sz w:val="24"/>
                <w:szCs w:val="24"/>
                <w:lang w:val="en-US" w:eastAsia="zh-CN" w:bidi="ar-SA"/>
              </w:rPr>
              <w:t>。</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（2）</w:t>
            </w:r>
            <w:r>
              <w:rPr>
                <w:rFonts w:hint="default" w:ascii="Times New Roman" w:hAnsi="Times New Roman" w:cs="Times New Roman"/>
                <w:color w:val="auto"/>
                <w:sz w:val="24"/>
                <w:szCs w:val="24"/>
                <w:lang w:bidi="ar-SA"/>
              </w:rPr>
              <w:t>噪声级叠加公式</w:t>
            </w:r>
          </w:p>
          <w:p>
            <w:pPr>
              <w:spacing w:line="360" w:lineRule="auto"/>
              <w:ind w:firstLine="570"/>
              <w:jc w:val="center"/>
              <w:rPr>
                <w:rFonts w:hint="default"/>
                <w:color w:val="auto"/>
              </w:rPr>
            </w:pPr>
            <w:r>
              <w:rPr>
                <w:color w:val="auto"/>
              </w:rPr>
              <w:drawing>
                <wp:inline distT="0" distB="0" distL="114300" distR="114300">
                  <wp:extent cx="3095625" cy="532765"/>
                  <wp:effectExtent l="0" t="0" r="9525" b="635"/>
                  <wp:docPr id="51" name="图片 6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0" descr="6.png"/>
                          <pic:cNvPicPr>
                            <a:picLocks noChangeAspect="1"/>
                          </pic:cNvPicPr>
                        </pic:nvPicPr>
                        <pic:blipFill>
                          <a:blip r:embed="rId13"/>
                          <a:stretch>
                            <a:fillRect/>
                          </a:stretch>
                        </pic:blipFill>
                        <pic:spPr>
                          <a:xfrm>
                            <a:off x="0" y="0"/>
                            <a:ext cx="3095625" cy="532765"/>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式中：</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L</w:t>
            </w:r>
            <w:r>
              <w:rPr>
                <w:rFonts w:hint="default" w:ascii="Times New Roman" w:hAnsi="Times New Roman" w:eastAsia="宋体" w:cs="Times New Roman"/>
                <w:color w:val="auto"/>
                <w:sz w:val="24"/>
                <w:szCs w:val="24"/>
                <w:vertAlign w:val="subscript"/>
                <w:lang w:val="en-US" w:eastAsia="zh-CN" w:bidi="ar-SA"/>
              </w:rPr>
              <w:t>p</w:t>
            </w:r>
            <w:r>
              <w:rPr>
                <w:rFonts w:hint="default" w:ascii="Times New Roman" w:hAnsi="Times New Roman" w:eastAsia="宋体" w:cs="Times New Roman"/>
                <w:color w:val="auto"/>
                <w:sz w:val="24"/>
                <w:szCs w:val="24"/>
                <w:lang w:val="en-US" w:eastAsia="zh-CN" w:bidi="ar-SA"/>
              </w:rPr>
              <w:t>—某点叠加后的总声压级dB（A）</w:t>
            </w:r>
            <w:r>
              <w:rPr>
                <w:rFonts w:hint="eastAsia" w:ascii="Times New Roman" w:hAnsi="Times New Roman" w:eastAsia="宋体" w:cs="Times New Roman"/>
                <w:color w:val="auto"/>
                <w:sz w:val="24"/>
                <w:szCs w:val="24"/>
                <w:lang w:val="en-US" w:eastAsia="zh-CN" w:bidi="ar-SA"/>
              </w:rPr>
              <w:t>；</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L</w:t>
            </w:r>
            <w:r>
              <w:rPr>
                <w:rFonts w:hint="default" w:ascii="Times New Roman" w:hAnsi="Times New Roman" w:eastAsia="宋体" w:cs="Times New Roman"/>
                <w:color w:val="auto"/>
                <w:sz w:val="24"/>
                <w:szCs w:val="24"/>
                <w:vertAlign w:val="subscript"/>
                <w:lang w:val="en-US" w:eastAsia="zh-CN" w:bidi="ar-SA"/>
              </w:rPr>
              <w:t>p11</w:t>
            </w:r>
            <w:r>
              <w:rPr>
                <w:rFonts w:hint="default" w:ascii="Times New Roman" w:hAnsi="Times New Roman" w:eastAsia="宋体" w:cs="Times New Roman"/>
                <w:color w:val="auto"/>
                <w:sz w:val="24"/>
                <w:szCs w:val="24"/>
                <w:lang w:val="en-US" w:eastAsia="zh-CN" w:bidi="ar-SA"/>
              </w:rPr>
              <w:t>、L</w:t>
            </w:r>
            <w:r>
              <w:rPr>
                <w:rFonts w:hint="default" w:ascii="Times New Roman" w:hAnsi="Times New Roman" w:eastAsia="宋体" w:cs="Times New Roman"/>
                <w:color w:val="auto"/>
                <w:sz w:val="24"/>
                <w:szCs w:val="24"/>
                <w:vertAlign w:val="subscript"/>
                <w:lang w:val="en-US" w:eastAsia="zh-CN" w:bidi="ar-SA"/>
              </w:rPr>
              <w:t>p21</w:t>
            </w:r>
            <w:r>
              <w:rPr>
                <w:rFonts w:hint="default" w:ascii="Times New Roman" w:hAnsi="Times New Roman" w:eastAsia="宋体" w:cs="Times New Roman"/>
                <w:color w:val="auto"/>
                <w:sz w:val="24"/>
                <w:szCs w:val="24"/>
                <w:lang w:val="en-US" w:eastAsia="zh-CN" w:bidi="ar-SA"/>
              </w:rPr>
              <w:t>、L</w:t>
            </w:r>
            <w:r>
              <w:rPr>
                <w:rFonts w:hint="default" w:ascii="Times New Roman" w:hAnsi="Times New Roman" w:eastAsia="宋体" w:cs="Times New Roman"/>
                <w:color w:val="auto"/>
                <w:sz w:val="24"/>
                <w:szCs w:val="24"/>
                <w:vertAlign w:val="subscript"/>
                <w:lang w:val="en-US" w:eastAsia="zh-CN" w:bidi="ar-SA"/>
              </w:rPr>
              <w:t>pn1</w:t>
            </w:r>
            <w:r>
              <w:rPr>
                <w:rFonts w:hint="default" w:ascii="Times New Roman" w:hAnsi="Times New Roman" w:eastAsia="宋体" w:cs="Times New Roman"/>
                <w:color w:val="auto"/>
                <w:sz w:val="24"/>
                <w:szCs w:val="24"/>
                <w:lang w:val="en-US" w:eastAsia="zh-CN" w:bidi="ar-SA"/>
              </w:rPr>
              <w:t>为每个噪声源对该点的声压级dB（A）。</w:t>
            </w:r>
          </w:p>
          <w:p>
            <w:pPr>
              <w:spacing w:line="360" w:lineRule="auto"/>
              <w:rPr>
                <w:rFonts w:hint="default" w:ascii="Times New Roman" w:hAnsi="Times New Roman" w:eastAsia="Calibri" w:cs="Times New Roman"/>
                <w:color w:val="auto"/>
                <w:sz w:val="24"/>
                <w:szCs w:val="24"/>
                <w:lang w:val="en-US" w:eastAsia="zh-CN" w:bidi="ar-SA"/>
              </w:rPr>
            </w:pPr>
            <w:r>
              <w:rPr>
                <w:rFonts w:hint="default" w:ascii="Times New Roman" w:hAnsi="Times New Roman" w:eastAsia="Calibri" w:cs="Times New Roman"/>
                <w:color w:val="auto"/>
                <w:sz w:val="24"/>
                <w:szCs w:val="24"/>
                <w:lang w:val="en-US" w:eastAsia="zh-CN" w:bidi="ar-SA"/>
              </w:rPr>
              <w:t>3.2.</w:t>
            </w:r>
            <w:r>
              <w:rPr>
                <w:rFonts w:hint="eastAsia" w:ascii="Times New Roman" w:hAnsi="Times New Roman" w:eastAsia="Calibri" w:cs="Times New Roman"/>
                <w:color w:val="auto"/>
                <w:sz w:val="24"/>
                <w:szCs w:val="24"/>
                <w:lang w:val="en-US" w:eastAsia="zh-CN" w:bidi="ar-SA"/>
              </w:rPr>
              <w:t>3</w:t>
            </w:r>
            <w:r>
              <w:rPr>
                <w:rFonts w:hint="default" w:ascii="Times New Roman" w:hAnsi="Times New Roman" w:eastAsia="Calibri" w:cs="Times New Roman"/>
                <w:color w:val="auto"/>
                <w:sz w:val="24"/>
                <w:szCs w:val="24"/>
                <w:lang w:val="en-US" w:eastAsia="zh-CN" w:bidi="ar-SA"/>
              </w:rPr>
              <w:t>预测结果与评价</w:t>
            </w:r>
          </w:p>
          <w:p>
            <w:pPr>
              <w:spacing w:line="360" w:lineRule="auto"/>
              <w:ind w:firstLine="480" w:firstLineChars="200"/>
              <w:rPr>
                <w:rFonts w:hint="default" w:ascii="Times New Roman" w:hAnsi="Times New Roman" w:cs="Times New Roman"/>
                <w:color w:val="auto"/>
                <w:lang w:val="en-US" w:eastAsia="zh-CN" w:bidi="ar-SA"/>
              </w:rPr>
            </w:pPr>
            <w:r>
              <w:rPr>
                <w:rFonts w:hint="default" w:ascii="Times New Roman" w:hAnsi="Times New Roman" w:cs="Times New Roman"/>
                <w:color w:val="auto"/>
                <w:sz w:val="24"/>
                <w:szCs w:val="24"/>
                <w:lang w:val="en-US" w:eastAsia="zh-CN" w:bidi="ar-SA"/>
              </w:rPr>
              <w:t>选取建设工程主要噪声设备作为点源，对</w:t>
            </w:r>
            <w:r>
              <w:rPr>
                <w:rFonts w:hint="default" w:ascii="Times New Roman" w:hAnsi="Times New Roman" w:eastAsia="宋体" w:cs="Times New Roman"/>
                <w:color w:val="auto"/>
                <w:kern w:val="2"/>
                <w:sz w:val="24"/>
                <w:szCs w:val="24"/>
                <w:lang w:val="zh-CN" w:eastAsia="zh-CN" w:bidi="zh-CN"/>
              </w:rPr>
              <w:t>主要</w:t>
            </w:r>
            <w:r>
              <w:rPr>
                <w:rFonts w:hint="default" w:ascii="Times New Roman" w:hAnsi="Times New Roman" w:cs="Times New Roman"/>
                <w:color w:val="auto"/>
                <w:kern w:val="2"/>
                <w:sz w:val="24"/>
                <w:szCs w:val="24"/>
                <w:lang w:val="zh-CN" w:eastAsia="zh-CN" w:bidi="zh-CN"/>
              </w:rPr>
              <w:t>产噪设备分别做等效处理，项目区点声源情况如下表</w:t>
            </w:r>
            <w:r>
              <w:rPr>
                <w:rFonts w:hint="default" w:ascii="Times New Roman" w:hAnsi="Times New Roman" w:eastAsia="宋体" w:cs="Times New Roman"/>
                <w:color w:val="auto"/>
                <w:sz w:val="24"/>
                <w:lang w:val="en-US" w:eastAsia="zh-CN" w:bidi="ar"/>
              </w:rPr>
              <w:t>4-</w:t>
            </w:r>
            <w:r>
              <w:rPr>
                <w:rFonts w:hint="eastAsia" w:ascii="Times New Roman" w:hAnsi="Times New Roman" w:eastAsia="宋体" w:cs="Times New Roman"/>
                <w:color w:val="auto"/>
                <w:sz w:val="24"/>
                <w:lang w:val="en-US" w:eastAsia="zh-CN" w:bidi="ar"/>
              </w:rPr>
              <w:t>1</w:t>
            </w:r>
            <w:r>
              <w:rPr>
                <w:rFonts w:hint="eastAsia" w:cs="Times New Roman"/>
                <w:color w:val="auto"/>
                <w:sz w:val="24"/>
                <w:lang w:val="en-US" w:eastAsia="zh-CN" w:bidi="ar"/>
              </w:rPr>
              <w:t>2</w:t>
            </w:r>
            <w:r>
              <w:rPr>
                <w:rFonts w:hint="default" w:ascii="Times New Roman" w:hAnsi="Times New Roman" w:eastAsia="宋体" w:cs="Times New Roman"/>
                <w:color w:val="auto"/>
                <w:sz w:val="24"/>
                <w:lang w:bidi="ar"/>
              </w:rPr>
              <w:t>。</w:t>
            </w:r>
          </w:p>
          <w:p>
            <w:pPr>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表4-</w:t>
            </w:r>
            <w:r>
              <w:rPr>
                <w:rFonts w:hint="eastAsia" w:ascii="Times New Roman" w:hAnsi="Times New Roman" w:eastAsia="宋体" w:cs="Times New Roman"/>
                <w:b/>
                <w:bCs/>
                <w:color w:val="auto"/>
                <w:lang w:val="en-US" w:eastAsia="zh-CN" w:bidi="ar-SA"/>
              </w:rPr>
              <w:t>12</w:t>
            </w:r>
            <w:r>
              <w:rPr>
                <w:rFonts w:hint="default" w:ascii="Times New Roman" w:hAnsi="Times New Roman" w:eastAsia="宋体" w:cs="Times New Roman"/>
                <w:b/>
                <w:bCs/>
                <w:color w:val="auto"/>
                <w:lang w:val="en-US" w:eastAsia="zh-CN" w:bidi="ar-SA"/>
              </w:rPr>
              <w:t xml:space="preserve"> </w:t>
            </w:r>
            <w:r>
              <w:rPr>
                <w:rFonts w:hint="eastAsia" w:ascii="Times New Roman" w:hAnsi="Times New Roman" w:eastAsia="宋体" w:cs="Times New Roman"/>
                <w:b/>
                <w:bCs/>
                <w:color w:val="auto"/>
                <w:lang w:val="en-US" w:eastAsia="zh-CN" w:bidi="ar-SA"/>
              </w:rPr>
              <w:t xml:space="preserve"> </w:t>
            </w:r>
            <w:r>
              <w:rPr>
                <w:rFonts w:hint="default" w:ascii="Times New Roman" w:hAnsi="Times New Roman" w:cs="Times New Roman"/>
                <w:b/>
                <w:bCs/>
                <w:color w:val="auto"/>
                <w:lang w:eastAsia="zh-CN" w:bidi="ar-SA"/>
              </w:rPr>
              <w:t>噪声源及源强参数</w:t>
            </w:r>
            <w:r>
              <w:rPr>
                <w:rFonts w:hint="default" w:ascii="Times New Roman" w:hAnsi="Times New Roman" w:eastAsia="宋体" w:cs="Times New Roman"/>
                <w:b/>
                <w:color w:val="auto"/>
                <w:szCs w:val="21"/>
                <w:lang w:bidi="ar"/>
              </w:rPr>
              <w:t xml:space="preserve">  dB（A）</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0"/>
              <w:gridCol w:w="1718"/>
              <w:gridCol w:w="721"/>
              <w:gridCol w:w="1048"/>
              <w:gridCol w:w="1058"/>
              <w:gridCol w:w="808"/>
              <w:gridCol w:w="803"/>
              <w:gridCol w:w="739"/>
              <w:gridCol w:w="7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restart"/>
                  <w:noWrap w:val="0"/>
                  <w:vAlign w:val="center"/>
                </w:tcPr>
                <w:p>
                  <w:pPr>
                    <w:jc w:val="center"/>
                    <w:rPr>
                      <w:b/>
                      <w:bCs/>
                      <w:color w:val="auto"/>
                      <w:szCs w:val="21"/>
                    </w:rPr>
                  </w:pPr>
                  <w:r>
                    <w:rPr>
                      <w:b/>
                      <w:bCs/>
                      <w:color w:val="auto"/>
                      <w:szCs w:val="21"/>
                    </w:rPr>
                    <w:t>序号</w:t>
                  </w:r>
                </w:p>
              </w:tc>
              <w:tc>
                <w:tcPr>
                  <w:tcW w:w="1044" w:type="pct"/>
                  <w:vMerge w:val="restart"/>
                  <w:noWrap w:val="0"/>
                  <w:vAlign w:val="center"/>
                </w:tcPr>
                <w:p>
                  <w:pPr>
                    <w:jc w:val="center"/>
                    <w:rPr>
                      <w:b/>
                      <w:bCs/>
                      <w:color w:val="auto"/>
                      <w:szCs w:val="21"/>
                    </w:rPr>
                  </w:pPr>
                  <w:r>
                    <w:rPr>
                      <w:b/>
                      <w:bCs/>
                      <w:color w:val="auto"/>
                      <w:szCs w:val="21"/>
                    </w:rPr>
                    <w:t>噪声源</w:t>
                  </w:r>
                </w:p>
              </w:tc>
              <w:tc>
                <w:tcPr>
                  <w:tcW w:w="438" w:type="pct"/>
                  <w:vMerge w:val="restart"/>
                  <w:noWrap w:val="0"/>
                  <w:vAlign w:val="center"/>
                </w:tcPr>
                <w:p>
                  <w:pPr>
                    <w:jc w:val="center"/>
                    <w:rPr>
                      <w:b/>
                      <w:bCs/>
                      <w:color w:val="auto"/>
                      <w:szCs w:val="21"/>
                    </w:rPr>
                  </w:pPr>
                  <w:r>
                    <w:rPr>
                      <w:b/>
                      <w:bCs/>
                      <w:color w:val="auto"/>
                      <w:szCs w:val="21"/>
                    </w:rPr>
                    <w:t>数量</w:t>
                  </w:r>
                  <w:r>
                    <w:rPr>
                      <w:rFonts w:hint="eastAsia"/>
                      <w:b/>
                      <w:bCs/>
                      <w:color w:val="auto"/>
                      <w:szCs w:val="21"/>
                    </w:rPr>
                    <w:t>（台/套）</w:t>
                  </w:r>
                </w:p>
              </w:tc>
              <w:tc>
                <w:tcPr>
                  <w:tcW w:w="637" w:type="pct"/>
                  <w:vMerge w:val="restart"/>
                  <w:noWrap w:val="0"/>
                  <w:vAlign w:val="center"/>
                </w:tcPr>
                <w:p>
                  <w:pPr>
                    <w:jc w:val="center"/>
                    <w:rPr>
                      <w:b/>
                      <w:bCs/>
                      <w:color w:val="auto"/>
                      <w:szCs w:val="21"/>
                    </w:rPr>
                  </w:pPr>
                  <w:r>
                    <w:rPr>
                      <w:b/>
                      <w:bCs/>
                      <w:color w:val="auto"/>
                      <w:szCs w:val="21"/>
                    </w:rPr>
                    <w:t>噪声源源强</w:t>
                  </w:r>
                  <w:r>
                    <w:rPr>
                      <w:rFonts w:hint="eastAsia"/>
                      <w:b/>
                      <w:bCs/>
                      <w:color w:val="auto"/>
                      <w:szCs w:val="21"/>
                    </w:rPr>
                    <w:t>dB（A）</w:t>
                  </w:r>
                </w:p>
              </w:tc>
              <w:tc>
                <w:tcPr>
                  <w:tcW w:w="643" w:type="pct"/>
                  <w:vMerge w:val="restart"/>
                  <w:noWrap w:val="0"/>
                  <w:vAlign w:val="center"/>
                </w:tcPr>
                <w:p>
                  <w:pPr>
                    <w:jc w:val="center"/>
                    <w:rPr>
                      <w:b/>
                      <w:bCs/>
                      <w:color w:val="auto"/>
                      <w:szCs w:val="21"/>
                    </w:rPr>
                  </w:pPr>
                  <w:r>
                    <w:rPr>
                      <w:b/>
                      <w:bCs/>
                      <w:color w:val="auto"/>
                      <w:szCs w:val="21"/>
                    </w:rPr>
                    <w:t>采取措施后的源强</w:t>
                  </w:r>
                  <w:r>
                    <w:rPr>
                      <w:rFonts w:hint="eastAsia"/>
                      <w:b/>
                      <w:bCs/>
                      <w:color w:val="auto"/>
                      <w:szCs w:val="21"/>
                    </w:rPr>
                    <w:t>dB（A）</w:t>
                  </w:r>
                </w:p>
              </w:tc>
              <w:tc>
                <w:tcPr>
                  <w:tcW w:w="1895" w:type="pct"/>
                  <w:gridSpan w:val="4"/>
                  <w:noWrap w:val="0"/>
                  <w:vAlign w:val="center"/>
                </w:tcPr>
                <w:p>
                  <w:pPr>
                    <w:jc w:val="center"/>
                    <w:rPr>
                      <w:b/>
                      <w:bCs/>
                      <w:color w:val="auto"/>
                      <w:szCs w:val="21"/>
                    </w:rPr>
                  </w:pPr>
                  <w:r>
                    <w:rPr>
                      <w:b/>
                      <w:bCs/>
                      <w:color w:val="auto"/>
                    </w:rPr>
                    <w:t>与厂界外1m处预测点的距离（m）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0" w:type="pct"/>
                  <w:vMerge w:val="continue"/>
                  <w:tcBorders>
                    <w:bottom w:val="single" w:color="auto" w:sz="12" w:space="0"/>
                  </w:tcBorders>
                  <w:noWrap w:val="0"/>
                  <w:vAlign w:val="center"/>
                </w:tcPr>
                <w:p>
                  <w:pPr>
                    <w:jc w:val="center"/>
                    <w:rPr>
                      <w:b/>
                      <w:bCs/>
                      <w:color w:val="auto"/>
                      <w:szCs w:val="21"/>
                    </w:rPr>
                  </w:pPr>
                </w:p>
              </w:tc>
              <w:tc>
                <w:tcPr>
                  <w:tcW w:w="1044" w:type="pct"/>
                  <w:vMerge w:val="continue"/>
                  <w:tcBorders>
                    <w:bottom w:val="single" w:color="auto" w:sz="12" w:space="0"/>
                  </w:tcBorders>
                  <w:noWrap w:val="0"/>
                  <w:vAlign w:val="center"/>
                </w:tcPr>
                <w:p>
                  <w:pPr>
                    <w:jc w:val="center"/>
                    <w:rPr>
                      <w:b/>
                      <w:bCs/>
                      <w:color w:val="auto"/>
                      <w:szCs w:val="21"/>
                    </w:rPr>
                  </w:pPr>
                </w:p>
              </w:tc>
              <w:tc>
                <w:tcPr>
                  <w:tcW w:w="438" w:type="pct"/>
                  <w:vMerge w:val="continue"/>
                  <w:tcBorders>
                    <w:bottom w:val="single" w:color="auto" w:sz="12" w:space="0"/>
                  </w:tcBorders>
                  <w:noWrap w:val="0"/>
                  <w:vAlign w:val="center"/>
                </w:tcPr>
                <w:p>
                  <w:pPr>
                    <w:jc w:val="center"/>
                    <w:rPr>
                      <w:b/>
                      <w:bCs/>
                      <w:color w:val="auto"/>
                      <w:szCs w:val="21"/>
                    </w:rPr>
                  </w:pPr>
                </w:p>
              </w:tc>
              <w:tc>
                <w:tcPr>
                  <w:tcW w:w="637" w:type="pct"/>
                  <w:vMerge w:val="continue"/>
                  <w:tcBorders>
                    <w:bottom w:val="single" w:color="auto" w:sz="12" w:space="0"/>
                  </w:tcBorders>
                  <w:noWrap w:val="0"/>
                  <w:vAlign w:val="center"/>
                </w:tcPr>
                <w:p>
                  <w:pPr>
                    <w:jc w:val="center"/>
                    <w:rPr>
                      <w:b/>
                      <w:bCs/>
                      <w:color w:val="auto"/>
                      <w:szCs w:val="21"/>
                    </w:rPr>
                  </w:pPr>
                </w:p>
              </w:tc>
              <w:tc>
                <w:tcPr>
                  <w:tcW w:w="643" w:type="pct"/>
                  <w:vMerge w:val="continue"/>
                  <w:tcBorders>
                    <w:bottom w:val="single" w:color="auto" w:sz="12" w:space="0"/>
                  </w:tcBorders>
                  <w:noWrap w:val="0"/>
                  <w:vAlign w:val="center"/>
                </w:tcPr>
                <w:p>
                  <w:pPr>
                    <w:jc w:val="center"/>
                    <w:rPr>
                      <w:b/>
                      <w:bCs/>
                      <w:color w:val="auto"/>
                      <w:szCs w:val="21"/>
                    </w:rPr>
                  </w:pPr>
                </w:p>
              </w:tc>
              <w:tc>
                <w:tcPr>
                  <w:tcW w:w="491" w:type="pct"/>
                  <w:tcBorders>
                    <w:bottom w:val="single" w:color="auto" w:sz="12" w:space="0"/>
                  </w:tcBorders>
                  <w:noWrap w:val="0"/>
                  <w:vAlign w:val="center"/>
                </w:tcPr>
                <w:p>
                  <w:pPr>
                    <w:jc w:val="center"/>
                    <w:rPr>
                      <w:b/>
                      <w:bCs/>
                      <w:color w:val="auto"/>
                      <w:szCs w:val="21"/>
                    </w:rPr>
                  </w:pPr>
                  <w:r>
                    <w:rPr>
                      <w:b/>
                      <w:bCs/>
                      <w:color w:val="auto"/>
                      <w:szCs w:val="21"/>
                    </w:rPr>
                    <w:t>东</w:t>
                  </w:r>
                </w:p>
              </w:tc>
              <w:tc>
                <w:tcPr>
                  <w:tcW w:w="488" w:type="pct"/>
                  <w:tcBorders>
                    <w:bottom w:val="single" w:color="auto" w:sz="12" w:space="0"/>
                  </w:tcBorders>
                  <w:noWrap w:val="0"/>
                  <w:vAlign w:val="center"/>
                </w:tcPr>
                <w:p>
                  <w:pPr>
                    <w:jc w:val="center"/>
                    <w:rPr>
                      <w:b/>
                      <w:bCs/>
                      <w:color w:val="auto"/>
                      <w:szCs w:val="21"/>
                    </w:rPr>
                  </w:pPr>
                  <w:r>
                    <w:rPr>
                      <w:b/>
                      <w:bCs/>
                      <w:color w:val="auto"/>
                      <w:szCs w:val="21"/>
                    </w:rPr>
                    <w:t>南</w:t>
                  </w:r>
                </w:p>
              </w:tc>
              <w:tc>
                <w:tcPr>
                  <w:tcW w:w="449" w:type="pct"/>
                  <w:tcBorders>
                    <w:bottom w:val="single" w:color="auto" w:sz="12" w:space="0"/>
                  </w:tcBorders>
                  <w:noWrap w:val="0"/>
                  <w:vAlign w:val="center"/>
                </w:tcPr>
                <w:p>
                  <w:pPr>
                    <w:jc w:val="center"/>
                    <w:rPr>
                      <w:b/>
                      <w:bCs/>
                      <w:color w:val="auto"/>
                      <w:szCs w:val="21"/>
                    </w:rPr>
                  </w:pPr>
                  <w:r>
                    <w:rPr>
                      <w:b/>
                      <w:bCs/>
                      <w:color w:val="auto"/>
                      <w:szCs w:val="21"/>
                    </w:rPr>
                    <w:t>西</w:t>
                  </w:r>
                </w:p>
              </w:tc>
              <w:tc>
                <w:tcPr>
                  <w:tcW w:w="466" w:type="pct"/>
                  <w:tcBorders>
                    <w:bottom w:val="single" w:color="auto" w:sz="12" w:space="0"/>
                  </w:tcBorders>
                  <w:noWrap w:val="0"/>
                  <w:vAlign w:val="center"/>
                </w:tcPr>
                <w:p>
                  <w:pPr>
                    <w:jc w:val="center"/>
                    <w:rPr>
                      <w:b/>
                      <w:bCs/>
                      <w:color w:val="auto"/>
                      <w:szCs w:val="21"/>
                    </w:rPr>
                  </w:pPr>
                  <w:r>
                    <w:rPr>
                      <w:b/>
                      <w:bCs/>
                      <w:color w:val="auto"/>
                      <w:szCs w:val="21"/>
                    </w:rPr>
                    <w:t>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tcBorders>
                    <w:top w:val="single" w:color="auto" w:sz="12" w:space="0"/>
                  </w:tcBorders>
                  <w:noWrap w:val="0"/>
                  <w:vAlign w:val="center"/>
                </w:tcPr>
                <w:p>
                  <w:pPr>
                    <w:jc w:val="center"/>
                    <w:rPr>
                      <w:rFonts w:hint="default" w:ascii="Times New Roman" w:hAnsi="Times New Roman" w:eastAsia="宋体" w:cs="Times New Roman"/>
                      <w:color w:val="auto"/>
                      <w:lang w:val="en-US" w:eastAsia="zh-CN" w:bidi="ar-SA"/>
                    </w:rPr>
                  </w:pPr>
                  <w:r>
                    <w:rPr>
                      <w:color w:val="auto"/>
                      <w:szCs w:val="21"/>
                    </w:rPr>
                    <w:t>1</w:t>
                  </w:r>
                </w:p>
              </w:tc>
              <w:tc>
                <w:tcPr>
                  <w:tcW w:w="1718" w:type="dxa"/>
                  <w:tcBorders>
                    <w:top w:val="single" w:color="auto" w:sz="12" w:space="0"/>
                  </w:tcBorders>
                  <w:noWrap w:val="0"/>
                  <w:vAlign w:val="center"/>
                </w:tcPr>
                <w:p>
                  <w:pPr>
                    <w:jc w:val="center"/>
                    <w:rPr>
                      <w:rFonts w:hint="default" w:ascii="Times New Roman" w:hAnsi="Times New Roman" w:eastAsia="宋体" w:cs="Times New Roman"/>
                      <w:color w:val="auto"/>
                      <w:lang w:val="en-US" w:eastAsia="zh-CN" w:bidi="ar-SA"/>
                    </w:rPr>
                  </w:pPr>
                  <w:r>
                    <w:rPr>
                      <w:rFonts w:hint="default" w:ascii="Times New Roman" w:hAnsi="Times New Roman" w:eastAsia="宋体" w:cs="Times New Roman"/>
                      <w:color w:val="auto"/>
                      <w:sz w:val="21"/>
                      <w:szCs w:val="21"/>
                      <w:lang w:val="en-US" w:eastAsia="zh-CN"/>
                    </w:rPr>
                    <w:t>夹砂管道生产线</w:t>
                  </w:r>
                </w:p>
              </w:tc>
              <w:tc>
                <w:tcPr>
                  <w:tcW w:w="721" w:type="dxa"/>
                  <w:tcBorders>
                    <w:top w:val="single" w:color="auto" w:sz="12" w:space="0"/>
                  </w:tcBorders>
                  <w:noWrap w:val="0"/>
                  <w:vAlign w:val="center"/>
                </w:tcPr>
                <w:p>
                  <w:pPr>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sz w:val="21"/>
                      <w:szCs w:val="21"/>
                      <w:lang w:val="en-US" w:eastAsia="zh-CN"/>
                    </w:rPr>
                    <w:t>1</w:t>
                  </w:r>
                </w:p>
              </w:tc>
              <w:tc>
                <w:tcPr>
                  <w:tcW w:w="1048" w:type="dxa"/>
                  <w:tcBorders>
                    <w:top w:val="single" w:color="auto" w:sz="12" w:space="0"/>
                  </w:tcBorders>
                  <w:noWrap w:val="0"/>
                  <w:vAlign w:val="center"/>
                </w:tcPr>
                <w:p>
                  <w:pPr>
                    <w:jc w:val="center"/>
                    <w:rPr>
                      <w:rFonts w:hint="default" w:ascii="Times New Roman" w:hAnsi="Times New Roman" w:eastAsia="宋体" w:cs="Times New Roman"/>
                      <w:color w:val="auto"/>
                      <w:lang w:val="en-US" w:eastAsia="zh-CN" w:bidi="ar-SA"/>
                    </w:rPr>
                  </w:pPr>
                  <w:r>
                    <w:rPr>
                      <w:rFonts w:hint="eastAsia"/>
                      <w:color w:val="auto"/>
                      <w:szCs w:val="21"/>
                      <w:lang w:val="en-US" w:eastAsia="zh-CN"/>
                    </w:rPr>
                    <w:t>75</w:t>
                  </w:r>
                </w:p>
              </w:tc>
              <w:tc>
                <w:tcPr>
                  <w:tcW w:w="1058" w:type="dxa"/>
                  <w:tcBorders>
                    <w:top w:val="single" w:color="auto" w:sz="12"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w:t>
                  </w:r>
                </w:p>
              </w:tc>
              <w:tc>
                <w:tcPr>
                  <w:tcW w:w="491"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31</w:t>
                  </w:r>
                </w:p>
              </w:tc>
              <w:tc>
                <w:tcPr>
                  <w:tcW w:w="488"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12</w:t>
                  </w:r>
                </w:p>
              </w:tc>
              <w:tc>
                <w:tcPr>
                  <w:tcW w:w="449"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107</w:t>
                  </w:r>
                </w:p>
              </w:tc>
              <w:tc>
                <w:tcPr>
                  <w:tcW w:w="466"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noWrap w:val="0"/>
                  <w:vAlign w:val="center"/>
                </w:tcPr>
                <w:p>
                  <w:pPr>
                    <w:jc w:val="center"/>
                    <w:rPr>
                      <w:rFonts w:hint="default" w:ascii="Times New Roman" w:hAnsi="Times New Roman" w:eastAsia="宋体" w:cs="Times New Roman"/>
                      <w:color w:val="auto"/>
                      <w:lang w:val="en-US" w:eastAsia="zh-CN" w:bidi="ar-SA"/>
                    </w:rPr>
                  </w:pPr>
                  <w:r>
                    <w:rPr>
                      <w:color w:val="auto"/>
                      <w:szCs w:val="21"/>
                    </w:rPr>
                    <w:t>2</w:t>
                  </w:r>
                </w:p>
              </w:tc>
              <w:tc>
                <w:tcPr>
                  <w:tcW w:w="1718" w:type="dxa"/>
                  <w:noWrap w:val="0"/>
                  <w:vAlign w:val="center"/>
                </w:tcPr>
                <w:p>
                  <w:pPr>
                    <w:jc w:val="center"/>
                    <w:rPr>
                      <w:rFonts w:hint="default" w:ascii="Times New Roman" w:hAnsi="Times New Roman" w:eastAsia="宋体" w:cs="Times New Roman"/>
                      <w:color w:val="auto"/>
                      <w:lang w:val="en-US" w:eastAsia="zh-CN" w:bidi="ar-SA"/>
                    </w:rPr>
                  </w:pPr>
                  <w:r>
                    <w:rPr>
                      <w:rFonts w:hint="default" w:ascii="Times New Roman" w:hAnsi="Times New Roman" w:eastAsia="宋体" w:cs="Times New Roman"/>
                      <w:color w:val="auto"/>
                      <w:sz w:val="21"/>
                      <w:szCs w:val="21"/>
                      <w:lang w:val="en-US" w:eastAsia="zh-CN"/>
                    </w:rPr>
                    <w:t>微机控制缠绕机</w:t>
                  </w:r>
                </w:p>
              </w:tc>
              <w:tc>
                <w:tcPr>
                  <w:tcW w:w="721" w:type="dxa"/>
                  <w:noWrap w:val="0"/>
                  <w:vAlign w:val="center"/>
                </w:tcPr>
                <w:p>
                  <w:pPr>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sz w:val="21"/>
                      <w:szCs w:val="21"/>
                      <w:lang w:val="en-US" w:eastAsia="zh-CN"/>
                    </w:rPr>
                    <w:t>1</w:t>
                  </w:r>
                </w:p>
              </w:tc>
              <w:tc>
                <w:tcPr>
                  <w:tcW w:w="1048" w:type="dxa"/>
                  <w:noWrap w:val="0"/>
                  <w:vAlign w:val="center"/>
                </w:tcPr>
                <w:p>
                  <w:pPr>
                    <w:jc w:val="center"/>
                    <w:rPr>
                      <w:rFonts w:hint="default" w:ascii="Times New Roman" w:hAnsi="Times New Roman" w:eastAsia="宋体" w:cs="Times New Roman"/>
                      <w:color w:val="auto"/>
                      <w:lang w:val="en-US" w:eastAsia="zh-CN" w:bidi="ar-SA"/>
                    </w:rPr>
                  </w:pPr>
                  <w:r>
                    <w:rPr>
                      <w:rFonts w:hint="eastAsia"/>
                      <w:color w:val="auto"/>
                      <w:szCs w:val="21"/>
                      <w:lang w:val="en-US" w:eastAsia="zh-CN"/>
                    </w:rPr>
                    <w:t>85</w:t>
                  </w:r>
                </w:p>
              </w:tc>
              <w:tc>
                <w:tcPr>
                  <w:tcW w:w="1058"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35</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12</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102</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noWrap w:val="0"/>
                  <w:vAlign w:val="center"/>
                </w:tcPr>
                <w:p>
                  <w:pPr>
                    <w:jc w:val="center"/>
                    <w:rPr>
                      <w:rFonts w:hint="default" w:ascii="Times New Roman" w:hAnsi="Times New Roman" w:eastAsia="宋体" w:cs="Times New Roman"/>
                      <w:color w:val="auto"/>
                      <w:lang w:val="en-US" w:eastAsia="zh-CN" w:bidi="ar-SA"/>
                    </w:rPr>
                  </w:pPr>
                  <w:r>
                    <w:rPr>
                      <w:color w:val="auto"/>
                      <w:szCs w:val="21"/>
                    </w:rPr>
                    <w:t>3</w:t>
                  </w:r>
                </w:p>
              </w:tc>
              <w:tc>
                <w:tcPr>
                  <w:tcW w:w="1718" w:type="dxa"/>
                  <w:noWrap w:val="0"/>
                  <w:vAlign w:val="center"/>
                </w:tcPr>
                <w:p>
                  <w:pPr>
                    <w:jc w:val="center"/>
                    <w:rPr>
                      <w:rFonts w:hint="default" w:ascii="Times New Roman" w:hAnsi="Times New Roman" w:eastAsia="宋体" w:cs="Times New Roman"/>
                      <w:color w:val="auto"/>
                      <w:lang w:val="en-US" w:eastAsia="zh-CN" w:bidi="ar-SA"/>
                    </w:rPr>
                  </w:pPr>
                  <w:r>
                    <w:rPr>
                      <w:rFonts w:hint="default" w:ascii="Times New Roman" w:hAnsi="Times New Roman" w:eastAsia="宋体" w:cs="Times New Roman"/>
                      <w:color w:val="auto"/>
                      <w:sz w:val="21"/>
                      <w:szCs w:val="21"/>
                      <w:lang w:val="en-US" w:eastAsia="zh-CN"/>
                    </w:rPr>
                    <w:t>微机控制缠绕机</w:t>
                  </w:r>
                </w:p>
              </w:tc>
              <w:tc>
                <w:tcPr>
                  <w:tcW w:w="721" w:type="dxa"/>
                  <w:noWrap w:val="0"/>
                  <w:vAlign w:val="center"/>
                </w:tcPr>
                <w:p>
                  <w:pPr>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sz w:val="21"/>
                      <w:szCs w:val="21"/>
                      <w:lang w:val="en-US" w:eastAsia="zh-CN"/>
                    </w:rPr>
                    <w:t>1</w:t>
                  </w:r>
                </w:p>
              </w:tc>
              <w:tc>
                <w:tcPr>
                  <w:tcW w:w="1048" w:type="dxa"/>
                  <w:noWrap w:val="0"/>
                  <w:vAlign w:val="center"/>
                </w:tcPr>
                <w:p>
                  <w:pPr>
                    <w:jc w:val="center"/>
                    <w:rPr>
                      <w:rFonts w:hint="default" w:ascii="Times New Roman" w:hAnsi="Times New Roman" w:eastAsia="宋体" w:cs="Times New Roman"/>
                      <w:color w:val="auto"/>
                      <w:lang w:val="en-US" w:eastAsia="zh-CN" w:bidi="ar-SA"/>
                    </w:rPr>
                  </w:pPr>
                  <w:r>
                    <w:rPr>
                      <w:rFonts w:hint="eastAsia"/>
                      <w:color w:val="auto"/>
                      <w:szCs w:val="21"/>
                      <w:lang w:val="en-US" w:eastAsia="zh-CN"/>
                    </w:rPr>
                    <w:t>85</w:t>
                  </w:r>
                </w:p>
              </w:tc>
              <w:tc>
                <w:tcPr>
                  <w:tcW w:w="1058"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33</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26</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84</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noWrap w:val="0"/>
                  <w:vAlign w:val="center"/>
                </w:tcPr>
                <w:p>
                  <w:pPr>
                    <w:jc w:val="center"/>
                    <w:rPr>
                      <w:rFonts w:hint="default" w:ascii="Times New Roman" w:hAnsi="Times New Roman" w:eastAsia="宋体" w:cs="Times New Roman"/>
                      <w:color w:val="auto"/>
                      <w:lang w:val="en-US" w:eastAsia="zh-CN" w:bidi="ar-SA"/>
                    </w:rPr>
                  </w:pPr>
                  <w:r>
                    <w:rPr>
                      <w:color w:val="auto"/>
                      <w:szCs w:val="21"/>
                    </w:rPr>
                    <w:t>4</w:t>
                  </w:r>
                </w:p>
              </w:tc>
              <w:tc>
                <w:tcPr>
                  <w:tcW w:w="1718" w:type="dxa"/>
                  <w:noWrap w:val="0"/>
                  <w:vAlign w:val="center"/>
                </w:tcPr>
                <w:p>
                  <w:pPr>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sz w:val="21"/>
                      <w:szCs w:val="21"/>
                      <w:lang w:val="en-US" w:eastAsia="zh-CN"/>
                    </w:rPr>
                    <w:t>固化台</w:t>
                  </w:r>
                </w:p>
              </w:tc>
              <w:tc>
                <w:tcPr>
                  <w:tcW w:w="721" w:type="dxa"/>
                  <w:noWrap w:val="0"/>
                  <w:vAlign w:val="center"/>
                </w:tcPr>
                <w:p>
                  <w:pPr>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sz w:val="21"/>
                      <w:szCs w:val="21"/>
                      <w:lang w:val="en-US" w:eastAsia="zh-CN"/>
                    </w:rPr>
                    <w:t>4</w:t>
                  </w:r>
                </w:p>
              </w:tc>
              <w:tc>
                <w:tcPr>
                  <w:tcW w:w="1048" w:type="dxa"/>
                  <w:noWrap w:val="0"/>
                  <w:vAlign w:val="center"/>
                </w:tcPr>
                <w:p>
                  <w:pPr>
                    <w:jc w:val="center"/>
                    <w:rPr>
                      <w:rFonts w:hint="default" w:ascii="Times New Roman" w:hAnsi="Times New Roman" w:eastAsia="宋体" w:cs="Times New Roman"/>
                      <w:color w:val="auto"/>
                      <w:lang w:val="en-US" w:eastAsia="zh-CN" w:bidi="ar-SA"/>
                    </w:rPr>
                  </w:pPr>
                  <w:r>
                    <w:rPr>
                      <w:rFonts w:hint="eastAsia"/>
                      <w:color w:val="auto"/>
                      <w:szCs w:val="21"/>
                      <w:lang w:val="en-US" w:eastAsia="zh-CN"/>
                    </w:rPr>
                    <w:t>75</w:t>
                  </w:r>
                </w:p>
              </w:tc>
              <w:tc>
                <w:tcPr>
                  <w:tcW w:w="1058"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34</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12</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103</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noWrap w:val="0"/>
                  <w:vAlign w:val="center"/>
                </w:tcPr>
                <w:p>
                  <w:pPr>
                    <w:jc w:val="center"/>
                    <w:rPr>
                      <w:rFonts w:hint="default" w:ascii="Times New Roman" w:hAnsi="Times New Roman" w:eastAsia="宋体" w:cs="Times New Roman"/>
                      <w:color w:val="auto"/>
                      <w:lang w:val="en-US" w:eastAsia="zh-CN" w:bidi="ar-SA"/>
                    </w:rPr>
                  </w:pPr>
                  <w:r>
                    <w:rPr>
                      <w:color w:val="auto"/>
                      <w:szCs w:val="21"/>
                    </w:rPr>
                    <w:t>5</w:t>
                  </w:r>
                </w:p>
              </w:tc>
              <w:tc>
                <w:tcPr>
                  <w:tcW w:w="1718" w:type="dxa"/>
                  <w:noWrap w:val="0"/>
                  <w:vAlign w:val="center"/>
                </w:tcPr>
                <w:p>
                  <w:pPr>
                    <w:jc w:val="center"/>
                    <w:rPr>
                      <w:rFonts w:hint="default" w:ascii="Times New Roman" w:hAnsi="Times New Roman" w:eastAsia="宋体" w:cs="Times New Roman"/>
                      <w:color w:val="auto"/>
                      <w:lang w:val="en-US" w:eastAsia="zh-CN" w:bidi="ar-SA"/>
                    </w:rPr>
                  </w:pPr>
                  <w:r>
                    <w:rPr>
                      <w:rFonts w:hint="default" w:ascii="Times New Roman" w:hAnsi="Times New Roman" w:eastAsia="宋体" w:cs="Times New Roman"/>
                      <w:color w:val="auto"/>
                      <w:sz w:val="21"/>
                      <w:szCs w:val="21"/>
                      <w:lang w:val="en-US" w:eastAsia="zh-CN"/>
                    </w:rPr>
                    <w:t>内衬成型机</w:t>
                  </w:r>
                </w:p>
              </w:tc>
              <w:tc>
                <w:tcPr>
                  <w:tcW w:w="721" w:type="dxa"/>
                  <w:noWrap w:val="0"/>
                  <w:vAlign w:val="center"/>
                </w:tcPr>
                <w:p>
                  <w:pPr>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sz w:val="21"/>
                      <w:szCs w:val="21"/>
                      <w:lang w:val="en-US" w:eastAsia="zh-CN"/>
                    </w:rPr>
                    <w:t>3</w:t>
                  </w:r>
                </w:p>
              </w:tc>
              <w:tc>
                <w:tcPr>
                  <w:tcW w:w="1048" w:type="dxa"/>
                  <w:noWrap w:val="0"/>
                  <w:vAlign w:val="center"/>
                </w:tcPr>
                <w:p>
                  <w:pPr>
                    <w:jc w:val="center"/>
                    <w:rPr>
                      <w:rFonts w:hint="default" w:ascii="Times New Roman" w:hAnsi="Times New Roman" w:eastAsia="宋体" w:cs="Times New Roman"/>
                      <w:color w:val="auto"/>
                      <w:lang w:val="en-US" w:eastAsia="zh-CN" w:bidi="ar-SA"/>
                    </w:rPr>
                  </w:pPr>
                  <w:r>
                    <w:rPr>
                      <w:rFonts w:hint="eastAsia"/>
                      <w:color w:val="auto"/>
                      <w:szCs w:val="21"/>
                      <w:lang w:val="en-US" w:eastAsia="zh-CN"/>
                    </w:rPr>
                    <w:t>80</w:t>
                  </w:r>
                </w:p>
              </w:tc>
              <w:tc>
                <w:tcPr>
                  <w:tcW w:w="1058"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20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13</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117</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noWrap w:val="0"/>
                  <w:vAlign w:val="center"/>
                </w:tcPr>
                <w:p>
                  <w:pPr>
                    <w:jc w:val="center"/>
                    <w:rPr>
                      <w:rFonts w:hint="eastAsia" w:ascii="Times New Roman" w:hAnsi="Times New Roman" w:eastAsia="宋体" w:cs="Times New Roman"/>
                      <w:color w:val="auto"/>
                      <w:lang w:val="en-US" w:eastAsia="zh-CN" w:bidi="ar-SA"/>
                    </w:rPr>
                  </w:pPr>
                  <w:r>
                    <w:rPr>
                      <w:rFonts w:hint="eastAsia"/>
                      <w:color w:val="auto"/>
                      <w:szCs w:val="21"/>
                      <w:lang w:val="en-US" w:eastAsia="zh-CN"/>
                    </w:rPr>
                    <w:t>6</w:t>
                  </w:r>
                </w:p>
              </w:tc>
              <w:tc>
                <w:tcPr>
                  <w:tcW w:w="1718" w:type="dxa"/>
                  <w:noWrap w:val="0"/>
                  <w:vAlign w:val="center"/>
                </w:tcPr>
                <w:p>
                  <w:pPr>
                    <w:jc w:val="center"/>
                    <w:rPr>
                      <w:rFonts w:hint="eastAsia" w:ascii="Times New Roman" w:hAnsi="Times New Roman" w:eastAsia="宋体" w:cs="Times New Roman"/>
                      <w:color w:val="auto"/>
                      <w:lang w:val="en-US" w:eastAsia="zh-CN" w:bidi="ar-SA"/>
                    </w:rPr>
                  </w:pPr>
                  <w:r>
                    <w:rPr>
                      <w:rFonts w:hint="default" w:ascii="Times New Roman" w:hAnsi="Times New Roman" w:eastAsia="宋体" w:cs="Times New Roman"/>
                      <w:color w:val="auto"/>
                      <w:sz w:val="21"/>
                      <w:szCs w:val="21"/>
                      <w:lang w:val="en-US" w:eastAsia="zh-CN"/>
                    </w:rPr>
                    <w:t>空压机</w:t>
                  </w:r>
                </w:p>
              </w:tc>
              <w:tc>
                <w:tcPr>
                  <w:tcW w:w="721" w:type="dxa"/>
                  <w:noWrap w:val="0"/>
                  <w:vAlign w:val="center"/>
                </w:tcPr>
                <w:p>
                  <w:pPr>
                    <w:jc w:val="center"/>
                    <w:rPr>
                      <w:rFonts w:hint="eastAsia" w:ascii="Times New Roman" w:hAnsi="Times New Roman" w:eastAsia="宋体" w:cs="Times New Roman"/>
                      <w:color w:val="auto"/>
                      <w:lang w:val="en-US" w:eastAsia="zh-CN" w:bidi="ar-SA"/>
                    </w:rPr>
                  </w:pPr>
                  <w:r>
                    <w:rPr>
                      <w:rFonts w:hint="default" w:ascii="Times New Roman" w:hAnsi="Times New Roman" w:eastAsia="宋体" w:cs="Times New Roman"/>
                      <w:color w:val="auto"/>
                      <w:sz w:val="21"/>
                      <w:szCs w:val="21"/>
                      <w:lang w:val="en-US" w:eastAsia="zh-CN"/>
                    </w:rPr>
                    <w:t>2</w:t>
                  </w:r>
                </w:p>
              </w:tc>
              <w:tc>
                <w:tcPr>
                  <w:tcW w:w="1048" w:type="dxa"/>
                  <w:noWrap w:val="0"/>
                  <w:vAlign w:val="center"/>
                </w:tcPr>
                <w:p>
                  <w:pPr>
                    <w:jc w:val="center"/>
                    <w:rPr>
                      <w:rFonts w:hint="default" w:ascii="Times New Roman" w:hAnsi="Times New Roman" w:eastAsia="宋体" w:cs="Times New Roman"/>
                      <w:color w:val="auto"/>
                      <w:lang w:val="en-US" w:eastAsia="zh-CN" w:bidi="ar-SA"/>
                    </w:rPr>
                  </w:pPr>
                  <w:r>
                    <w:rPr>
                      <w:rFonts w:hint="eastAsia"/>
                      <w:color w:val="auto"/>
                      <w:szCs w:val="21"/>
                      <w:lang w:val="en-US" w:eastAsia="zh-CN"/>
                    </w:rPr>
                    <w:t>80</w:t>
                  </w:r>
                </w:p>
              </w:tc>
              <w:tc>
                <w:tcPr>
                  <w:tcW w:w="1058"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63</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20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15</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117</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noWrap w:val="0"/>
                  <w:vAlign w:val="center"/>
                </w:tcPr>
                <w:p>
                  <w:pPr>
                    <w:jc w:val="center"/>
                    <w:rPr>
                      <w:rFonts w:hint="eastAsia" w:ascii="Times New Roman" w:hAnsi="Times New Roman" w:eastAsia="宋体" w:cs="Times New Roman"/>
                      <w:color w:val="auto"/>
                      <w:lang w:val="en-US" w:eastAsia="zh-CN" w:bidi="ar-SA"/>
                    </w:rPr>
                  </w:pPr>
                  <w:r>
                    <w:rPr>
                      <w:rFonts w:hint="eastAsia"/>
                      <w:color w:val="auto"/>
                      <w:szCs w:val="21"/>
                      <w:lang w:val="en-US" w:eastAsia="zh-CN"/>
                    </w:rPr>
                    <w:t>7</w:t>
                  </w:r>
                </w:p>
              </w:tc>
              <w:tc>
                <w:tcPr>
                  <w:tcW w:w="1718" w:type="dxa"/>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空压机</w:t>
                  </w:r>
                </w:p>
              </w:tc>
              <w:tc>
                <w:tcPr>
                  <w:tcW w:w="721" w:type="dxa"/>
                  <w:noWrap w:val="0"/>
                  <w:vAlign w:val="center"/>
                </w:tcPr>
                <w:p>
                  <w:pPr>
                    <w:jc w:val="center"/>
                    <w:rPr>
                      <w:rFonts w:hint="eastAsia"/>
                      <w:color w:val="auto"/>
                      <w:szCs w:val="21"/>
                      <w:lang w:val="en-US" w:eastAsia="zh-CN"/>
                    </w:rPr>
                  </w:pPr>
                  <w:r>
                    <w:rPr>
                      <w:rFonts w:hint="default" w:ascii="Times New Roman" w:hAnsi="Times New Roman" w:eastAsia="宋体" w:cs="Times New Roman"/>
                      <w:color w:val="auto"/>
                      <w:sz w:val="21"/>
                      <w:szCs w:val="21"/>
                      <w:lang w:val="en-US" w:eastAsia="zh-CN"/>
                    </w:rPr>
                    <w:t>2</w:t>
                  </w:r>
                </w:p>
              </w:tc>
              <w:tc>
                <w:tcPr>
                  <w:tcW w:w="1048" w:type="dxa"/>
                  <w:noWrap w:val="0"/>
                  <w:vAlign w:val="center"/>
                </w:tcPr>
                <w:p>
                  <w:pPr>
                    <w:jc w:val="center"/>
                    <w:rPr>
                      <w:rFonts w:hint="eastAsia" w:eastAsia="宋体"/>
                      <w:color w:val="auto"/>
                      <w:szCs w:val="21"/>
                      <w:lang w:val="en-US" w:eastAsia="zh-CN"/>
                    </w:rPr>
                  </w:pPr>
                  <w:r>
                    <w:rPr>
                      <w:rFonts w:hint="eastAsia"/>
                      <w:color w:val="auto"/>
                      <w:szCs w:val="21"/>
                      <w:lang w:val="en-US" w:eastAsia="zh-CN"/>
                    </w:rPr>
                    <w:t>80</w:t>
                  </w:r>
                </w:p>
              </w:tc>
              <w:tc>
                <w:tcPr>
                  <w:tcW w:w="105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63</w:t>
                  </w:r>
                </w:p>
              </w:tc>
              <w:tc>
                <w:tcPr>
                  <w:tcW w:w="80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20</w:t>
                  </w:r>
                </w:p>
              </w:tc>
              <w:tc>
                <w:tcPr>
                  <w:tcW w:w="80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15</w:t>
                  </w:r>
                </w:p>
              </w:tc>
              <w:tc>
                <w:tcPr>
                  <w:tcW w:w="73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117</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noWrap w:val="0"/>
                  <w:vAlign w:val="center"/>
                </w:tcPr>
                <w:p>
                  <w:pPr>
                    <w:jc w:val="center"/>
                    <w:rPr>
                      <w:rFonts w:hint="eastAsia" w:ascii="Times New Roman" w:hAnsi="Times New Roman" w:eastAsia="宋体" w:cs="Times New Roman"/>
                      <w:color w:val="auto"/>
                      <w:lang w:val="en-US" w:eastAsia="zh-CN" w:bidi="ar-SA"/>
                    </w:rPr>
                  </w:pPr>
                  <w:r>
                    <w:rPr>
                      <w:rFonts w:hint="eastAsia"/>
                      <w:color w:val="auto"/>
                      <w:szCs w:val="21"/>
                      <w:lang w:val="en-US" w:eastAsia="zh-CN"/>
                    </w:rPr>
                    <w:t>8</w:t>
                  </w:r>
                </w:p>
              </w:tc>
              <w:tc>
                <w:tcPr>
                  <w:tcW w:w="1718" w:type="dxa"/>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T30无油空气压缩机</w:t>
                  </w:r>
                </w:p>
              </w:tc>
              <w:tc>
                <w:tcPr>
                  <w:tcW w:w="721" w:type="dxa"/>
                  <w:noWrap w:val="0"/>
                  <w:vAlign w:val="center"/>
                </w:tcPr>
                <w:p>
                  <w:pPr>
                    <w:jc w:val="center"/>
                    <w:rPr>
                      <w:rFonts w:hint="eastAsia"/>
                      <w:color w:val="auto"/>
                      <w:szCs w:val="21"/>
                      <w:lang w:val="en-US" w:eastAsia="zh-CN"/>
                    </w:rPr>
                  </w:pPr>
                  <w:r>
                    <w:rPr>
                      <w:rFonts w:hint="default" w:ascii="Times New Roman" w:hAnsi="Times New Roman" w:eastAsia="宋体" w:cs="Times New Roman"/>
                      <w:color w:val="auto"/>
                      <w:sz w:val="21"/>
                      <w:szCs w:val="21"/>
                      <w:lang w:val="en-US" w:eastAsia="zh-CN"/>
                    </w:rPr>
                    <w:t>2</w:t>
                  </w:r>
                </w:p>
              </w:tc>
              <w:tc>
                <w:tcPr>
                  <w:tcW w:w="1048" w:type="dxa"/>
                  <w:noWrap w:val="0"/>
                  <w:vAlign w:val="center"/>
                </w:tcPr>
                <w:p>
                  <w:pPr>
                    <w:jc w:val="center"/>
                    <w:rPr>
                      <w:rFonts w:hint="eastAsia" w:eastAsia="宋体"/>
                      <w:color w:val="auto"/>
                      <w:szCs w:val="21"/>
                      <w:lang w:val="en-US" w:eastAsia="zh-CN"/>
                    </w:rPr>
                  </w:pPr>
                  <w:r>
                    <w:rPr>
                      <w:rFonts w:hint="eastAsia"/>
                      <w:color w:val="auto"/>
                      <w:szCs w:val="21"/>
                      <w:lang w:val="en-US" w:eastAsia="zh-CN"/>
                    </w:rPr>
                    <w:t>70</w:t>
                  </w:r>
                </w:p>
              </w:tc>
              <w:tc>
                <w:tcPr>
                  <w:tcW w:w="105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22</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14</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115</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noWrap w:val="0"/>
                  <w:vAlign w:val="center"/>
                </w:tcPr>
                <w:p>
                  <w:pPr>
                    <w:jc w:val="center"/>
                    <w:rPr>
                      <w:rFonts w:hint="eastAsia" w:ascii="Times New Roman" w:hAnsi="Times New Roman" w:eastAsia="宋体" w:cs="Times New Roman"/>
                      <w:color w:val="auto"/>
                      <w:lang w:val="en-US" w:eastAsia="zh-CN" w:bidi="ar-SA"/>
                    </w:rPr>
                  </w:pPr>
                  <w:r>
                    <w:rPr>
                      <w:rFonts w:hint="eastAsia"/>
                      <w:color w:val="auto"/>
                      <w:szCs w:val="21"/>
                      <w:lang w:val="en-US" w:eastAsia="zh-CN"/>
                    </w:rPr>
                    <w:t>9</w:t>
                  </w:r>
                </w:p>
              </w:tc>
              <w:tc>
                <w:tcPr>
                  <w:tcW w:w="1718" w:type="dxa"/>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电动单梁起重机</w:t>
                  </w:r>
                </w:p>
              </w:tc>
              <w:tc>
                <w:tcPr>
                  <w:tcW w:w="721" w:type="dxa"/>
                  <w:noWrap w:val="0"/>
                  <w:vAlign w:val="center"/>
                </w:tcPr>
                <w:p>
                  <w:pPr>
                    <w:jc w:val="center"/>
                    <w:rPr>
                      <w:rFonts w:hint="eastAsia"/>
                      <w:color w:val="auto"/>
                      <w:szCs w:val="21"/>
                      <w:lang w:val="en-US" w:eastAsia="zh-CN"/>
                    </w:rPr>
                  </w:pPr>
                  <w:r>
                    <w:rPr>
                      <w:rFonts w:hint="eastAsia" w:ascii="Times New Roman" w:hAnsi="Times New Roman" w:eastAsia="宋体" w:cs="Times New Roman"/>
                      <w:color w:val="auto"/>
                      <w:sz w:val="21"/>
                      <w:szCs w:val="21"/>
                      <w:lang w:val="en-US" w:eastAsia="zh-CN"/>
                    </w:rPr>
                    <w:t>6</w:t>
                  </w:r>
                </w:p>
              </w:tc>
              <w:tc>
                <w:tcPr>
                  <w:tcW w:w="1048" w:type="dxa"/>
                  <w:noWrap w:val="0"/>
                  <w:vAlign w:val="center"/>
                </w:tcPr>
                <w:p>
                  <w:pPr>
                    <w:jc w:val="center"/>
                    <w:rPr>
                      <w:rFonts w:hint="eastAsia" w:eastAsia="宋体"/>
                      <w:color w:val="auto"/>
                      <w:szCs w:val="21"/>
                      <w:lang w:val="en-US" w:eastAsia="zh-CN"/>
                    </w:rPr>
                  </w:pPr>
                  <w:r>
                    <w:rPr>
                      <w:rFonts w:hint="eastAsia"/>
                      <w:color w:val="auto"/>
                      <w:szCs w:val="21"/>
                      <w:lang w:val="en-US" w:eastAsia="zh-CN"/>
                    </w:rPr>
                    <w:t>80</w:t>
                  </w:r>
                </w:p>
              </w:tc>
              <w:tc>
                <w:tcPr>
                  <w:tcW w:w="105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41</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33</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69</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noWrap w:val="0"/>
                  <w:vAlign w:val="center"/>
                </w:tcPr>
                <w:p>
                  <w:pPr>
                    <w:jc w:val="center"/>
                    <w:rPr>
                      <w:rFonts w:hint="eastAsia" w:ascii="Times New Roman" w:hAnsi="Times New Roman" w:eastAsia="宋体" w:cs="Times New Roman"/>
                      <w:color w:val="auto"/>
                      <w:lang w:val="en-US" w:eastAsia="zh-CN" w:bidi="ar-SA"/>
                    </w:rPr>
                  </w:pPr>
                  <w:r>
                    <w:rPr>
                      <w:rFonts w:hint="eastAsia"/>
                      <w:color w:val="auto"/>
                      <w:szCs w:val="21"/>
                      <w:lang w:val="en-US" w:eastAsia="zh-CN"/>
                    </w:rPr>
                    <w:t>10</w:t>
                  </w:r>
                </w:p>
              </w:tc>
              <w:tc>
                <w:tcPr>
                  <w:tcW w:w="1718" w:type="dxa"/>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双体搅拌罐</w:t>
                  </w:r>
                </w:p>
              </w:tc>
              <w:tc>
                <w:tcPr>
                  <w:tcW w:w="721" w:type="dxa"/>
                  <w:noWrap w:val="0"/>
                  <w:vAlign w:val="center"/>
                </w:tcPr>
                <w:p>
                  <w:pPr>
                    <w:jc w:val="center"/>
                    <w:rPr>
                      <w:rFonts w:hint="eastAsia"/>
                      <w:color w:val="auto"/>
                      <w:szCs w:val="21"/>
                      <w:lang w:val="en-US" w:eastAsia="zh-CN"/>
                    </w:rPr>
                  </w:pPr>
                  <w:r>
                    <w:rPr>
                      <w:rFonts w:hint="eastAsia" w:ascii="Times New Roman" w:hAnsi="Times New Roman" w:eastAsia="宋体" w:cs="Times New Roman"/>
                      <w:color w:val="auto"/>
                      <w:sz w:val="21"/>
                      <w:szCs w:val="21"/>
                      <w:lang w:val="en-US" w:eastAsia="zh-CN"/>
                    </w:rPr>
                    <w:t>4</w:t>
                  </w:r>
                </w:p>
              </w:tc>
              <w:tc>
                <w:tcPr>
                  <w:tcW w:w="1048" w:type="dxa"/>
                  <w:noWrap w:val="0"/>
                  <w:vAlign w:val="center"/>
                </w:tcPr>
                <w:p>
                  <w:pPr>
                    <w:jc w:val="center"/>
                    <w:rPr>
                      <w:rFonts w:hint="eastAsia" w:eastAsia="宋体"/>
                      <w:color w:val="auto"/>
                      <w:szCs w:val="21"/>
                      <w:lang w:val="en-US" w:eastAsia="zh-CN"/>
                    </w:rPr>
                  </w:pPr>
                  <w:r>
                    <w:rPr>
                      <w:rFonts w:hint="eastAsia"/>
                      <w:color w:val="auto"/>
                      <w:szCs w:val="21"/>
                      <w:lang w:val="en-US" w:eastAsia="zh-CN"/>
                    </w:rPr>
                    <w:t>80</w:t>
                  </w:r>
                </w:p>
              </w:tc>
              <w:tc>
                <w:tcPr>
                  <w:tcW w:w="105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66</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40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33</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70</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noWrap w:val="0"/>
                  <w:vAlign w:val="center"/>
                </w:tcPr>
                <w:p>
                  <w:pPr>
                    <w:jc w:val="center"/>
                    <w:rPr>
                      <w:rFonts w:hint="eastAsia" w:ascii="Times New Roman" w:hAnsi="Times New Roman" w:eastAsia="宋体" w:cs="Times New Roman"/>
                      <w:color w:val="auto"/>
                      <w:lang w:val="en-US" w:eastAsia="zh-CN" w:bidi="ar-SA"/>
                    </w:rPr>
                  </w:pPr>
                  <w:r>
                    <w:rPr>
                      <w:rFonts w:hint="eastAsia"/>
                      <w:color w:val="auto"/>
                      <w:szCs w:val="21"/>
                      <w:lang w:val="en-US" w:eastAsia="zh-CN"/>
                    </w:rPr>
                    <w:t>11</w:t>
                  </w:r>
                </w:p>
              </w:tc>
              <w:tc>
                <w:tcPr>
                  <w:tcW w:w="1718" w:type="dxa"/>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胶体输送泵</w:t>
                  </w:r>
                </w:p>
              </w:tc>
              <w:tc>
                <w:tcPr>
                  <w:tcW w:w="721" w:type="dxa"/>
                  <w:noWrap w:val="0"/>
                  <w:vAlign w:val="center"/>
                </w:tcPr>
                <w:p>
                  <w:pPr>
                    <w:jc w:val="center"/>
                    <w:rPr>
                      <w:rFonts w:hint="eastAsia"/>
                      <w:color w:val="auto"/>
                      <w:szCs w:val="21"/>
                      <w:lang w:val="en-US" w:eastAsia="zh-CN"/>
                    </w:rPr>
                  </w:pPr>
                  <w:r>
                    <w:rPr>
                      <w:rFonts w:hint="default" w:ascii="Times New Roman" w:hAnsi="Times New Roman" w:eastAsia="宋体" w:cs="Times New Roman"/>
                      <w:color w:val="auto"/>
                      <w:sz w:val="21"/>
                      <w:szCs w:val="21"/>
                      <w:lang w:val="en-US" w:eastAsia="zh-CN"/>
                    </w:rPr>
                    <w:t>4</w:t>
                  </w:r>
                </w:p>
              </w:tc>
              <w:tc>
                <w:tcPr>
                  <w:tcW w:w="1048" w:type="dxa"/>
                  <w:noWrap w:val="0"/>
                  <w:vAlign w:val="center"/>
                </w:tcPr>
                <w:p>
                  <w:pPr>
                    <w:jc w:val="center"/>
                    <w:rPr>
                      <w:rFonts w:hint="eastAsia" w:eastAsia="宋体"/>
                      <w:color w:val="auto"/>
                      <w:szCs w:val="21"/>
                      <w:lang w:val="en-US" w:eastAsia="zh-CN"/>
                    </w:rPr>
                  </w:pPr>
                  <w:r>
                    <w:rPr>
                      <w:rFonts w:hint="eastAsia"/>
                      <w:color w:val="auto"/>
                      <w:szCs w:val="21"/>
                      <w:lang w:val="en-US" w:eastAsia="zh-CN"/>
                    </w:rPr>
                    <w:t>80</w:t>
                  </w:r>
                </w:p>
              </w:tc>
              <w:tc>
                <w:tcPr>
                  <w:tcW w:w="105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66</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32</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31</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75</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0" w:type="dxa"/>
                  <w:noWrap w:val="0"/>
                  <w:vAlign w:val="center"/>
                </w:tcPr>
                <w:p>
                  <w:pPr>
                    <w:jc w:val="center"/>
                    <w:rPr>
                      <w:rFonts w:hint="eastAsia" w:ascii="Times New Roman" w:hAnsi="Times New Roman" w:eastAsia="宋体" w:cs="Times New Roman"/>
                      <w:color w:val="auto"/>
                      <w:lang w:val="en-US" w:eastAsia="zh-CN" w:bidi="ar-SA"/>
                    </w:rPr>
                  </w:pPr>
                  <w:r>
                    <w:rPr>
                      <w:rFonts w:hint="eastAsia"/>
                      <w:color w:val="auto"/>
                      <w:szCs w:val="21"/>
                      <w:lang w:val="en-US" w:eastAsia="zh-CN"/>
                    </w:rPr>
                    <w:t>12</w:t>
                  </w:r>
                </w:p>
              </w:tc>
              <w:tc>
                <w:tcPr>
                  <w:tcW w:w="1718"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喷涂枪</w:t>
                  </w:r>
                </w:p>
              </w:tc>
              <w:tc>
                <w:tcPr>
                  <w:tcW w:w="721" w:type="dxa"/>
                  <w:noWrap w:val="0"/>
                  <w:vAlign w:val="center"/>
                </w:tcPr>
                <w:p>
                  <w:pPr>
                    <w:jc w:val="center"/>
                    <w:rPr>
                      <w:rFonts w:hint="eastAsia"/>
                      <w:color w:val="auto"/>
                      <w:szCs w:val="21"/>
                      <w:lang w:val="en-US" w:eastAsia="zh-CN"/>
                    </w:rPr>
                  </w:pPr>
                  <w:r>
                    <w:rPr>
                      <w:rFonts w:hint="eastAsia" w:ascii="Times New Roman" w:hAnsi="Times New Roman" w:eastAsia="宋体" w:cs="Times New Roman"/>
                      <w:color w:val="auto"/>
                      <w:sz w:val="21"/>
                      <w:szCs w:val="21"/>
                      <w:lang w:val="en-US" w:eastAsia="zh-CN"/>
                    </w:rPr>
                    <w:t>2</w:t>
                  </w:r>
                </w:p>
              </w:tc>
              <w:tc>
                <w:tcPr>
                  <w:tcW w:w="1048" w:type="dxa"/>
                  <w:noWrap w:val="0"/>
                  <w:vAlign w:val="center"/>
                </w:tcPr>
                <w:p>
                  <w:pPr>
                    <w:jc w:val="center"/>
                    <w:rPr>
                      <w:rFonts w:hint="eastAsia" w:eastAsia="宋体"/>
                      <w:color w:val="auto"/>
                      <w:szCs w:val="21"/>
                      <w:lang w:val="en-US" w:eastAsia="zh-CN"/>
                    </w:rPr>
                  </w:pPr>
                  <w:r>
                    <w:rPr>
                      <w:rFonts w:hint="eastAsia"/>
                      <w:color w:val="auto"/>
                      <w:szCs w:val="21"/>
                      <w:lang w:val="en-US" w:eastAsia="zh-CN"/>
                    </w:rPr>
                    <w:t>65</w:t>
                  </w:r>
                </w:p>
              </w:tc>
              <w:tc>
                <w:tcPr>
                  <w:tcW w:w="105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31</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80</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16</w:t>
                  </w:r>
                </w:p>
              </w:tc>
            </w:tr>
          </w:tbl>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厂界噪声预测结果见4-</w:t>
            </w:r>
            <w:r>
              <w:rPr>
                <w:rFonts w:hint="eastAsia" w:cs="Times New Roman"/>
                <w:color w:val="auto"/>
                <w:sz w:val="24"/>
                <w:szCs w:val="24"/>
                <w:lang w:val="en-US" w:eastAsia="zh-CN" w:bidi="ar-SA"/>
              </w:rPr>
              <w:t>13</w:t>
            </w:r>
            <w:r>
              <w:rPr>
                <w:rFonts w:hint="default" w:ascii="Times New Roman" w:hAnsi="Times New Roman" w:eastAsia="宋体" w:cs="Times New Roman"/>
                <w:color w:val="auto"/>
                <w:sz w:val="24"/>
                <w:szCs w:val="24"/>
                <w:lang w:val="en-US" w:eastAsia="zh-CN" w:bidi="ar-SA"/>
              </w:rPr>
              <w:t>。</w:t>
            </w:r>
          </w:p>
          <w:p>
            <w:pPr>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表4-</w:t>
            </w:r>
            <w:r>
              <w:rPr>
                <w:rFonts w:hint="eastAsia" w:cs="Times New Roman"/>
                <w:b/>
                <w:bCs/>
                <w:color w:val="auto"/>
                <w:lang w:val="en-US" w:eastAsia="zh-CN" w:bidi="ar-SA"/>
              </w:rPr>
              <w:t>13</w:t>
            </w:r>
            <w:r>
              <w:rPr>
                <w:rFonts w:hint="default" w:ascii="Times New Roman" w:hAnsi="Times New Roman" w:eastAsia="宋体" w:cs="Times New Roman"/>
                <w:b/>
                <w:bCs/>
                <w:color w:val="auto"/>
                <w:lang w:val="en-US" w:eastAsia="zh-CN" w:bidi="ar-SA"/>
              </w:rPr>
              <w:t xml:space="preserve">  厂界噪声预测结果  dB（A）</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064"/>
              <w:gridCol w:w="867"/>
              <w:gridCol w:w="1262"/>
              <w:gridCol w:w="2050"/>
              <w:gridCol w:w="2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auto"/>
                      <w:lang w:eastAsia="zh-CN" w:bidi="ar-SA"/>
                    </w:rPr>
                  </w:pPr>
                  <w:r>
                    <w:rPr>
                      <w:rFonts w:hint="default" w:ascii="Times New Roman" w:hAnsi="Times New Roman" w:cs="Times New Roman"/>
                      <w:b/>
                      <w:bCs/>
                      <w:color w:val="auto"/>
                      <w:lang w:eastAsia="zh-CN" w:bidi="ar-SA"/>
                    </w:rPr>
                    <w:t>监测点</w:t>
                  </w:r>
                  <w:r>
                    <w:rPr>
                      <w:rFonts w:hint="eastAsia" w:cs="Times New Roman"/>
                      <w:b/>
                      <w:bCs/>
                      <w:color w:val="auto"/>
                      <w:lang w:eastAsia="zh-CN" w:bidi="ar-SA"/>
                    </w:rPr>
                    <w:t>位</w:t>
                  </w:r>
                </w:p>
              </w:tc>
              <w:tc>
                <w:tcPr>
                  <w:tcW w:w="646"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default" w:ascii="Times New Roman" w:hAnsi="Times New Roman" w:cs="Times New Roman"/>
                      <w:b/>
                      <w:bCs/>
                      <w:color w:val="auto"/>
                      <w:lang w:eastAsia="zh-CN" w:bidi="ar-SA"/>
                    </w:rPr>
                    <w:t>预测点位</w:t>
                  </w:r>
                </w:p>
              </w:tc>
              <w:tc>
                <w:tcPr>
                  <w:tcW w:w="527"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default" w:ascii="Times New Roman" w:hAnsi="Times New Roman" w:cs="Times New Roman"/>
                      <w:b/>
                      <w:bCs/>
                      <w:color w:val="auto"/>
                      <w:lang w:eastAsia="zh-CN" w:bidi="ar-SA"/>
                    </w:rPr>
                    <w:t>时段</w:t>
                  </w:r>
                </w:p>
              </w:tc>
              <w:tc>
                <w:tcPr>
                  <w:tcW w:w="767"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default" w:ascii="Times New Roman" w:hAnsi="Times New Roman" w:cs="Times New Roman"/>
                      <w:b/>
                      <w:bCs/>
                      <w:color w:val="auto"/>
                      <w:lang w:eastAsia="zh-CN" w:bidi="ar-SA"/>
                    </w:rPr>
                    <w:t>贡献值</w:t>
                  </w:r>
                  <w:r>
                    <w:rPr>
                      <w:rFonts w:hint="default" w:ascii="Times New Roman" w:hAnsi="Times New Roman" w:cs="Times New Roman"/>
                      <w:b/>
                      <w:bCs/>
                      <w:color w:val="auto"/>
                      <w:lang w:val="en-US" w:eastAsia="zh-CN" w:bidi="ar-SA"/>
                    </w:rPr>
                    <w:t>dB（A）</w:t>
                  </w:r>
                </w:p>
              </w:tc>
              <w:tc>
                <w:tcPr>
                  <w:tcW w:w="2578" w:type="pct"/>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auto"/>
                      <w:lang w:eastAsia="zh-CN" w:bidi="ar-SA"/>
                    </w:rPr>
                  </w:pPr>
                  <w:r>
                    <w:rPr>
                      <w:rFonts w:hint="default" w:ascii="Times New Roman" w:hAnsi="Times New Roman" w:cs="Times New Roman"/>
                      <w:b/>
                      <w:bCs/>
                      <w:color w:val="auto"/>
                      <w:lang w:eastAsia="zh-CN" w:bidi="ar-SA"/>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480" w:type="pct"/>
                  <w:vMerge w:val="continue"/>
                  <w:tcBorders>
                    <w:bottom w:val="single" w:color="auto" w:sz="12" w:space="0"/>
                  </w:tcBorders>
                  <w:noWrap w:val="0"/>
                  <w:vAlign w:val="center"/>
                </w:tcPr>
                <w:p>
                  <w:pPr>
                    <w:rPr>
                      <w:color w:val="auto"/>
                    </w:rPr>
                  </w:pPr>
                </w:p>
              </w:tc>
              <w:tc>
                <w:tcPr>
                  <w:tcW w:w="646" w:type="pct"/>
                  <w:vMerge w:val="continue"/>
                  <w:tcBorders>
                    <w:bottom w:val="single" w:color="auto" w:sz="12" w:space="0"/>
                  </w:tcBorders>
                  <w:noWrap w:val="0"/>
                  <w:vAlign w:val="center"/>
                </w:tcPr>
                <w:p>
                  <w:pPr>
                    <w:rPr>
                      <w:color w:val="auto"/>
                    </w:rPr>
                  </w:pPr>
                </w:p>
              </w:tc>
              <w:tc>
                <w:tcPr>
                  <w:tcW w:w="527" w:type="pct"/>
                  <w:vMerge w:val="continue"/>
                  <w:tcBorders>
                    <w:bottom w:val="single" w:color="auto" w:sz="12" w:space="0"/>
                  </w:tcBorders>
                  <w:noWrap w:val="0"/>
                  <w:vAlign w:val="center"/>
                </w:tcPr>
                <w:p>
                  <w:pPr>
                    <w:rPr>
                      <w:color w:val="auto"/>
                    </w:rPr>
                  </w:pPr>
                </w:p>
              </w:tc>
              <w:tc>
                <w:tcPr>
                  <w:tcW w:w="767" w:type="pct"/>
                  <w:vMerge w:val="continue"/>
                  <w:tcBorders>
                    <w:bottom w:val="single" w:color="auto" w:sz="12" w:space="0"/>
                  </w:tcBorders>
                  <w:noWrap w:val="0"/>
                  <w:vAlign w:val="center"/>
                </w:tcPr>
                <w:p>
                  <w:pPr>
                    <w:rPr>
                      <w:color w:val="auto"/>
                    </w:rPr>
                  </w:pPr>
                </w:p>
              </w:tc>
              <w:tc>
                <w:tcPr>
                  <w:tcW w:w="1246"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b/>
                      <w:bCs/>
                      <w:color w:val="auto"/>
                      <w:lang w:val="en-US" w:eastAsia="zh-CN" w:bidi="ar-SA"/>
                    </w:rPr>
                  </w:pPr>
                  <w:r>
                    <w:rPr>
                      <w:rFonts w:hint="default" w:ascii="Times New Roman" w:hAnsi="Times New Roman" w:cs="Times New Roman"/>
                      <w:b/>
                      <w:bCs/>
                      <w:color w:val="auto"/>
                      <w:lang w:val="en-US" w:eastAsia="zh-CN" w:bidi="ar-SA"/>
                    </w:rPr>
                    <w:t>标准dB（A）</w:t>
                  </w:r>
                </w:p>
              </w:tc>
              <w:tc>
                <w:tcPr>
                  <w:tcW w:w="1331"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b/>
                      <w:bCs/>
                      <w:color w:val="auto"/>
                      <w:lang w:val="en-US" w:eastAsia="zh-CN" w:bidi="ar-SA"/>
                    </w:rPr>
                  </w:pPr>
                  <w:r>
                    <w:rPr>
                      <w:rFonts w:hint="default" w:ascii="Times New Roman" w:hAnsi="Times New Roman" w:cs="Times New Roman"/>
                      <w:b/>
                      <w:bCs/>
                      <w:color w:val="auto"/>
                      <w:lang w:val="en-US" w:eastAsia="zh-CN" w:bidi="ar-SA"/>
                    </w:rPr>
                    <w:t>超标情况dB（A）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0" w:type="pct"/>
                  <w:vMerge w:val="restar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default" w:ascii="Times New Roman" w:hAnsi="Times New Roman" w:cs="Times New Roman"/>
                      <w:color w:val="auto"/>
                      <w:lang w:val="en-US" w:eastAsia="zh-CN" w:bidi="ar-SA"/>
                    </w:rPr>
                    <w:t>1#</w:t>
                  </w:r>
                </w:p>
              </w:tc>
              <w:tc>
                <w:tcPr>
                  <w:tcW w:w="646" w:type="pct"/>
                  <w:vMerge w:val="restar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bidi="ar-SA"/>
                    </w:rPr>
                  </w:pPr>
                  <w:r>
                    <w:rPr>
                      <w:rFonts w:hint="eastAsia"/>
                      <w:color w:val="auto"/>
                      <w:lang w:eastAsia="zh-CN"/>
                    </w:rPr>
                    <w:t>东</w:t>
                  </w:r>
                  <w:r>
                    <w:rPr>
                      <w:rFonts w:hint="eastAsia" w:cs="Times New Roman"/>
                      <w:bCs/>
                      <w:color w:val="auto"/>
                      <w:sz w:val="21"/>
                      <w:szCs w:val="21"/>
                      <w:lang w:val="en-US" w:eastAsia="zh-CN"/>
                    </w:rPr>
                    <w:t>侧</w:t>
                  </w:r>
                </w:p>
              </w:tc>
              <w:tc>
                <w:tcPr>
                  <w:tcW w:w="527"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eastAsia="zh-CN" w:bidi="ar-SA"/>
                    </w:rPr>
                  </w:pPr>
                  <w:r>
                    <w:rPr>
                      <w:rFonts w:hint="default" w:ascii="Times New Roman" w:hAnsi="Times New Roman" w:cs="Times New Roman"/>
                      <w:color w:val="auto"/>
                      <w:lang w:eastAsia="zh-CN" w:bidi="ar-SA"/>
                    </w:rPr>
                    <w:t>昼间</w:t>
                  </w:r>
                </w:p>
              </w:tc>
              <w:tc>
                <w:tcPr>
                  <w:tcW w:w="767"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cs="Times New Roman"/>
                      <w:color w:val="auto"/>
                      <w:lang w:val="en-US" w:eastAsia="zh-CN" w:bidi="ar-SA"/>
                    </w:rPr>
                    <w:t>45.4</w:t>
                  </w:r>
                </w:p>
              </w:tc>
              <w:tc>
                <w:tcPr>
                  <w:tcW w:w="1246"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default" w:ascii="Times New Roman" w:hAnsi="Times New Roman" w:cs="Times New Roman"/>
                      <w:color w:val="auto"/>
                      <w:lang w:eastAsia="zh-CN" w:bidi="ar-SA"/>
                    </w:rPr>
                    <w:t>昼间：</w:t>
                  </w:r>
                  <w:r>
                    <w:rPr>
                      <w:rFonts w:hint="eastAsia" w:ascii="Times New Roman" w:hAnsi="Times New Roman" w:cs="Times New Roman"/>
                      <w:color w:val="auto"/>
                      <w:lang w:val="en-US" w:eastAsia="zh-CN" w:bidi="ar-SA"/>
                    </w:rPr>
                    <w:t>65</w:t>
                  </w:r>
                </w:p>
              </w:tc>
              <w:tc>
                <w:tcPr>
                  <w:tcW w:w="1331"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eastAsia="zh-CN" w:bidi="ar-SA"/>
                    </w:rPr>
                  </w:pPr>
                  <w:r>
                    <w:rPr>
                      <w:rFonts w:hint="default" w:ascii="Times New Roman" w:hAnsi="Times New Roman" w:cs="Times New Roman"/>
                      <w:color w:val="auto"/>
                      <w:lang w:eastAsia="zh-CN" w:bidi="ar-SA"/>
                    </w:rPr>
                    <w:t>不超标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0" w:type="pct"/>
                  <w:vMerge w:val="continue"/>
                  <w:noWrap w:val="0"/>
                  <w:vAlign w:val="center"/>
                </w:tcPr>
                <w:p>
                  <w:pPr>
                    <w:rPr>
                      <w:color w:val="auto"/>
                    </w:rPr>
                  </w:pPr>
                </w:p>
              </w:tc>
              <w:tc>
                <w:tcPr>
                  <w:tcW w:w="646" w:type="pct"/>
                  <w:vMerge w:val="continue"/>
                  <w:noWrap w:val="0"/>
                  <w:vAlign w:val="center"/>
                </w:tcPr>
                <w:p>
                  <w:pPr>
                    <w:rPr>
                      <w:color w:val="auto"/>
                    </w:rPr>
                  </w:pP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zh-CN" w:bidi="ar-SA"/>
                    </w:rPr>
                  </w:pPr>
                  <w:r>
                    <w:rPr>
                      <w:rFonts w:hint="default" w:ascii="Times New Roman" w:hAnsi="Times New Roman" w:cs="Times New Roman"/>
                      <w:color w:val="auto"/>
                      <w:lang w:val="en-US" w:eastAsia="zh-CN" w:bidi="ar-SA"/>
                    </w:rPr>
                    <w:t>夜间</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zh-CN" w:bidi="ar-SA"/>
                    </w:rPr>
                  </w:pPr>
                  <w:r>
                    <w:rPr>
                      <w:rFonts w:hint="eastAsia" w:ascii="Times New Roman" w:hAnsi="Times New Roman" w:cs="Times New Roman"/>
                      <w:color w:val="auto"/>
                      <w:lang w:val="en-US" w:eastAsia="zh-CN" w:bidi="ar-SA"/>
                    </w:rPr>
                    <w:t>/</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zh-CN" w:bidi="ar-SA"/>
                    </w:rPr>
                  </w:pPr>
                  <w:r>
                    <w:rPr>
                      <w:rFonts w:hint="default" w:ascii="Times New Roman" w:hAnsi="Times New Roman" w:cs="Times New Roman"/>
                      <w:color w:val="auto"/>
                      <w:lang w:val="en-US" w:eastAsia="zh-CN" w:bidi="ar-SA"/>
                    </w:rPr>
                    <w:t>夜间：</w:t>
                  </w:r>
                  <w:r>
                    <w:rPr>
                      <w:rFonts w:hint="eastAsia" w:ascii="Times New Roman" w:hAnsi="Times New Roman" w:cs="Times New Roman"/>
                      <w:color w:val="auto"/>
                      <w:lang w:val="en-US" w:eastAsia="zh-CN" w:bidi="ar-SA"/>
                    </w:rPr>
                    <w:t>55</w:t>
                  </w:r>
                </w:p>
              </w:tc>
              <w:tc>
                <w:tcPr>
                  <w:tcW w:w="13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zh-CN" w:bidi="ar-SA"/>
                    </w:rPr>
                  </w:pPr>
                  <w:r>
                    <w:rPr>
                      <w:rFonts w:hint="default" w:ascii="Times New Roman" w:hAnsi="Times New Roman" w:cs="Times New Roman"/>
                      <w:color w:val="auto"/>
                      <w:lang w:val="en-US" w:eastAsia="zh-CN" w:bidi="ar-SA"/>
                    </w:rPr>
                    <w:t>不超标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default" w:ascii="Times New Roman" w:hAnsi="Times New Roman" w:cs="Times New Roman"/>
                      <w:color w:val="auto"/>
                      <w:lang w:val="en-US" w:eastAsia="zh-CN" w:bidi="ar-SA"/>
                    </w:rPr>
                    <w:t>2#</w:t>
                  </w:r>
                </w:p>
              </w:tc>
              <w:tc>
                <w:tcPr>
                  <w:tcW w:w="64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eastAsia="zh-CN" w:bidi="ar-SA"/>
                    </w:rPr>
                  </w:pPr>
                  <w:r>
                    <w:rPr>
                      <w:rFonts w:hint="eastAsia"/>
                      <w:color w:val="auto"/>
                      <w:lang w:val="en-US" w:eastAsia="zh-CN"/>
                    </w:rPr>
                    <w:t>南</w:t>
                  </w:r>
                  <w:r>
                    <w:rPr>
                      <w:rFonts w:hint="eastAsia" w:cs="Times New Roman"/>
                      <w:bCs/>
                      <w:color w:val="auto"/>
                      <w:sz w:val="21"/>
                      <w:szCs w:val="21"/>
                      <w:lang w:val="en-US" w:eastAsia="zh-CN"/>
                    </w:rPr>
                    <w:t>侧</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eastAsia="zh-CN" w:bidi="ar-SA"/>
                    </w:rPr>
                    <w:t>昼间</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cs="Times New Roman"/>
                      <w:color w:val="auto"/>
                      <w:lang w:val="en-US" w:eastAsia="zh-CN" w:bidi="ar-SA"/>
                    </w:rPr>
                    <w:t>49.4</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en-US" w:bidi="ar-SA"/>
                    </w:rPr>
                  </w:pPr>
                  <w:r>
                    <w:rPr>
                      <w:rFonts w:hint="default" w:ascii="Times New Roman" w:hAnsi="Times New Roman" w:cs="Times New Roman"/>
                      <w:color w:val="auto"/>
                      <w:lang w:eastAsia="zh-CN" w:bidi="ar-SA"/>
                    </w:rPr>
                    <w:t>昼间：</w:t>
                  </w:r>
                  <w:r>
                    <w:rPr>
                      <w:rFonts w:hint="eastAsia" w:ascii="Times New Roman" w:hAnsi="Times New Roman" w:cs="Times New Roman"/>
                      <w:color w:val="auto"/>
                      <w:lang w:val="en-US" w:eastAsia="zh-CN" w:bidi="ar-SA"/>
                    </w:rPr>
                    <w:t>65</w:t>
                  </w:r>
                </w:p>
              </w:tc>
              <w:tc>
                <w:tcPr>
                  <w:tcW w:w="13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val="en-US" w:eastAsia="zh-CN" w:bidi="ar-SA"/>
                    </w:rPr>
                    <w:t>不超标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0" w:type="pct"/>
                  <w:vMerge w:val="continue"/>
                  <w:noWrap w:val="0"/>
                  <w:vAlign w:val="center"/>
                </w:tcPr>
                <w:p>
                  <w:pPr>
                    <w:rPr>
                      <w:color w:val="auto"/>
                    </w:rPr>
                  </w:pPr>
                </w:p>
              </w:tc>
              <w:tc>
                <w:tcPr>
                  <w:tcW w:w="646" w:type="pct"/>
                  <w:vMerge w:val="continue"/>
                  <w:noWrap w:val="0"/>
                  <w:vAlign w:val="center"/>
                </w:tcPr>
                <w:p>
                  <w:pPr>
                    <w:rPr>
                      <w:color w:val="auto"/>
                    </w:rPr>
                  </w:pP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val="en-US" w:eastAsia="zh-CN" w:bidi="ar-SA"/>
                    </w:rPr>
                    <w:t>夜间</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cs="Times New Roman"/>
                      <w:color w:val="auto"/>
                      <w:lang w:val="en-US" w:eastAsia="zh-CN" w:bidi="ar-SA"/>
                    </w:rPr>
                    <w:t>/</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en-US" w:bidi="ar-SA"/>
                    </w:rPr>
                  </w:pPr>
                  <w:r>
                    <w:rPr>
                      <w:rFonts w:hint="default" w:ascii="Times New Roman" w:hAnsi="Times New Roman" w:cs="Times New Roman"/>
                      <w:color w:val="auto"/>
                      <w:lang w:val="en-US" w:eastAsia="zh-CN" w:bidi="ar-SA"/>
                    </w:rPr>
                    <w:t>夜间：</w:t>
                  </w:r>
                  <w:r>
                    <w:rPr>
                      <w:rFonts w:hint="eastAsia" w:ascii="Times New Roman" w:hAnsi="Times New Roman" w:cs="Times New Roman"/>
                      <w:color w:val="auto"/>
                      <w:lang w:val="en-US" w:eastAsia="zh-CN" w:bidi="ar-SA"/>
                    </w:rPr>
                    <w:t>55</w:t>
                  </w:r>
                </w:p>
              </w:tc>
              <w:tc>
                <w:tcPr>
                  <w:tcW w:w="13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val="en-US" w:eastAsia="zh-CN" w:bidi="ar-SA"/>
                    </w:rPr>
                    <w:t>不超标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default" w:ascii="Times New Roman" w:hAnsi="Times New Roman" w:cs="Times New Roman"/>
                      <w:color w:val="auto"/>
                      <w:lang w:val="en-US" w:eastAsia="zh-CN" w:bidi="ar-SA"/>
                    </w:rPr>
                    <w:t>3#</w:t>
                  </w:r>
                </w:p>
              </w:tc>
              <w:tc>
                <w:tcPr>
                  <w:tcW w:w="64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eastAsia="zh-CN" w:bidi="ar-SA"/>
                    </w:rPr>
                  </w:pPr>
                  <w:r>
                    <w:rPr>
                      <w:rFonts w:hint="eastAsia"/>
                      <w:color w:val="auto"/>
                      <w:lang w:val="en-US" w:eastAsia="zh-CN"/>
                    </w:rPr>
                    <w:t>西</w:t>
                  </w:r>
                  <w:r>
                    <w:rPr>
                      <w:rFonts w:hint="eastAsia" w:cs="Times New Roman"/>
                      <w:bCs/>
                      <w:color w:val="auto"/>
                      <w:sz w:val="21"/>
                      <w:szCs w:val="21"/>
                      <w:lang w:val="en-US" w:eastAsia="zh-CN"/>
                    </w:rPr>
                    <w:t>侧</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eastAsia="zh-CN" w:bidi="ar-SA"/>
                    </w:rPr>
                    <w:t>昼间</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cs="Times New Roman"/>
                      <w:color w:val="auto"/>
                      <w:lang w:val="en-US" w:eastAsia="zh-CN" w:bidi="ar-SA"/>
                    </w:rPr>
                    <w:t>36.3</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en-US" w:bidi="ar-SA"/>
                    </w:rPr>
                  </w:pPr>
                  <w:r>
                    <w:rPr>
                      <w:rFonts w:hint="default" w:ascii="Times New Roman" w:hAnsi="Times New Roman" w:cs="Times New Roman"/>
                      <w:color w:val="auto"/>
                      <w:lang w:eastAsia="zh-CN" w:bidi="ar-SA"/>
                    </w:rPr>
                    <w:t>昼间：</w:t>
                  </w:r>
                  <w:r>
                    <w:rPr>
                      <w:rFonts w:hint="eastAsia" w:ascii="Times New Roman" w:hAnsi="Times New Roman" w:cs="Times New Roman"/>
                      <w:color w:val="auto"/>
                      <w:lang w:val="en-US" w:eastAsia="zh-CN" w:bidi="ar-SA"/>
                    </w:rPr>
                    <w:t>65</w:t>
                  </w:r>
                </w:p>
              </w:tc>
              <w:tc>
                <w:tcPr>
                  <w:tcW w:w="13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val="en-US" w:eastAsia="zh-CN" w:bidi="ar-SA"/>
                    </w:rPr>
                    <w:t>不超标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0" w:type="pct"/>
                  <w:vMerge w:val="continue"/>
                  <w:noWrap w:val="0"/>
                  <w:vAlign w:val="center"/>
                </w:tcPr>
                <w:p>
                  <w:pPr>
                    <w:rPr>
                      <w:color w:val="auto"/>
                    </w:rPr>
                  </w:pPr>
                </w:p>
              </w:tc>
              <w:tc>
                <w:tcPr>
                  <w:tcW w:w="646" w:type="pct"/>
                  <w:vMerge w:val="continue"/>
                  <w:noWrap w:val="0"/>
                  <w:vAlign w:val="center"/>
                </w:tcPr>
                <w:p>
                  <w:pPr>
                    <w:rPr>
                      <w:color w:val="auto"/>
                    </w:rPr>
                  </w:pP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val="en-US" w:eastAsia="zh-CN" w:bidi="ar-SA"/>
                    </w:rPr>
                    <w:t>夜间</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auto"/>
                      <w:lang w:val="en-US" w:eastAsia="zh-CN" w:bidi="ar-SA"/>
                    </w:rPr>
                  </w:pPr>
                  <w:r>
                    <w:rPr>
                      <w:rFonts w:hint="eastAsia" w:ascii="Times New Roman" w:hAnsi="Times New Roman" w:cs="Times New Roman"/>
                      <w:color w:val="auto"/>
                      <w:lang w:val="en-US" w:eastAsia="zh-CN" w:bidi="ar-SA"/>
                    </w:rPr>
                    <w:t>/</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en-US" w:bidi="ar-SA"/>
                    </w:rPr>
                  </w:pPr>
                  <w:r>
                    <w:rPr>
                      <w:rFonts w:hint="default" w:ascii="Times New Roman" w:hAnsi="Times New Roman" w:cs="Times New Roman"/>
                      <w:color w:val="auto"/>
                      <w:lang w:val="en-US" w:eastAsia="zh-CN" w:bidi="ar-SA"/>
                    </w:rPr>
                    <w:t>夜间：</w:t>
                  </w:r>
                  <w:r>
                    <w:rPr>
                      <w:rFonts w:hint="eastAsia" w:ascii="Times New Roman" w:hAnsi="Times New Roman" w:cs="Times New Roman"/>
                      <w:color w:val="auto"/>
                      <w:lang w:val="en-US" w:eastAsia="zh-CN" w:bidi="ar-SA"/>
                    </w:rPr>
                    <w:t>55</w:t>
                  </w:r>
                </w:p>
              </w:tc>
              <w:tc>
                <w:tcPr>
                  <w:tcW w:w="13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val="en-US" w:eastAsia="zh-CN" w:bidi="ar-SA"/>
                    </w:rPr>
                    <w:t>不超标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default" w:ascii="Times New Roman" w:hAnsi="Times New Roman" w:cs="Times New Roman"/>
                      <w:color w:val="auto"/>
                      <w:lang w:val="en-US" w:eastAsia="zh-CN" w:bidi="ar-SA"/>
                    </w:rPr>
                    <w:t>4#</w:t>
                  </w:r>
                </w:p>
              </w:tc>
              <w:tc>
                <w:tcPr>
                  <w:tcW w:w="646" w:type="pct"/>
                  <w:vMerge w:val="restart"/>
                  <w:noWrap w:val="0"/>
                  <w:vAlign w:val="center"/>
                </w:tcPr>
                <w:p>
                  <w:pPr>
                    <w:widowControl/>
                    <w:jc w:val="center"/>
                    <w:textAlignment w:val="center"/>
                    <w:rPr>
                      <w:rFonts w:hint="default" w:ascii="Times New Roman" w:hAnsi="Times New Roman" w:eastAsia="宋体" w:cs="Times New Roman"/>
                      <w:color w:val="auto"/>
                      <w:lang w:eastAsia="zh-CN" w:bidi="ar-SA"/>
                    </w:rPr>
                  </w:pPr>
                  <w:r>
                    <w:rPr>
                      <w:rFonts w:hint="eastAsia"/>
                      <w:color w:val="auto"/>
                      <w:lang w:val="en-US" w:eastAsia="zh-CN"/>
                    </w:rPr>
                    <w:t>北</w:t>
                  </w:r>
                  <w:r>
                    <w:rPr>
                      <w:rFonts w:hint="eastAsia" w:cs="Times New Roman"/>
                      <w:bCs/>
                      <w:color w:val="auto"/>
                      <w:sz w:val="21"/>
                      <w:szCs w:val="21"/>
                      <w:lang w:val="en-US" w:eastAsia="zh-CN"/>
                    </w:rPr>
                    <w:t>侧</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eastAsia="zh-CN" w:bidi="ar-SA"/>
                    </w:rPr>
                    <w:t>昼间</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cs="Times New Roman"/>
                      <w:color w:val="auto"/>
                      <w:lang w:val="en-US" w:eastAsia="zh-CN" w:bidi="ar-SA"/>
                    </w:rPr>
                    <w:t>49.1</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en-US" w:bidi="ar-SA"/>
                    </w:rPr>
                  </w:pPr>
                  <w:r>
                    <w:rPr>
                      <w:rFonts w:hint="default" w:ascii="Times New Roman" w:hAnsi="Times New Roman" w:cs="Times New Roman"/>
                      <w:color w:val="auto"/>
                      <w:lang w:eastAsia="zh-CN" w:bidi="ar-SA"/>
                    </w:rPr>
                    <w:t>昼间：</w:t>
                  </w:r>
                  <w:r>
                    <w:rPr>
                      <w:rFonts w:hint="eastAsia" w:ascii="Times New Roman" w:hAnsi="Times New Roman" w:cs="Times New Roman"/>
                      <w:color w:val="auto"/>
                      <w:lang w:val="en-US" w:eastAsia="zh-CN" w:bidi="ar-SA"/>
                    </w:rPr>
                    <w:t>65</w:t>
                  </w:r>
                </w:p>
              </w:tc>
              <w:tc>
                <w:tcPr>
                  <w:tcW w:w="13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val="en-US" w:eastAsia="zh-CN" w:bidi="ar-SA"/>
                    </w:rPr>
                    <w:t>不超标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0" w:type="pct"/>
                  <w:vMerge w:val="continue"/>
                  <w:noWrap w:val="0"/>
                  <w:vAlign w:val="center"/>
                </w:tcPr>
                <w:p>
                  <w:pPr>
                    <w:rPr>
                      <w:color w:val="auto"/>
                    </w:rPr>
                  </w:pPr>
                </w:p>
              </w:tc>
              <w:tc>
                <w:tcPr>
                  <w:tcW w:w="646" w:type="pct"/>
                  <w:vMerge w:val="continue"/>
                  <w:noWrap w:val="0"/>
                  <w:vAlign w:val="center"/>
                </w:tcPr>
                <w:p>
                  <w:pPr>
                    <w:rPr>
                      <w:color w:val="auto"/>
                    </w:rPr>
                  </w:pP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val="en-US" w:eastAsia="zh-CN" w:bidi="ar-SA"/>
                    </w:rPr>
                    <w:t>夜间</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lang w:val="en-US" w:eastAsia="zh-CN" w:bidi="ar-SA"/>
                    </w:rPr>
                  </w:pPr>
                  <w:r>
                    <w:rPr>
                      <w:rFonts w:hint="eastAsia" w:ascii="Times New Roman" w:hAnsi="Times New Roman" w:cs="Times New Roman"/>
                      <w:color w:val="auto"/>
                      <w:lang w:val="en-US" w:eastAsia="zh-CN" w:bidi="ar-SA"/>
                    </w:rPr>
                    <w:t>/</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en-US" w:bidi="ar-SA"/>
                    </w:rPr>
                  </w:pPr>
                  <w:r>
                    <w:rPr>
                      <w:rFonts w:hint="default" w:ascii="Times New Roman" w:hAnsi="Times New Roman" w:cs="Times New Roman"/>
                      <w:color w:val="auto"/>
                      <w:lang w:val="en-US" w:eastAsia="zh-CN" w:bidi="ar-SA"/>
                    </w:rPr>
                    <w:t>夜间：</w:t>
                  </w:r>
                  <w:r>
                    <w:rPr>
                      <w:rFonts w:hint="eastAsia" w:ascii="Times New Roman" w:hAnsi="Times New Roman" w:cs="Times New Roman"/>
                      <w:color w:val="auto"/>
                      <w:lang w:val="en-US" w:eastAsia="zh-CN" w:bidi="ar-SA"/>
                    </w:rPr>
                    <w:t>55</w:t>
                  </w:r>
                </w:p>
              </w:tc>
              <w:tc>
                <w:tcPr>
                  <w:tcW w:w="13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bidi="ar-SA"/>
                    </w:rPr>
                  </w:pPr>
                  <w:r>
                    <w:rPr>
                      <w:rFonts w:hint="default" w:ascii="Times New Roman" w:hAnsi="Times New Roman" w:cs="Times New Roman"/>
                      <w:color w:val="auto"/>
                      <w:lang w:val="en-US" w:eastAsia="zh-CN" w:bidi="ar-SA"/>
                    </w:rPr>
                    <w:t>不超标</w:t>
                  </w:r>
                </w:p>
              </w:tc>
            </w:tr>
          </w:tbl>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本项目噪声计算结果显示：本项目建成运行后厂界噪声贡献值均可以达到《工业企业厂界环境噪声排放标准》（GB12348-2008）中</w:t>
            </w:r>
            <w:r>
              <w:rPr>
                <w:rFonts w:hint="eastAsia" w:ascii="Times New Roman" w:hAnsi="Times New Roman" w:eastAsia="宋体" w:cs="Times New Roman"/>
                <w:color w:val="auto"/>
                <w:sz w:val="24"/>
                <w:szCs w:val="24"/>
                <w:lang w:val="en-US" w:eastAsia="zh-CN" w:bidi="ar-SA"/>
              </w:rPr>
              <w:t>3</w:t>
            </w:r>
            <w:r>
              <w:rPr>
                <w:rFonts w:hint="default" w:ascii="Times New Roman" w:hAnsi="Times New Roman" w:eastAsia="宋体" w:cs="Times New Roman"/>
                <w:color w:val="auto"/>
                <w:sz w:val="24"/>
                <w:szCs w:val="24"/>
                <w:lang w:val="en-US" w:eastAsia="zh-CN" w:bidi="ar-SA"/>
              </w:rPr>
              <w:t>类标准，不会降低声环境级别。</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为最大限度的降低噪声对厂界环境的影响，应采取隔声降噪措施，噪声防治贯彻</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以防为主，防治结合</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的原则，具体措施有：</w:t>
            </w:r>
          </w:p>
          <w:p>
            <w:pPr>
              <w:spacing w:line="360" w:lineRule="auto"/>
              <w:ind w:firstLine="570"/>
              <w:rPr>
                <w:rFonts w:hint="eastAsia"/>
                <w:color w:val="auto"/>
                <w:sz w:val="24"/>
                <w:lang w:eastAsia="zh-CN"/>
              </w:rPr>
            </w:pPr>
            <w:r>
              <w:rPr>
                <w:color w:val="auto"/>
                <w:sz w:val="24"/>
              </w:rPr>
              <w:t>①</w:t>
            </w:r>
            <w:r>
              <w:rPr>
                <w:rFonts w:hint="eastAsia"/>
                <w:color w:val="auto"/>
                <w:sz w:val="24"/>
                <w:lang w:eastAsia="zh-CN"/>
              </w:rPr>
              <w:t>建议</w:t>
            </w:r>
            <w:r>
              <w:rPr>
                <w:rFonts w:hint="eastAsia"/>
                <w:color w:val="auto"/>
                <w:sz w:val="24"/>
              </w:rPr>
              <w:t>在设备选型时尽量选择噪声低的设备，</w:t>
            </w:r>
            <w:r>
              <w:rPr>
                <w:rFonts w:hint="eastAsia"/>
                <w:color w:val="auto"/>
                <w:sz w:val="24"/>
                <w:lang w:eastAsia="zh-CN"/>
              </w:rPr>
              <w:t>高噪音</w:t>
            </w:r>
            <w:r>
              <w:rPr>
                <w:rFonts w:hint="eastAsia"/>
                <w:color w:val="auto"/>
                <w:sz w:val="24"/>
              </w:rPr>
              <w:t>设备设置台基减震、橡胶减震接头及减震垫等减震设施。在生产运转时须定期对其进行检查，保证设备正常运转</w:t>
            </w:r>
            <w:r>
              <w:rPr>
                <w:rFonts w:hint="eastAsia"/>
                <w:color w:val="auto"/>
                <w:sz w:val="24"/>
                <w:lang w:eastAsia="zh-CN"/>
              </w:rPr>
              <w:t>；</w:t>
            </w:r>
          </w:p>
          <w:p>
            <w:pPr>
              <w:spacing w:line="360" w:lineRule="auto"/>
              <w:ind w:firstLine="570"/>
              <w:rPr>
                <w:rFonts w:hint="eastAsia" w:eastAsia="宋体"/>
                <w:color w:val="auto"/>
                <w:sz w:val="24"/>
                <w:lang w:eastAsia="zh-CN"/>
              </w:rPr>
            </w:pPr>
            <w:r>
              <w:rPr>
                <w:color w:val="auto"/>
                <w:sz w:val="24"/>
              </w:rPr>
              <w:t>②</w:t>
            </w:r>
            <w:r>
              <w:rPr>
                <w:rFonts w:hint="eastAsia"/>
                <w:color w:val="auto"/>
                <w:sz w:val="24"/>
              </w:rPr>
              <w:t>从总平面布置的角度出发，将</w:t>
            </w:r>
            <w:r>
              <w:rPr>
                <w:rFonts w:hint="eastAsia"/>
                <w:color w:val="auto"/>
                <w:sz w:val="24"/>
                <w:lang w:eastAsia="zh-CN"/>
              </w:rPr>
              <w:t>高噪音设备</w:t>
            </w:r>
            <w:r>
              <w:rPr>
                <w:rFonts w:hint="eastAsia"/>
                <w:color w:val="auto"/>
                <w:sz w:val="24"/>
              </w:rPr>
              <w:t>设置于远离厂界最远的位置，另外在设计中考虑在绿化设计等方面采取有效措施，以阻隔噪声的传播和干扰。生产时尽量减少车间门窗的开启频次，利用墙壁的作用，使噪声受到不同程度的隔绝和吸收，做到尽可能屏蔽声源，减少对环境的影响。同时在工厂总体布置上利用建筑物、构筑物来阻隔声波的传播</w:t>
            </w:r>
            <w:r>
              <w:rPr>
                <w:rFonts w:hint="eastAsia"/>
                <w:color w:val="auto"/>
                <w:sz w:val="24"/>
                <w:lang w:eastAsia="zh-CN"/>
              </w:rPr>
              <w:t>；</w:t>
            </w:r>
          </w:p>
          <w:p>
            <w:pPr>
              <w:spacing w:line="360" w:lineRule="auto"/>
              <w:ind w:firstLine="570"/>
              <w:rPr>
                <w:color w:val="auto"/>
                <w:sz w:val="24"/>
              </w:rPr>
            </w:pPr>
            <w:r>
              <w:rPr>
                <w:color w:val="auto"/>
                <w:sz w:val="24"/>
              </w:rPr>
              <w:t>③</w:t>
            </w:r>
            <w:r>
              <w:rPr>
                <w:rFonts w:hint="eastAsia" w:ascii="Times New Roman" w:hAnsi="Times New Roman" w:eastAsia="宋体" w:cs="Times New Roman"/>
                <w:color w:val="auto"/>
                <w:sz w:val="24"/>
                <w:lang w:eastAsia="zh-CN" w:bidi="ar-SA"/>
              </w:rPr>
              <w:t>建立设备定期维护，保养的管理制度，以防止设备故障形成的非正常生产噪声，同时确保环保措施发挥最佳有效的功能；加强职工环保意识教育，提倡文明生产，防止人为噪声；</w:t>
            </w:r>
          </w:p>
          <w:p>
            <w:pPr>
              <w:spacing w:line="360" w:lineRule="auto"/>
              <w:ind w:firstLine="570"/>
              <w:rPr>
                <w:rFonts w:hint="eastAsia" w:ascii="Times New Roman" w:hAnsi="Times New Roman" w:eastAsia="宋体" w:cs="Times New Roman"/>
                <w:color w:val="auto"/>
                <w:sz w:val="24"/>
                <w:lang w:eastAsia="zh-CN" w:bidi="ar-SA"/>
              </w:rPr>
            </w:pPr>
            <w:r>
              <w:rPr>
                <w:color w:val="auto"/>
                <w:sz w:val="24"/>
              </w:rPr>
              <w:t>④</w:t>
            </w:r>
            <w:r>
              <w:rPr>
                <w:rFonts w:hint="eastAsia" w:ascii="Times New Roman" w:hAnsi="Times New Roman" w:eastAsia="宋体" w:cs="Times New Roman"/>
                <w:color w:val="auto"/>
                <w:sz w:val="24"/>
                <w:lang w:eastAsia="zh-CN" w:bidi="ar-SA"/>
              </w:rPr>
              <w:t>强化行车管理制度，最大限度减少流动噪声；</w:t>
            </w:r>
          </w:p>
          <w:p>
            <w:pPr>
              <w:spacing w:line="360" w:lineRule="auto"/>
              <w:ind w:firstLine="480" w:firstLineChars="200"/>
              <w:rPr>
                <w:rFonts w:ascii="Times New Roman" w:hAnsi="Times New Roman" w:eastAsia="宋体" w:cs="Times New Roman"/>
                <w:color w:val="auto"/>
                <w:sz w:val="24"/>
                <w:lang w:bidi="ar-SA"/>
              </w:rPr>
            </w:pPr>
            <w:r>
              <w:rPr>
                <w:rFonts w:ascii="Times New Roman" w:hAnsi="Times New Roman" w:eastAsia="宋体" w:cs="Times New Roman"/>
                <w:color w:val="auto"/>
                <w:sz w:val="24"/>
                <w:lang w:bidi="ar-SA"/>
              </w:rPr>
              <w:t>采取相应措施后，本项目产生的噪声不会对周边环境造成明显不良影响。</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3.3</w:t>
            </w:r>
            <w:r>
              <w:rPr>
                <w:rFonts w:hint="eastAsia" w:cs="Times New Roman"/>
                <w:b/>
                <w:bCs/>
                <w:color w:val="auto"/>
                <w:sz w:val="24"/>
                <w:szCs w:val="24"/>
                <w:lang w:val="en-US" w:eastAsia="zh-CN" w:bidi="ar-SA"/>
              </w:rPr>
              <w:t>噪声</w:t>
            </w:r>
            <w:r>
              <w:rPr>
                <w:rFonts w:hint="default" w:ascii="Times New Roman" w:hAnsi="Times New Roman" w:eastAsia="宋体" w:cs="Times New Roman"/>
                <w:b/>
                <w:bCs/>
                <w:color w:val="auto"/>
                <w:sz w:val="24"/>
                <w:szCs w:val="24"/>
                <w:lang w:val="en-US" w:eastAsia="zh-CN" w:bidi="ar-SA"/>
              </w:rPr>
              <w:t>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参照《排污单位自行监测技术指南</w:t>
            </w:r>
            <w:r>
              <w:rPr>
                <w:rFonts w:hint="eastAsia" w:ascii="Times New Roman" w:hAnsi="Times New Roman" w:eastAsia="宋体" w:cs="Times New Roman"/>
                <w:color w:val="auto"/>
                <w:sz w:val="24"/>
                <w:szCs w:val="24"/>
                <w:lang w:val="en-US" w:eastAsia="zh-CN" w:bidi="ar-SA"/>
              </w:rPr>
              <w:t xml:space="preserve"> 总则</w:t>
            </w:r>
            <w:r>
              <w:rPr>
                <w:rFonts w:hint="default" w:ascii="Times New Roman" w:hAnsi="Times New Roman" w:eastAsia="宋体" w:cs="Times New Roman"/>
                <w:color w:val="auto"/>
                <w:sz w:val="24"/>
                <w:szCs w:val="24"/>
                <w:lang w:val="en-US" w:eastAsia="zh-CN" w:bidi="ar-SA"/>
              </w:rPr>
              <w:t>》（HJ819-2017），确定本项目</w:t>
            </w:r>
            <w:r>
              <w:rPr>
                <w:rFonts w:hint="eastAsia" w:ascii="Times New Roman" w:hAnsi="Times New Roman" w:eastAsia="宋体" w:cs="Times New Roman"/>
                <w:color w:val="auto"/>
                <w:sz w:val="24"/>
                <w:szCs w:val="24"/>
                <w:lang w:val="en-US" w:eastAsia="zh-CN" w:bidi="ar-SA"/>
              </w:rPr>
              <w:t>噪声</w:t>
            </w:r>
            <w:r>
              <w:rPr>
                <w:rFonts w:hint="default" w:ascii="Times New Roman" w:hAnsi="Times New Roman" w:eastAsia="宋体" w:cs="Times New Roman"/>
                <w:color w:val="auto"/>
                <w:sz w:val="24"/>
                <w:szCs w:val="24"/>
                <w:lang w:val="en-US" w:eastAsia="zh-CN" w:bidi="ar-SA"/>
              </w:rPr>
              <w:t>自行监测计划如下。</w:t>
            </w:r>
          </w:p>
          <w:p>
            <w:pPr>
              <w:jc w:val="center"/>
              <w:rPr>
                <w:color w:val="auto"/>
              </w:rPr>
            </w:pPr>
            <w:r>
              <w:rPr>
                <w:rFonts w:ascii="Times New Roman" w:hAnsi="Times New Roman" w:eastAsia="宋体" w:cs="Times New Roman"/>
                <w:b/>
                <w:bCs/>
                <w:color w:val="auto"/>
                <w:szCs w:val="21"/>
              </w:rPr>
              <w:t>表</w:t>
            </w:r>
            <w:r>
              <w:rPr>
                <w:rFonts w:hint="eastAsia" w:ascii="Times New Roman" w:hAnsi="Times New Roman" w:eastAsia="宋体" w:cs="Times New Roman"/>
                <w:b/>
                <w:bCs/>
                <w:color w:val="auto"/>
                <w:szCs w:val="21"/>
              </w:rPr>
              <w:t>4-</w:t>
            </w:r>
            <w:r>
              <w:rPr>
                <w:rFonts w:hint="eastAsia" w:cs="Times New Roman"/>
                <w:b/>
                <w:bCs/>
                <w:color w:val="auto"/>
                <w:szCs w:val="21"/>
                <w:lang w:val="en-US" w:eastAsia="zh-CN"/>
              </w:rPr>
              <w:t>14</w:t>
            </w:r>
            <w:r>
              <w:rPr>
                <w:rFonts w:hint="eastAsia" w:ascii="Times New Roman" w:hAnsi="Times New Roman" w:eastAsia="宋体" w:cs="Times New Roman"/>
                <w:b/>
                <w:bCs/>
                <w:color w:val="auto"/>
                <w:szCs w:val="21"/>
              </w:rPr>
              <w:t xml:space="preserve">  </w:t>
            </w:r>
            <w:r>
              <w:rPr>
                <w:rFonts w:hint="eastAsia" w:ascii="Times New Roman" w:hAnsi="Times New Roman" w:eastAsia="宋体" w:cs="Times New Roman"/>
                <w:b/>
                <w:bCs/>
                <w:color w:val="auto"/>
                <w:szCs w:val="21"/>
                <w:lang w:val="en-US" w:eastAsia="zh-CN"/>
              </w:rPr>
              <w:t>噪声自行监测计划一览表</w:t>
            </w:r>
          </w:p>
          <w:tbl>
            <w:tblPr>
              <w:tblStyle w:val="3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9"/>
              <w:gridCol w:w="786"/>
              <w:gridCol w:w="846"/>
              <w:gridCol w:w="1227"/>
              <w:gridCol w:w="981"/>
              <w:gridCol w:w="725"/>
              <w:gridCol w:w="1067"/>
              <w:gridCol w:w="725"/>
              <w:gridCol w:w="1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监测</w:t>
                  </w:r>
                </w:p>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阶段</w:t>
                  </w:r>
                </w:p>
              </w:tc>
              <w:tc>
                <w:tcPr>
                  <w:tcW w:w="787" w:type="dxa"/>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监测</w:t>
                  </w:r>
                </w:p>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类别</w:t>
                  </w:r>
                </w:p>
              </w:tc>
              <w:tc>
                <w:tcPr>
                  <w:tcW w:w="848" w:type="dxa"/>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污染源</w:t>
                  </w:r>
                </w:p>
              </w:tc>
              <w:tc>
                <w:tcPr>
                  <w:tcW w:w="1230" w:type="dxa"/>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监测点位</w:t>
                  </w:r>
                </w:p>
              </w:tc>
              <w:tc>
                <w:tcPr>
                  <w:tcW w:w="983" w:type="dxa"/>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监测项目</w:t>
                  </w:r>
                </w:p>
              </w:tc>
              <w:tc>
                <w:tcPr>
                  <w:tcW w:w="726" w:type="dxa"/>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监测频率</w:t>
                  </w:r>
                </w:p>
              </w:tc>
              <w:tc>
                <w:tcPr>
                  <w:tcW w:w="1069" w:type="dxa"/>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监测时间</w:t>
                  </w:r>
                </w:p>
              </w:tc>
              <w:tc>
                <w:tcPr>
                  <w:tcW w:w="726" w:type="dxa"/>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采样时间</w:t>
                  </w:r>
                </w:p>
              </w:tc>
              <w:tc>
                <w:tcPr>
                  <w:tcW w:w="1034" w:type="dxa"/>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实施机构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31" w:type="dxa"/>
                  <w:noWrap w:val="0"/>
                  <w:vAlign w:val="center"/>
                </w:tcPr>
                <w:p>
                  <w:pPr>
                    <w:jc w:val="center"/>
                    <w:rPr>
                      <w:rFonts w:hint="eastAsia" w:eastAsia="宋体"/>
                      <w:color w:val="auto"/>
                      <w:lang w:eastAsia="zh-CN"/>
                    </w:rPr>
                  </w:pPr>
                  <w:r>
                    <w:rPr>
                      <w:rFonts w:hint="eastAsia"/>
                      <w:color w:val="auto"/>
                      <w:lang w:eastAsia="zh-CN"/>
                    </w:rPr>
                    <w:t>运营期</w:t>
                  </w:r>
                </w:p>
              </w:tc>
              <w:tc>
                <w:tcPr>
                  <w:tcW w:w="787"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厂界</w:t>
                  </w:r>
                </w:p>
              </w:tc>
              <w:tc>
                <w:tcPr>
                  <w:tcW w:w="848"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厂界外1m处</w:t>
                  </w:r>
                </w:p>
              </w:tc>
              <w:tc>
                <w:tcPr>
                  <w:tcW w:w="123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厂界噪声（等效A声级）</w:t>
                  </w:r>
                </w:p>
              </w:tc>
              <w:tc>
                <w:tcPr>
                  <w:tcW w:w="98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每季度1次</w:t>
                  </w:r>
                </w:p>
              </w:tc>
              <w:tc>
                <w:tcPr>
                  <w:tcW w:w="726"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1天</w:t>
                  </w:r>
                </w:p>
              </w:tc>
              <w:tc>
                <w:tcPr>
                  <w:tcW w:w="106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每天昼、夜间各1次</w:t>
                  </w:r>
                </w:p>
              </w:tc>
              <w:tc>
                <w:tcPr>
                  <w:tcW w:w="726"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厂界</w:t>
                  </w:r>
                </w:p>
              </w:tc>
              <w:tc>
                <w:tcPr>
                  <w:tcW w:w="1034" w:type="dxa"/>
                  <w:noWrap w:val="0"/>
                  <w:vAlign w:val="center"/>
                </w:tcPr>
                <w:p>
                  <w:pPr>
                    <w:spacing w:line="240" w:lineRule="auto"/>
                    <w:jc w:val="center"/>
                    <w:rPr>
                      <w:color w:val="auto"/>
                    </w:rPr>
                  </w:pPr>
                  <w:r>
                    <w:rPr>
                      <w:rFonts w:hint="default" w:ascii="Times New Roman" w:hAnsi="Times New Roman" w:eastAsia="宋体" w:cs="Times New Roman"/>
                      <w:color w:val="auto"/>
                      <w:sz w:val="21"/>
                      <w:szCs w:val="21"/>
                      <w:lang w:val="en-US" w:eastAsia="zh-CN" w:bidi="ar-SA"/>
                    </w:rPr>
                    <w:t>专业环境监测单位</w:t>
                  </w:r>
                </w:p>
              </w:tc>
            </w:tr>
          </w:tbl>
          <w:p>
            <w:pPr>
              <w:spacing w:line="360" w:lineRule="auto"/>
              <w:jc w:val="left"/>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4固体废物</w:t>
            </w:r>
          </w:p>
          <w:p>
            <w:pPr>
              <w:spacing w:line="360" w:lineRule="auto"/>
              <w:jc w:val="left"/>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4.1固废产生情况</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本项目固体废物主要包括一般工业固废</w:t>
            </w:r>
            <w:r>
              <w:rPr>
                <w:rFonts w:hint="eastAsia" w:ascii="Times New Roman" w:hAnsi="Times New Roman" w:eastAsia="宋体" w:cs="Times New Roman"/>
                <w:color w:val="auto"/>
                <w:sz w:val="24"/>
                <w:szCs w:val="24"/>
                <w:lang w:val="en-US" w:eastAsia="zh-CN" w:bidi="ar-SA"/>
              </w:rPr>
              <w:t>、危险废物</w:t>
            </w:r>
            <w:r>
              <w:rPr>
                <w:rFonts w:hint="default" w:ascii="Times New Roman" w:hAnsi="Times New Roman" w:eastAsia="宋体" w:cs="Times New Roman"/>
                <w:color w:val="auto"/>
                <w:sz w:val="24"/>
                <w:szCs w:val="24"/>
                <w:lang w:val="en-US" w:eastAsia="zh-CN" w:bidi="ar-SA"/>
              </w:rPr>
              <w:t>和生活垃圾。</w:t>
            </w:r>
          </w:p>
          <w:p>
            <w:pPr>
              <w:spacing w:line="360" w:lineRule="auto"/>
              <w:jc w:val="left"/>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4.2固体废物影响分析</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（1）一般工业固废</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①除尘器收集的粉尘</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除尘器收集的粉尘属于一般固体废物66类，分类代码为</w:t>
            </w:r>
            <w:r>
              <w:rPr>
                <w:rFonts w:hint="eastAsia" w:ascii="Times New Roman" w:hAnsi="Times New Roman" w:eastAsia="宋体" w:cs="Times New Roman"/>
                <w:color w:val="auto"/>
                <w:sz w:val="24"/>
                <w:szCs w:val="24"/>
                <w:lang w:val="en-US" w:eastAsia="zh-CN" w:bidi="ar-SA"/>
              </w:rPr>
              <w:t>900</w:t>
            </w:r>
            <w:r>
              <w:rPr>
                <w:rFonts w:hint="default" w:ascii="Times New Roman" w:hAnsi="Times New Roman" w:eastAsia="宋体" w:cs="Times New Roman"/>
                <w:color w:val="auto"/>
                <w:sz w:val="24"/>
                <w:szCs w:val="24"/>
                <w:lang w:val="en-US" w:eastAsia="zh-CN" w:bidi="ar-SA"/>
              </w:rPr>
              <w:t>-999-66，根据工程分析，</w:t>
            </w:r>
            <w:r>
              <w:rPr>
                <w:rFonts w:hint="eastAsia" w:ascii="Times New Roman" w:hAnsi="Times New Roman" w:eastAsia="宋体" w:cs="Times New Roman"/>
                <w:color w:val="auto"/>
                <w:sz w:val="24"/>
                <w:szCs w:val="24"/>
                <w:lang w:val="en-US" w:eastAsia="zh-CN" w:bidi="ar-SA"/>
              </w:rPr>
              <w:t>袋式</w:t>
            </w:r>
            <w:r>
              <w:rPr>
                <w:rFonts w:hint="default" w:ascii="Times New Roman" w:hAnsi="Times New Roman" w:eastAsia="宋体" w:cs="Times New Roman"/>
                <w:color w:val="auto"/>
                <w:sz w:val="24"/>
                <w:szCs w:val="24"/>
                <w:lang w:val="en-US" w:eastAsia="zh-CN" w:bidi="ar-SA"/>
              </w:rPr>
              <w:t>除尘器收集的粉尘约</w:t>
            </w:r>
            <w:r>
              <w:rPr>
                <w:rFonts w:hint="eastAsia" w:ascii="Times New Roman" w:hAnsi="Times New Roman" w:eastAsia="宋体" w:cs="Times New Roman"/>
                <w:color w:val="auto"/>
                <w:sz w:val="24"/>
                <w:szCs w:val="24"/>
                <w:lang w:val="en-US" w:eastAsia="zh-CN" w:bidi="ar-SA"/>
              </w:rPr>
              <w:t>37.858</w:t>
            </w:r>
            <w:r>
              <w:rPr>
                <w:rFonts w:hint="default" w:ascii="Times New Roman" w:hAnsi="Times New Roman" w:eastAsia="宋体" w:cs="Times New Roman"/>
                <w:color w:val="auto"/>
                <w:sz w:val="24"/>
                <w:szCs w:val="24"/>
                <w:lang w:val="en-US" w:eastAsia="zh-CN" w:bidi="ar-SA"/>
              </w:rPr>
              <w:t>t/a，集中收集后</w:t>
            </w:r>
            <w:r>
              <w:rPr>
                <w:rFonts w:hint="eastAsia" w:ascii="Times New Roman" w:hAnsi="Times New Roman" w:eastAsia="宋体" w:cs="Times New Roman"/>
                <w:color w:val="auto"/>
                <w:sz w:val="24"/>
                <w:szCs w:val="24"/>
                <w:lang w:val="en-US" w:eastAsia="zh-CN" w:bidi="ar-SA"/>
              </w:rPr>
              <w:t>外售</w:t>
            </w:r>
            <w:r>
              <w:rPr>
                <w:rFonts w:hint="default" w:ascii="Times New Roman" w:hAnsi="Times New Roman" w:eastAsia="宋体" w:cs="Times New Roman"/>
                <w:color w:val="auto"/>
                <w:sz w:val="24"/>
                <w:szCs w:val="24"/>
                <w:lang w:val="en-US" w:eastAsia="zh-CN" w:bidi="ar-SA"/>
              </w:rPr>
              <w:t>。</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②下脚料、不合格产品</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本项目生产线固废主要有下脚料、检测过程中的不合格产品，属于一般固体废物</w:t>
            </w:r>
            <w:r>
              <w:rPr>
                <w:rFonts w:hint="eastAsia" w:ascii="Times New Roman" w:hAnsi="Times New Roman" w:eastAsia="宋体" w:cs="Times New Roman"/>
                <w:color w:val="auto"/>
                <w:sz w:val="24"/>
                <w:szCs w:val="24"/>
                <w:lang w:val="en-US" w:eastAsia="zh-CN" w:bidi="ar-SA"/>
              </w:rPr>
              <w:t>99</w:t>
            </w:r>
            <w:r>
              <w:rPr>
                <w:rFonts w:hint="default" w:ascii="Times New Roman" w:hAnsi="Times New Roman" w:eastAsia="宋体" w:cs="Times New Roman"/>
                <w:color w:val="auto"/>
                <w:sz w:val="24"/>
                <w:szCs w:val="24"/>
                <w:lang w:val="en-US" w:eastAsia="zh-CN" w:bidi="ar-SA"/>
              </w:rPr>
              <w:t>类，分类代码为</w:t>
            </w:r>
            <w:r>
              <w:rPr>
                <w:rFonts w:hint="eastAsia" w:ascii="Times New Roman" w:hAnsi="Times New Roman" w:eastAsia="宋体" w:cs="Times New Roman"/>
                <w:color w:val="auto"/>
                <w:sz w:val="24"/>
                <w:szCs w:val="24"/>
                <w:lang w:val="en-US" w:eastAsia="zh-CN" w:bidi="ar-SA"/>
              </w:rPr>
              <w:t>900</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999</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99。</w:t>
            </w:r>
            <w:r>
              <w:rPr>
                <w:rFonts w:hint="default" w:ascii="Times New Roman" w:hAnsi="Times New Roman" w:eastAsia="宋体" w:cs="Times New Roman"/>
                <w:color w:val="auto"/>
                <w:sz w:val="24"/>
                <w:szCs w:val="24"/>
                <w:lang w:val="en-US" w:eastAsia="zh-CN" w:bidi="ar-SA"/>
              </w:rPr>
              <w:t>根据业主提供的资料</w:t>
            </w:r>
            <w:r>
              <w:rPr>
                <w:rFonts w:hint="eastAsia" w:ascii="Times New Roman" w:hAnsi="Times New Roman" w:eastAsia="宋体" w:cs="Times New Roman"/>
                <w:color w:val="auto"/>
                <w:sz w:val="24"/>
                <w:szCs w:val="24"/>
                <w:lang w:val="en-US" w:eastAsia="zh-CN" w:bidi="ar-SA"/>
              </w:rPr>
              <w:t>，下脚料、不合格产品</w:t>
            </w:r>
            <w:r>
              <w:rPr>
                <w:rFonts w:hint="default" w:ascii="Times New Roman" w:hAnsi="Times New Roman" w:eastAsia="宋体" w:cs="Times New Roman"/>
                <w:color w:val="auto"/>
                <w:sz w:val="24"/>
                <w:szCs w:val="24"/>
                <w:lang w:val="en-US" w:eastAsia="zh-CN" w:bidi="ar-SA"/>
              </w:rPr>
              <w:t>产生量约为</w:t>
            </w:r>
            <w:r>
              <w:rPr>
                <w:rFonts w:hint="eastAsia" w:ascii="Times New Roman" w:hAnsi="Times New Roman" w:eastAsia="宋体" w:cs="Times New Roman"/>
                <w:color w:val="auto"/>
                <w:sz w:val="24"/>
                <w:szCs w:val="24"/>
                <w:lang w:val="en-US" w:eastAsia="zh-CN" w:bidi="ar-SA"/>
              </w:rPr>
              <w:t>30.764</w:t>
            </w:r>
            <w:r>
              <w:rPr>
                <w:rFonts w:hint="default" w:ascii="Times New Roman" w:hAnsi="Times New Roman" w:eastAsia="宋体" w:cs="Times New Roman"/>
                <w:color w:val="auto"/>
                <w:sz w:val="24"/>
                <w:szCs w:val="24"/>
                <w:lang w:val="en-US" w:eastAsia="zh-CN" w:bidi="ar-SA"/>
              </w:rPr>
              <w:t>t/a，集中收集后</w:t>
            </w:r>
            <w:r>
              <w:rPr>
                <w:rFonts w:hint="eastAsia" w:ascii="Times New Roman" w:hAnsi="Times New Roman" w:eastAsia="宋体" w:cs="Times New Roman"/>
                <w:color w:val="auto"/>
                <w:sz w:val="24"/>
                <w:szCs w:val="24"/>
                <w:lang w:val="en-US" w:eastAsia="zh-CN" w:bidi="ar-SA"/>
              </w:rPr>
              <w:t>外售</w:t>
            </w:r>
            <w:r>
              <w:rPr>
                <w:rFonts w:hint="default" w:ascii="Times New Roman" w:hAnsi="Times New Roman" w:eastAsia="宋体" w:cs="Times New Roman"/>
                <w:color w:val="auto"/>
                <w:sz w:val="24"/>
                <w:szCs w:val="24"/>
                <w:lang w:val="en-US" w:eastAsia="zh-CN" w:bidi="ar-SA"/>
              </w:rPr>
              <w:t>。</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③废包装材料</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本项目石英砂、玻璃纤维（缠绕纱、表面毡）、纱布、薄膜等一般固废外包装，属于一般固体废物</w:t>
            </w:r>
            <w:r>
              <w:rPr>
                <w:rFonts w:hint="eastAsia" w:ascii="Times New Roman" w:hAnsi="Times New Roman" w:eastAsia="宋体" w:cs="Times New Roman"/>
                <w:color w:val="auto"/>
                <w:sz w:val="24"/>
                <w:szCs w:val="24"/>
                <w:lang w:val="en-US" w:eastAsia="zh-CN" w:bidi="ar-SA"/>
              </w:rPr>
              <w:t>99</w:t>
            </w:r>
            <w:r>
              <w:rPr>
                <w:rFonts w:hint="default" w:ascii="Times New Roman" w:hAnsi="Times New Roman" w:eastAsia="宋体" w:cs="Times New Roman"/>
                <w:color w:val="auto"/>
                <w:sz w:val="24"/>
                <w:szCs w:val="24"/>
                <w:lang w:val="en-US" w:eastAsia="zh-CN" w:bidi="ar-SA"/>
              </w:rPr>
              <w:t>类，分类代码为</w:t>
            </w:r>
            <w:r>
              <w:rPr>
                <w:rFonts w:hint="eastAsia" w:ascii="Times New Roman" w:hAnsi="Times New Roman" w:eastAsia="宋体" w:cs="Times New Roman"/>
                <w:color w:val="auto"/>
                <w:sz w:val="24"/>
                <w:szCs w:val="24"/>
                <w:lang w:val="en-US" w:eastAsia="zh-CN" w:bidi="ar-SA"/>
              </w:rPr>
              <w:t>900</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999</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99。根据企业提供的资料，废包装材料产生量约为5.98t/a，</w:t>
            </w:r>
            <w:r>
              <w:rPr>
                <w:rFonts w:hint="default" w:ascii="Times New Roman" w:hAnsi="Times New Roman" w:eastAsia="宋体" w:cs="Times New Roman"/>
                <w:color w:val="auto"/>
                <w:sz w:val="24"/>
                <w:szCs w:val="24"/>
                <w:lang w:val="en-US" w:eastAsia="zh-CN" w:bidi="ar-SA"/>
              </w:rPr>
              <w:t>集中收集后</w:t>
            </w:r>
            <w:r>
              <w:rPr>
                <w:rFonts w:hint="eastAsia" w:ascii="Times New Roman" w:hAnsi="Times New Roman" w:eastAsia="宋体" w:cs="Times New Roman"/>
                <w:color w:val="auto"/>
                <w:sz w:val="24"/>
                <w:szCs w:val="24"/>
                <w:lang w:val="en-US" w:eastAsia="zh-CN" w:bidi="ar-SA"/>
              </w:rPr>
              <w:t>外售</w:t>
            </w:r>
            <w:r>
              <w:rPr>
                <w:rFonts w:hint="default" w:ascii="Times New Roman" w:hAnsi="Times New Roman" w:eastAsia="宋体" w:cs="Times New Roman"/>
                <w:color w:val="auto"/>
                <w:sz w:val="24"/>
                <w:szCs w:val="24"/>
                <w:lang w:val="en-US" w:eastAsia="zh-CN" w:bidi="ar-SA"/>
              </w:rPr>
              <w:t>。</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（2）危险废物</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①</w:t>
            </w:r>
            <w:r>
              <w:rPr>
                <w:rFonts w:hint="eastAsia" w:ascii="Times New Roman" w:hAnsi="Times New Roman" w:eastAsia="宋体" w:cs="Times New Roman"/>
                <w:color w:val="auto"/>
                <w:sz w:val="24"/>
                <w:szCs w:val="24"/>
                <w:lang w:val="en-US" w:eastAsia="zh-CN" w:bidi="ar-SA"/>
              </w:rPr>
              <w:t>废活性炭</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cs="Times New Roman"/>
                <w:color w:val="auto"/>
                <w:sz w:val="24"/>
                <w:szCs w:val="24"/>
                <w:lang w:eastAsia="zh-CN"/>
              </w:rPr>
              <w:t>项目运营期，有机废气</w:t>
            </w:r>
            <w:r>
              <w:rPr>
                <w:rFonts w:hint="default" w:ascii="Times New Roman" w:hAnsi="Times New Roman" w:eastAsia="宋体" w:cs="Times New Roman"/>
                <w:color w:val="auto"/>
                <w:sz w:val="24"/>
                <w:szCs w:val="24"/>
              </w:rPr>
              <w:t>经过</w:t>
            </w:r>
            <w:r>
              <w:rPr>
                <w:rFonts w:hint="eastAsia" w:ascii="Times New Roman" w:hAnsi="Times New Roman" w:cs="Times New Roman"/>
                <w:color w:val="auto"/>
                <w:sz w:val="24"/>
                <w:lang w:val="en-US" w:eastAsia="zh-CN"/>
              </w:rPr>
              <w:t>活性炭吸附脱附+催化燃烧</w:t>
            </w:r>
            <w:r>
              <w:rPr>
                <w:rFonts w:hint="eastAsia" w:ascii="Times New Roman" w:hAnsi="Times New Roman" w:eastAsia="宋体" w:cs="Times New Roman"/>
                <w:color w:val="auto"/>
                <w:sz w:val="24"/>
                <w:highlight w:val="none"/>
                <w:lang w:val="en-US" w:eastAsia="zh-CN"/>
              </w:rPr>
              <w:t>装置需要利用活性炭进行吸附</w:t>
            </w:r>
            <w:r>
              <w:rPr>
                <w:rFonts w:hint="default" w:ascii="Times New Roman" w:hAnsi="Times New Roman" w:eastAsia="宋体" w:cs="Times New Roman"/>
                <w:color w:val="auto"/>
                <w:sz w:val="24"/>
                <w:szCs w:val="24"/>
              </w:rPr>
              <w:t>处理</w:t>
            </w:r>
            <w:r>
              <w:rPr>
                <w:rFonts w:hint="eastAsia" w:ascii="Times New Roman" w:hAnsi="Times New Roman" w:eastAsia="宋体" w:cs="Times New Roman"/>
                <w:color w:val="auto"/>
                <w:sz w:val="24"/>
                <w:highlight w:val="none"/>
                <w:lang w:val="en-US" w:eastAsia="zh-CN"/>
              </w:rPr>
              <w:t>，有机废气处理过程中先用活性炭吸附，当快达到饱和时停止吸附，然后用热气流将有机物从活性炭上脱附下来使活性炭再生，相对于传统活性炭直接吸附处理装置，废活性炭产生量较小。参考设备厂家资料，产生量约</w:t>
            </w:r>
            <w:r>
              <w:rPr>
                <w:rFonts w:hint="default" w:ascii="Times New Roman" w:hAnsi="Times New Roman" w:eastAsia="宋体" w:cs="Times New Roman"/>
                <w:color w:val="auto"/>
                <w:sz w:val="24"/>
                <w:szCs w:val="24"/>
                <w:lang w:val="en-US" w:eastAsia="zh-CN" w:bidi="ar-SA"/>
              </w:rPr>
              <w:t>为</w:t>
            </w:r>
            <w:r>
              <w:rPr>
                <w:rFonts w:hint="eastAsia" w:ascii="Times New Roman" w:hAnsi="Times New Roman" w:eastAsia="宋体" w:cs="Times New Roman"/>
                <w:color w:val="auto"/>
                <w:sz w:val="24"/>
                <w:szCs w:val="24"/>
                <w:lang w:val="en-US" w:eastAsia="zh-CN" w:bidi="ar-SA"/>
              </w:rPr>
              <w:t>0.5</w:t>
            </w:r>
            <w:r>
              <w:rPr>
                <w:rFonts w:hint="default" w:ascii="Times New Roman" w:hAnsi="Times New Roman" w:eastAsia="宋体" w:cs="Times New Roman"/>
                <w:color w:val="auto"/>
                <w:sz w:val="24"/>
                <w:szCs w:val="24"/>
                <w:lang w:val="en-US" w:eastAsia="zh-CN" w:bidi="ar-SA"/>
              </w:rPr>
              <w:t>t/a。根据《国家危险废物名录》（2021年版），废活性炭属于危险废物</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废物类别：HW49其他废物，废物代码：900-039-49</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，废活性炭采用符合标准容器盛放后暂存于</w:t>
            </w:r>
            <w:r>
              <w:rPr>
                <w:rFonts w:hint="eastAsia" w:ascii="Times New Roman" w:hAnsi="Times New Roman" w:cs="Times New Roman"/>
                <w:color w:val="auto"/>
                <w:sz w:val="24"/>
                <w:szCs w:val="24"/>
                <w:lang w:val="en-US" w:eastAsia="zh-CN" w:bidi="ar-SA"/>
              </w:rPr>
              <w:t>危废暂存间</w:t>
            </w:r>
            <w:r>
              <w:rPr>
                <w:rFonts w:hint="default" w:ascii="Times New Roman" w:hAnsi="Times New Roman" w:eastAsia="宋体" w:cs="Times New Roman"/>
                <w:color w:val="auto"/>
                <w:sz w:val="24"/>
                <w:szCs w:val="24"/>
                <w:lang w:val="en-US" w:eastAsia="zh-CN" w:bidi="ar-SA"/>
              </w:rPr>
              <w:t>1</w:t>
            </w:r>
            <w:r>
              <w:rPr>
                <w:rFonts w:hint="eastAsia" w:ascii="Times New Roman" w:hAnsi="Times New Roman" w:eastAsia="宋体" w:cs="Times New Roman"/>
                <w:color w:val="auto"/>
                <w:sz w:val="24"/>
                <w:szCs w:val="24"/>
                <w:lang w:val="en-US" w:eastAsia="zh-CN" w:bidi="ar-SA"/>
              </w:rPr>
              <w:t>0</w:t>
            </w:r>
            <w:r>
              <w:rPr>
                <w:rFonts w:hint="default" w:ascii="Times New Roman" w:hAnsi="Times New Roman" w:eastAsia="宋体" w:cs="Times New Roman"/>
                <w:color w:val="auto"/>
                <w:sz w:val="24"/>
                <w:szCs w:val="24"/>
                <w:lang w:val="en-US" w:eastAsia="zh-CN" w:bidi="ar-SA"/>
              </w:rPr>
              <w:t>m</w:t>
            </w:r>
            <w:r>
              <w:rPr>
                <w:rFonts w:hint="default"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lang w:val="en-US" w:eastAsia="zh-CN" w:bidi="ar-SA"/>
              </w:rPr>
              <w:t>，委托有资质单位上门拉运处置。</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根据《2020年挥发性有机物攻坚方案》及《关于加快解决当前挥发性有机物治理突出问题的通知》中要求，采用活性炭吸附技术的，应选择碘值不低于800毫克/克的活性炭，</w:t>
            </w:r>
            <w:r>
              <w:rPr>
                <w:rFonts w:hint="eastAsia" w:ascii="Times New Roman" w:hAnsi="Times New Roman" w:eastAsia="宋体" w:cs="Times New Roman"/>
                <w:color w:val="auto"/>
                <w:sz w:val="24"/>
                <w:highlight w:val="none"/>
                <w:lang w:val="en-US" w:eastAsia="zh-CN"/>
              </w:rPr>
              <w:t>本项目选择碘值不低于800mg/g的活性炭进行吸附</w:t>
            </w:r>
            <w:r>
              <w:rPr>
                <w:rFonts w:hint="eastAsia" w:ascii="Times New Roman" w:hAnsi="Times New Roman" w:eastAsia="宋体" w:cs="Times New Roman"/>
                <w:color w:val="auto"/>
                <w:sz w:val="24"/>
                <w:szCs w:val="24"/>
                <w:lang w:val="en-US" w:eastAsia="zh-CN"/>
              </w:rPr>
              <w:t>，并按设计要求足量添加、及时更换。</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②废催化剂</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催化燃烧装置</w:t>
            </w:r>
            <w:r>
              <w:rPr>
                <w:rFonts w:hint="default" w:ascii="Times New Roman" w:hAnsi="Times New Roman" w:eastAsia="宋体" w:cs="Times New Roman"/>
                <w:color w:val="auto"/>
                <w:sz w:val="24"/>
                <w:szCs w:val="24"/>
                <w:lang w:val="en-US" w:eastAsia="zh-CN" w:bidi="ar-SA"/>
              </w:rPr>
              <w:t>使用的贵金属催化剂主要含钯、铂等，载体含镍、石材等物质，在使用一到两年后，会失去原有催化效力，需要进行更换，废催化剂产生量约为</w:t>
            </w:r>
            <w:r>
              <w:rPr>
                <w:rFonts w:hint="eastAsia" w:ascii="Times New Roman" w:hAnsi="Times New Roman" w:eastAsia="宋体" w:cs="Times New Roman"/>
                <w:color w:val="auto"/>
                <w:sz w:val="24"/>
                <w:szCs w:val="24"/>
                <w:lang w:val="en-US" w:eastAsia="zh-CN" w:bidi="ar-SA"/>
              </w:rPr>
              <w:t>0.010t</w:t>
            </w:r>
            <w:r>
              <w:rPr>
                <w:rFonts w:hint="default" w:ascii="Times New Roman" w:hAnsi="Times New Roman" w:eastAsia="宋体" w:cs="Times New Roman"/>
                <w:color w:val="auto"/>
                <w:sz w:val="24"/>
                <w:szCs w:val="24"/>
                <w:lang w:val="en-US" w:eastAsia="zh-CN" w:bidi="ar-SA"/>
              </w:rPr>
              <w:t>/a。根据《国家危险废物名录》（2021年版），废催化剂属于危险废物（危废类别：HW46含镍废物，废物代码900-037-46），废催化剂全部由厂家回收。</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③废不饱和聚酯树脂桶</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根据企业提供的资料，废不饱和聚酯树脂桶</w:t>
            </w:r>
            <w:r>
              <w:rPr>
                <w:rFonts w:hint="default" w:ascii="Times New Roman" w:hAnsi="Times New Roman" w:eastAsia="宋体" w:cs="Times New Roman"/>
                <w:color w:val="auto"/>
                <w:sz w:val="24"/>
                <w:szCs w:val="24"/>
                <w:lang w:val="en-US" w:eastAsia="zh-CN"/>
              </w:rPr>
              <w:t>产生</w:t>
            </w:r>
            <w:r>
              <w:rPr>
                <w:rFonts w:hint="eastAsia" w:ascii="Times New Roman" w:hAnsi="Times New Roman" w:eastAsia="宋体" w:cs="Times New Roman"/>
                <w:color w:val="auto"/>
                <w:sz w:val="24"/>
                <w:szCs w:val="24"/>
                <w:lang w:val="en-US" w:eastAsia="zh-CN"/>
              </w:rPr>
              <w:t>量</w:t>
            </w:r>
            <w:r>
              <w:rPr>
                <w:rFonts w:hint="default" w:ascii="Times New Roman" w:hAnsi="Times New Roman" w:eastAsia="宋体"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43.5</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lang w:val="en-US" w:eastAsia="zh-CN" w:bidi="ar-SA"/>
              </w:rPr>
              <w:t>。根据《国家危险废物名录》（2021年版），</w:t>
            </w:r>
            <w:r>
              <w:rPr>
                <w:rFonts w:hint="eastAsia" w:ascii="Times New Roman" w:hAnsi="Times New Roman" w:eastAsia="宋体" w:cs="Times New Roman"/>
                <w:color w:val="auto"/>
                <w:sz w:val="24"/>
                <w:szCs w:val="24"/>
                <w:lang w:val="en-US" w:eastAsia="zh-CN"/>
              </w:rPr>
              <w:t>废树脂桶</w:t>
            </w:r>
            <w:r>
              <w:rPr>
                <w:rFonts w:hint="default" w:ascii="Times New Roman" w:hAnsi="Times New Roman" w:eastAsia="宋体" w:cs="Times New Roman"/>
                <w:color w:val="auto"/>
                <w:sz w:val="24"/>
                <w:szCs w:val="24"/>
                <w:lang w:val="en-US" w:eastAsia="zh-CN" w:bidi="ar-SA"/>
              </w:rPr>
              <w:t>属于危险废物</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废物类别：HW</w:t>
            </w:r>
            <w:r>
              <w:rPr>
                <w:rFonts w:hint="eastAsia" w:ascii="Times New Roman" w:hAnsi="Times New Roman" w:eastAsia="宋体" w:cs="Times New Roman"/>
                <w:color w:val="auto"/>
                <w:sz w:val="24"/>
                <w:szCs w:val="24"/>
                <w:lang w:val="en-US" w:eastAsia="zh-CN" w:bidi="ar-SA"/>
              </w:rPr>
              <w:t>49其他废物</w:t>
            </w:r>
            <w:r>
              <w:rPr>
                <w:rFonts w:hint="default" w:ascii="Times New Roman" w:hAnsi="Times New Roman" w:eastAsia="宋体" w:cs="Times New Roman"/>
                <w:color w:val="auto"/>
                <w:sz w:val="24"/>
                <w:szCs w:val="24"/>
                <w:lang w:val="en-US" w:eastAsia="zh-CN" w:bidi="ar-SA"/>
              </w:rPr>
              <w:t>，废物代码：900-041-49</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w:t>
            </w:r>
          </w:p>
          <w:p>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spacing w:before="0" w:beforeAutospacing="0" w:after="0" w:afterAutospacing="0" w:line="360" w:lineRule="auto"/>
              <w:ind w:left="0" w:right="0" w:firstLine="420"/>
              <w:jc w:val="both"/>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固体废物鉴别标准通则》6.1条“任何不需要修复和加工即可用于其原始用途的物质，或者在产生点经过修复和加工后满足国家、地方制定或行业通行的产品质量标准并且用于其原始用途的物质”可不作为固废管理。废树脂桶属于能按照原用途使用的物质具有使用价值可以交回产生点依法定要求循环利用，本项目不将其作为固废处理。</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④废促进剂、固化剂桶</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根据企业提供的资料，废促进剂、固化剂桶</w:t>
            </w:r>
            <w:r>
              <w:rPr>
                <w:rFonts w:hint="default" w:ascii="Times New Roman" w:hAnsi="Times New Roman" w:eastAsia="宋体" w:cs="Times New Roman"/>
                <w:color w:val="auto"/>
                <w:sz w:val="24"/>
                <w:szCs w:val="24"/>
                <w:lang w:val="en-US" w:eastAsia="zh-CN"/>
              </w:rPr>
              <w:t>产生</w:t>
            </w:r>
            <w:r>
              <w:rPr>
                <w:rFonts w:hint="eastAsia" w:ascii="Times New Roman" w:hAnsi="Times New Roman" w:eastAsia="宋体" w:cs="Times New Roman"/>
                <w:color w:val="auto"/>
                <w:sz w:val="24"/>
                <w:szCs w:val="24"/>
                <w:lang w:val="en-US" w:eastAsia="zh-CN"/>
              </w:rPr>
              <w:t>量</w:t>
            </w:r>
            <w:r>
              <w:rPr>
                <w:rFonts w:hint="default" w:ascii="Times New Roman" w:hAnsi="Times New Roman" w:eastAsia="宋体"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lang w:val="en-US" w:eastAsia="zh-CN" w:bidi="ar-SA"/>
              </w:rPr>
              <w:t>。根据《国家危险废物名录》（2021年版），废促进剂桶、固化剂（促进剂主要成分异辛酸钴，为有毒有害物质；固化剂主要成分过氧化甲乙酮为高毒物质）属于</w:t>
            </w:r>
            <w:r>
              <w:rPr>
                <w:rFonts w:hint="eastAsia" w:ascii="Times New Roman" w:hAnsi="Times New Roman" w:eastAsia="宋体" w:cs="Times New Roman"/>
                <w:color w:val="auto"/>
                <w:sz w:val="24"/>
                <w:szCs w:val="24"/>
                <w:lang w:val="en-US" w:eastAsia="zh-CN" w:bidi="ar-SA"/>
              </w:rPr>
              <w:t>危险废物（</w:t>
            </w:r>
            <w:r>
              <w:rPr>
                <w:rFonts w:hint="default" w:ascii="Times New Roman" w:hAnsi="Times New Roman" w:eastAsia="宋体" w:cs="Times New Roman"/>
                <w:color w:val="auto"/>
                <w:sz w:val="24"/>
                <w:szCs w:val="24"/>
                <w:lang w:val="en-US" w:eastAsia="zh-CN" w:bidi="ar-SA"/>
              </w:rPr>
              <w:t>废物类别：HW</w:t>
            </w:r>
            <w:r>
              <w:rPr>
                <w:rFonts w:hint="eastAsia" w:ascii="Times New Roman" w:hAnsi="Times New Roman" w:eastAsia="宋体" w:cs="Times New Roman"/>
                <w:color w:val="auto"/>
                <w:sz w:val="24"/>
                <w:szCs w:val="24"/>
                <w:lang w:val="en-US" w:eastAsia="zh-CN" w:bidi="ar-SA"/>
              </w:rPr>
              <w:t>49其他废物</w:t>
            </w:r>
            <w:r>
              <w:rPr>
                <w:rFonts w:hint="default" w:ascii="Times New Roman" w:hAnsi="Times New Roman" w:eastAsia="宋体" w:cs="Times New Roman"/>
                <w:color w:val="auto"/>
                <w:sz w:val="24"/>
                <w:szCs w:val="24"/>
                <w:lang w:val="en-US" w:eastAsia="zh-CN" w:bidi="ar-SA"/>
              </w:rPr>
              <w:t>，废物代码：900-041-49</w:t>
            </w:r>
            <w:r>
              <w:rPr>
                <w:rFonts w:hint="eastAsia" w:ascii="Times New Roman" w:hAnsi="Times New Roman" w:eastAsia="宋体" w:cs="Times New Roman"/>
                <w:color w:val="auto"/>
                <w:sz w:val="24"/>
                <w:szCs w:val="24"/>
                <w:lang w:val="en-US" w:eastAsia="zh-CN" w:bidi="ar-SA"/>
              </w:rPr>
              <w:t>），废促进剂、固化剂桶</w:t>
            </w:r>
            <w:r>
              <w:rPr>
                <w:rFonts w:hint="default" w:ascii="Times New Roman" w:hAnsi="Times New Roman" w:eastAsia="宋体" w:cs="Times New Roman"/>
                <w:color w:val="auto"/>
                <w:sz w:val="24"/>
                <w:szCs w:val="24"/>
                <w:lang w:val="en-US" w:eastAsia="zh-CN" w:bidi="ar-SA"/>
              </w:rPr>
              <w:t>产生后于危废暂存间暂存，委托有资质单位上门拉运处置。</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（3）生活垃圾</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劳动定员10人</w:t>
            </w:r>
            <w:r>
              <w:rPr>
                <w:rFonts w:hint="default" w:ascii="Times New Roman" w:hAnsi="Times New Roman" w:eastAsia="宋体" w:cs="Times New Roman"/>
                <w:color w:val="auto"/>
                <w:sz w:val="24"/>
                <w:szCs w:val="24"/>
                <w:lang w:val="en-US" w:eastAsia="zh-CN"/>
              </w:rPr>
              <w:t>，年工作</w:t>
            </w:r>
            <w:r>
              <w:rPr>
                <w:rFonts w:hint="eastAsia" w:ascii="Times New Roman" w:hAnsi="Times New Roman" w:eastAsia="宋体" w:cs="Times New Roman"/>
                <w:color w:val="auto"/>
                <w:sz w:val="24"/>
                <w:szCs w:val="24"/>
                <w:lang w:val="en-US" w:eastAsia="zh-CN"/>
              </w:rPr>
              <w:t>240</w:t>
            </w:r>
            <w:r>
              <w:rPr>
                <w:rFonts w:hint="default" w:ascii="Times New Roman" w:hAnsi="Times New Roman" w:eastAsia="宋体" w:cs="Times New Roman"/>
                <w:color w:val="auto"/>
                <w:sz w:val="24"/>
                <w:szCs w:val="24"/>
                <w:lang w:val="en-US" w:eastAsia="zh-CN"/>
              </w:rPr>
              <w:t>天，按每人每天产生生活垃圾0.5kg/d，生活垃圾产生量约为</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t/a。分类收集、避雨存放，委托环卫部门定期清运处理</w:t>
            </w:r>
            <w:r>
              <w:rPr>
                <w:rFonts w:hint="eastAsia" w:cs="Times New Roman"/>
                <w:color w:val="auto"/>
                <w:sz w:val="24"/>
                <w:szCs w:val="24"/>
                <w:lang w:val="en-US" w:eastAsia="zh-CN" w:bidi="ar-SA"/>
              </w:rPr>
              <w:t>。</w:t>
            </w:r>
          </w:p>
          <w:p>
            <w:pPr>
              <w:spacing w:line="240" w:lineRule="auto"/>
              <w:ind w:firstLine="2108" w:firstLineChars="1000"/>
              <w:jc w:val="both"/>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表4-</w:t>
            </w:r>
            <w:r>
              <w:rPr>
                <w:rFonts w:hint="eastAsia" w:ascii="Times New Roman" w:hAnsi="Times New Roman" w:eastAsia="宋体" w:cs="Times New Roman"/>
                <w:b/>
                <w:bCs/>
                <w:color w:val="auto"/>
                <w:lang w:val="en-US" w:eastAsia="zh-CN" w:bidi="ar-SA"/>
              </w:rPr>
              <w:t>1</w:t>
            </w:r>
            <w:r>
              <w:rPr>
                <w:rFonts w:hint="eastAsia" w:cs="Times New Roman"/>
                <w:b/>
                <w:bCs/>
                <w:color w:val="auto"/>
                <w:lang w:val="en-US" w:eastAsia="zh-CN" w:bidi="ar-SA"/>
              </w:rPr>
              <w:t>5</w:t>
            </w:r>
            <w:r>
              <w:rPr>
                <w:rFonts w:hint="default" w:ascii="Times New Roman" w:hAnsi="Times New Roman" w:eastAsia="宋体" w:cs="Times New Roman"/>
                <w:b/>
                <w:bCs/>
                <w:color w:val="auto"/>
                <w:lang w:val="en-US" w:eastAsia="zh-CN" w:bidi="ar-SA"/>
              </w:rPr>
              <w:t xml:space="preserve">  本项目固体废物产生情况一览表</w:t>
            </w:r>
          </w:p>
          <w:tbl>
            <w:tblPr>
              <w:tblStyle w:val="31"/>
              <w:tblW w:w="4995" w:type="pct"/>
              <w:jc w:val="center"/>
              <w:tblBorders>
                <w:top w:val="single" w:color="auto" w:sz="12" w:space="0"/>
                <w:left w:val="none" w:color="auto" w:sz="0" w:space="0"/>
                <w:bottom w:val="single" w:color="auto" w:sz="12"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592"/>
              <w:gridCol w:w="1209"/>
              <w:gridCol w:w="1472"/>
              <w:gridCol w:w="2904"/>
              <w:gridCol w:w="1219"/>
              <w:gridCol w:w="822"/>
            </w:tblGrid>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79" w:hRule="atLeast"/>
                <w:jc w:val="center"/>
              </w:trPr>
              <w:tc>
                <w:tcPr>
                  <w:tcW w:w="360"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序号</w:t>
                  </w:r>
                </w:p>
              </w:tc>
              <w:tc>
                <w:tcPr>
                  <w:tcW w:w="735"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固废名称</w:t>
                  </w:r>
                </w:p>
              </w:tc>
              <w:tc>
                <w:tcPr>
                  <w:tcW w:w="895"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属性</w:t>
                  </w:r>
                </w:p>
              </w:tc>
              <w:tc>
                <w:tcPr>
                  <w:tcW w:w="1766"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废物鉴别方法</w:t>
                  </w:r>
                </w:p>
              </w:tc>
              <w:tc>
                <w:tcPr>
                  <w:tcW w:w="741"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产生量（t/a）</w:t>
                  </w:r>
                </w:p>
              </w:tc>
              <w:tc>
                <w:tcPr>
                  <w:tcW w:w="500"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lang w:val="en-US" w:eastAsia="zh-CN" w:bidi="ar-SA"/>
                    </w:rPr>
                  </w:pPr>
                  <w:r>
                    <w:rPr>
                      <w:rFonts w:hint="eastAsia" w:ascii="Times New Roman" w:hAnsi="Times New Roman" w:eastAsia="宋体" w:cs="Times New Roman"/>
                      <w:b/>
                      <w:bCs/>
                      <w:color w:val="auto"/>
                      <w:lang w:val="en-US" w:eastAsia="zh-CN" w:bidi="ar-SA"/>
                    </w:rPr>
                    <w:t>处置</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668" w:hRule="atLeast"/>
                <w:jc w:val="center"/>
              </w:trPr>
              <w:tc>
                <w:tcPr>
                  <w:tcW w:w="360" w:type="pct"/>
                  <w:tcBorders>
                    <w:top w:val="single" w:color="auto" w:sz="12"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w:t>
                  </w:r>
                </w:p>
              </w:tc>
              <w:tc>
                <w:tcPr>
                  <w:tcW w:w="735" w:type="pct"/>
                  <w:tcBorders>
                    <w:top w:val="single" w:color="auto" w:sz="12"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除尘器收集粉尘</w:t>
                  </w:r>
                </w:p>
              </w:tc>
              <w:tc>
                <w:tcPr>
                  <w:tcW w:w="895" w:type="pct"/>
                  <w:tcBorders>
                    <w:top w:val="single" w:color="auto" w:sz="12"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第</w:t>
                  </w:r>
                  <w:r>
                    <w:rPr>
                      <w:rFonts w:hint="eastAsia" w:ascii="Times New Roman" w:hAnsi="Times New Roman" w:eastAsia="宋体" w:cs="Times New Roman"/>
                      <w:color w:val="auto"/>
                      <w:lang w:val="en-US" w:eastAsia="zh-CN" w:bidi="ar-SA"/>
                    </w:rPr>
                    <w:fldChar w:fldCharType="begin"/>
                  </w:r>
                  <w:r>
                    <w:rPr>
                      <w:rFonts w:hint="eastAsia" w:ascii="Times New Roman" w:hAnsi="Times New Roman" w:eastAsia="宋体" w:cs="Times New Roman"/>
                      <w:color w:val="auto"/>
                      <w:lang w:val="en-US" w:eastAsia="zh-CN" w:bidi="ar-SA"/>
                    </w:rPr>
                    <w:instrText xml:space="preserve"> = 1 \* ROMAN \* MERGEFORMAT </w:instrText>
                  </w:r>
                  <w:r>
                    <w:rPr>
                      <w:rFonts w:hint="eastAsia" w:ascii="Times New Roman" w:hAnsi="Times New Roman" w:eastAsia="宋体" w:cs="Times New Roman"/>
                      <w:color w:val="auto"/>
                      <w:lang w:val="en-US" w:eastAsia="zh-CN" w:bidi="ar-SA"/>
                    </w:rPr>
                    <w:fldChar w:fldCharType="separate"/>
                  </w:r>
                  <w:r>
                    <w:rPr>
                      <w:color w:val="auto"/>
                    </w:rPr>
                    <w:t>I</w:t>
                  </w:r>
                  <w:r>
                    <w:rPr>
                      <w:rFonts w:hint="eastAsia" w:ascii="Times New Roman" w:hAnsi="Times New Roman" w:eastAsia="宋体" w:cs="Times New Roman"/>
                      <w:color w:val="auto"/>
                      <w:lang w:val="en-US" w:eastAsia="zh-CN" w:bidi="ar-SA"/>
                    </w:rPr>
                    <w:fldChar w:fldCharType="end"/>
                  </w:r>
                  <w:r>
                    <w:rPr>
                      <w:rFonts w:hint="eastAsia" w:ascii="Times New Roman" w:hAnsi="Times New Roman" w:eastAsia="宋体" w:cs="Times New Roman"/>
                      <w:color w:val="auto"/>
                      <w:lang w:val="en-US" w:eastAsia="zh-CN" w:bidi="ar-SA"/>
                    </w:rPr>
                    <w:t>类工业固体废物</w:t>
                  </w:r>
                </w:p>
              </w:tc>
              <w:tc>
                <w:tcPr>
                  <w:tcW w:w="1766" w:type="pct"/>
                  <w:vMerge w:val="restart"/>
                  <w:tcBorders>
                    <w:top w:val="single" w:color="auto" w:sz="12"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default" w:ascii="Times New Roman" w:hAnsi="Times New Roman" w:eastAsia="宋体" w:cs="Times New Roman"/>
                      <w:color w:val="auto"/>
                      <w:lang w:val="en-US" w:eastAsia="zh-CN" w:bidi="ar-SA"/>
                    </w:rPr>
                    <w:t>《国家危险废物名录》</w:t>
                  </w:r>
                  <w:r>
                    <w:rPr>
                      <w:rFonts w:hint="eastAsia" w:cs="Times New Roman"/>
                      <w:color w:val="auto"/>
                      <w:lang w:val="en-US" w:eastAsia="zh-CN" w:bidi="ar-SA"/>
                    </w:rPr>
                    <w:t>、</w:t>
                  </w:r>
                  <w:r>
                    <w:rPr>
                      <w:rFonts w:hint="default" w:ascii="Times New Roman" w:hAnsi="Times New Roman" w:eastAsia="宋体" w:cs="Times New Roman"/>
                      <w:color w:val="auto"/>
                      <w:lang w:val="en-US" w:eastAsia="zh-CN" w:bidi="ar-SA"/>
                    </w:rPr>
                    <w:t>《危险废物</w:t>
                  </w:r>
                  <w:r>
                    <w:rPr>
                      <w:rFonts w:hint="eastAsia" w:ascii="Times New Roman" w:hAnsi="Times New Roman" w:eastAsia="宋体" w:cs="Times New Roman"/>
                      <w:color w:val="auto"/>
                      <w:lang w:val="en-US" w:eastAsia="zh-CN" w:bidi="ar-SA"/>
                    </w:rPr>
                    <w:t>鉴别标准</w:t>
                  </w:r>
                  <w:r>
                    <w:rPr>
                      <w:rFonts w:hint="default" w:ascii="Times New Roman" w:hAnsi="Times New Roman" w:eastAsia="宋体" w:cs="Times New Roman"/>
                      <w:color w:val="auto"/>
                      <w:lang w:val="en-US" w:eastAsia="zh-CN" w:bidi="ar-SA"/>
                    </w:rPr>
                    <w:t>》</w:t>
                  </w:r>
                  <w:r>
                    <w:rPr>
                      <w:rFonts w:hint="eastAsia" w:cs="Times New Roman"/>
                      <w:color w:val="auto"/>
                      <w:lang w:val="en-US" w:eastAsia="zh-CN" w:bidi="ar-SA"/>
                    </w:rPr>
                    <w:t>及《</w:t>
                  </w:r>
                  <w:r>
                    <w:rPr>
                      <w:rFonts w:hint="default" w:ascii="Times New Roman" w:hAnsi="Times New Roman" w:eastAsia="宋体" w:cs="Times New Roman"/>
                      <w:color w:val="auto"/>
                      <w:lang w:val="en-US" w:eastAsia="zh-CN" w:bidi="ar-SA"/>
                    </w:rPr>
                    <w:t>一般固体废物分类与代码》</w:t>
                  </w:r>
                  <w:r>
                    <w:rPr>
                      <w:rFonts w:hint="eastAsia" w:ascii="Times New Roman" w:hAnsi="Times New Roman" w:eastAsia="宋体" w:cs="Times New Roman"/>
                      <w:color w:val="auto"/>
                      <w:lang w:val="en-US" w:eastAsia="zh-CN" w:bidi="ar-SA"/>
                    </w:rPr>
                    <w:t>（GBT39198-2020）</w:t>
                  </w:r>
                </w:p>
              </w:tc>
              <w:tc>
                <w:tcPr>
                  <w:tcW w:w="741" w:type="pct"/>
                  <w:tcBorders>
                    <w:top w:val="single" w:color="auto" w:sz="12"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37.858</w:t>
                  </w:r>
                </w:p>
              </w:tc>
              <w:tc>
                <w:tcPr>
                  <w:tcW w:w="500" w:type="pct"/>
                  <w:tcBorders>
                    <w:top w:val="single" w:color="auto" w:sz="12"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外售</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566" w:hRule="atLeast"/>
                <w:jc w:val="center"/>
              </w:trPr>
              <w:tc>
                <w:tcPr>
                  <w:tcW w:w="360"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bidi="ar-SA"/>
                    </w:rPr>
                    <w:t>2</w:t>
                  </w:r>
                </w:p>
              </w:tc>
              <w:tc>
                <w:tcPr>
                  <w:tcW w:w="735"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下脚料、不合格产品</w:t>
                  </w:r>
                </w:p>
              </w:tc>
              <w:tc>
                <w:tcPr>
                  <w:tcW w:w="895"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第</w:t>
                  </w:r>
                  <w:r>
                    <w:rPr>
                      <w:rFonts w:hint="eastAsia" w:ascii="Times New Roman" w:hAnsi="Times New Roman" w:eastAsia="宋体" w:cs="Times New Roman"/>
                      <w:color w:val="auto"/>
                      <w:lang w:val="en-US" w:eastAsia="zh-CN" w:bidi="ar-SA"/>
                    </w:rPr>
                    <w:fldChar w:fldCharType="begin"/>
                  </w:r>
                  <w:r>
                    <w:rPr>
                      <w:rFonts w:hint="eastAsia" w:ascii="Times New Roman" w:hAnsi="Times New Roman" w:eastAsia="宋体" w:cs="Times New Roman"/>
                      <w:color w:val="auto"/>
                      <w:lang w:val="en-US" w:eastAsia="zh-CN" w:bidi="ar-SA"/>
                    </w:rPr>
                    <w:instrText xml:space="preserve"> = 1 \* ROMAN \* MERGEFORMAT </w:instrText>
                  </w:r>
                  <w:r>
                    <w:rPr>
                      <w:rFonts w:hint="eastAsia" w:ascii="Times New Roman" w:hAnsi="Times New Roman" w:eastAsia="宋体" w:cs="Times New Roman"/>
                      <w:color w:val="auto"/>
                      <w:lang w:val="en-US" w:eastAsia="zh-CN" w:bidi="ar-SA"/>
                    </w:rPr>
                    <w:fldChar w:fldCharType="separate"/>
                  </w:r>
                  <w:r>
                    <w:rPr>
                      <w:color w:val="auto"/>
                    </w:rPr>
                    <w:t>I</w:t>
                  </w:r>
                  <w:r>
                    <w:rPr>
                      <w:rFonts w:hint="eastAsia" w:ascii="Times New Roman" w:hAnsi="Times New Roman" w:eastAsia="宋体" w:cs="Times New Roman"/>
                      <w:color w:val="auto"/>
                      <w:lang w:val="en-US" w:eastAsia="zh-CN" w:bidi="ar-SA"/>
                    </w:rPr>
                    <w:fldChar w:fldCharType="end"/>
                  </w:r>
                  <w:r>
                    <w:rPr>
                      <w:rFonts w:hint="eastAsia" w:ascii="Times New Roman" w:hAnsi="Times New Roman" w:eastAsia="宋体" w:cs="Times New Roman"/>
                      <w:color w:val="auto"/>
                      <w:lang w:val="en-US" w:eastAsia="zh-CN" w:bidi="ar-SA"/>
                    </w:rPr>
                    <w:t>类工业固体废物</w:t>
                  </w:r>
                </w:p>
              </w:tc>
              <w:tc>
                <w:tcPr>
                  <w:tcW w:w="1766" w:type="pct"/>
                  <w:vMerge w:val="continue"/>
                  <w:noWrap w:val="0"/>
                  <w:vAlign w:val="center"/>
                </w:tcPr>
                <w:p>
                  <w:pPr>
                    <w:jc w:val="center"/>
                    <w:rPr>
                      <w:color w:val="auto"/>
                    </w:rPr>
                  </w:pPr>
                </w:p>
              </w:tc>
              <w:tc>
                <w:tcPr>
                  <w:tcW w:w="741" w:type="pct"/>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30.764</w:t>
                  </w:r>
                </w:p>
              </w:tc>
              <w:tc>
                <w:tcPr>
                  <w:tcW w:w="500"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highlight w:val="none"/>
                      <w:lang w:val="en-US" w:eastAsia="zh-CN" w:bidi="ar-SA"/>
                    </w:rPr>
                    <w:t>外售</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54" w:hRule="atLeast"/>
                <w:jc w:val="center"/>
              </w:trPr>
              <w:tc>
                <w:tcPr>
                  <w:tcW w:w="360"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bidi="ar-SA"/>
                    </w:rPr>
                    <w:t>3</w:t>
                  </w:r>
                </w:p>
              </w:tc>
              <w:tc>
                <w:tcPr>
                  <w:tcW w:w="735"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default" w:ascii="Times New Roman" w:hAnsi="Times New Roman" w:eastAsia="宋体" w:cs="Times New Roman"/>
                      <w:color w:val="auto"/>
                      <w:lang w:val="en-US" w:eastAsia="zh-CN" w:bidi="ar-SA"/>
                    </w:rPr>
                    <w:t>废包装材料</w:t>
                  </w:r>
                </w:p>
              </w:tc>
              <w:tc>
                <w:tcPr>
                  <w:tcW w:w="895"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第</w:t>
                  </w:r>
                  <w:r>
                    <w:rPr>
                      <w:rFonts w:hint="eastAsia" w:ascii="Times New Roman" w:hAnsi="Times New Roman" w:eastAsia="宋体" w:cs="Times New Roman"/>
                      <w:color w:val="auto"/>
                      <w:lang w:val="en-US" w:eastAsia="zh-CN" w:bidi="ar-SA"/>
                    </w:rPr>
                    <w:fldChar w:fldCharType="begin"/>
                  </w:r>
                  <w:r>
                    <w:rPr>
                      <w:rFonts w:hint="eastAsia" w:ascii="Times New Roman" w:hAnsi="Times New Roman" w:eastAsia="宋体" w:cs="Times New Roman"/>
                      <w:color w:val="auto"/>
                      <w:lang w:val="en-US" w:eastAsia="zh-CN" w:bidi="ar-SA"/>
                    </w:rPr>
                    <w:instrText xml:space="preserve"> = 1 \* ROMAN \* MERGEFORMAT </w:instrText>
                  </w:r>
                  <w:r>
                    <w:rPr>
                      <w:rFonts w:hint="eastAsia" w:ascii="Times New Roman" w:hAnsi="Times New Roman" w:eastAsia="宋体" w:cs="Times New Roman"/>
                      <w:color w:val="auto"/>
                      <w:lang w:val="en-US" w:eastAsia="zh-CN" w:bidi="ar-SA"/>
                    </w:rPr>
                    <w:fldChar w:fldCharType="separate"/>
                  </w:r>
                  <w:r>
                    <w:rPr>
                      <w:color w:val="auto"/>
                    </w:rPr>
                    <w:t>I</w:t>
                  </w:r>
                  <w:r>
                    <w:rPr>
                      <w:rFonts w:hint="eastAsia" w:ascii="Times New Roman" w:hAnsi="Times New Roman" w:eastAsia="宋体" w:cs="Times New Roman"/>
                      <w:color w:val="auto"/>
                      <w:lang w:val="en-US" w:eastAsia="zh-CN" w:bidi="ar-SA"/>
                    </w:rPr>
                    <w:fldChar w:fldCharType="end"/>
                  </w:r>
                  <w:r>
                    <w:rPr>
                      <w:rFonts w:hint="eastAsia" w:ascii="Times New Roman" w:hAnsi="Times New Roman" w:eastAsia="宋体" w:cs="Times New Roman"/>
                      <w:color w:val="auto"/>
                      <w:lang w:val="en-US" w:eastAsia="zh-CN" w:bidi="ar-SA"/>
                    </w:rPr>
                    <w:t>类工业固体废物</w:t>
                  </w:r>
                </w:p>
              </w:tc>
              <w:tc>
                <w:tcPr>
                  <w:tcW w:w="1766" w:type="pct"/>
                  <w:vMerge w:val="continue"/>
                  <w:noWrap w:val="0"/>
                  <w:vAlign w:val="center"/>
                </w:tcPr>
                <w:p>
                  <w:pPr>
                    <w:jc w:val="center"/>
                    <w:rPr>
                      <w:color w:val="auto"/>
                    </w:rPr>
                  </w:pPr>
                </w:p>
              </w:tc>
              <w:tc>
                <w:tcPr>
                  <w:tcW w:w="741"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5.98</w:t>
                  </w:r>
                </w:p>
              </w:tc>
              <w:tc>
                <w:tcPr>
                  <w:tcW w:w="500"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外售</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3" w:hRule="atLeast"/>
                <w:jc w:val="center"/>
              </w:trPr>
              <w:tc>
                <w:tcPr>
                  <w:tcW w:w="360"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bidi="ar-SA"/>
                    </w:rPr>
                    <w:t>4</w:t>
                  </w:r>
                </w:p>
              </w:tc>
              <w:tc>
                <w:tcPr>
                  <w:tcW w:w="735"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bidi="ar-SA"/>
                    </w:rPr>
                    <w:t>废催化剂</w:t>
                  </w:r>
                </w:p>
              </w:tc>
              <w:tc>
                <w:tcPr>
                  <w:tcW w:w="895"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危险废物</w:t>
                  </w:r>
                </w:p>
              </w:tc>
              <w:tc>
                <w:tcPr>
                  <w:tcW w:w="1766" w:type="pct"/>
                  <w:vMerge w:val="continue"/>
                  <w:noWrap w:val="0"/>
                  <w:vAlign w:val="center"/>
                </w:tcPr>
                <w:p>
                  <w:pPr>
                    <w:jc w:val="center"/>
                    <w:rPr>
                      <w:color w:val="auto"/>
                    </w:rPr>
                  </w:pPr>
                </w:p>
              </w:tc>
              <w:tc>
                <w:tcPr>
                  <w:tcW w:w="741"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0.010</w:t>
                  </w:r>
                </w:p>
              </w:tc>
              <w:tc>
                <w:tcPr>
                  <w:tcW w:w="500"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厂家回收</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3" w:hRule="atLeast"/>
                <w:jc w:val="center"/>
              </w:trPr>
              <w:tc>
                <w:tcPr>
                  <w:tcW w:w="360"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5</w:t>
                  </w:r>
                </w:p>
              </w:tc>
              <w:tc>
                <w:tcPr>
                  <w:tcW w:w="735"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废不饱和聚酯树脂桶</w:t>
                  </w:r>
                </w:p>
              </w:tc>
              <w:tc>
                <w:tcPr>
                  <w:tcW w:w="895"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危险废物</w:t>
                  </w:r>
                </w:p>
              </w:tc>
              <w:tc>
                <w:tcPr>
                  <w:tcW w:w="1766" w:type="pct"/>
                  <w:vMerge w:val="continue"/>
                  <w:noWrap w:val="0"/>
                  <w:vAlign w:val="center"/>
                </w:tcPr>
                <w:p>
                  <w:pPr>
                    <w:jc w:val="center"/>
                    <w:rPr>
                      <w:color w:val="auto"/>
                    </w:rPr>
                  </w:pPr>
                </w:p>
              </w:tc>
              <w:tc>
                <w:tcPr>
                  <w:tcW w:w="741"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43.5</w:t>
                  </w:r>
                </w:p>
              </w:tc>
              <w:tc>
                <w:tcPr>
                  <w:tcW w:w="500"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厂家循环利用</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3" w:hRule="atLeast"/>
                <w:jc w:val="center"/>
              </w:trPr>
              <w:tc>
                <w:tcPr>
                  <w:tcW w:w="360"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6</w:t>
                  </w:r>
                </w:p>
              </w:tc>
              <w:tc>
                <w:tcPr>
                  <w:tcW w:w="735"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bidi="ar-SA"/>
                    </w:rPr>
                    <w:t>废活性炭</w:t>
                  </w:r>
                </w:p>
              </w:tc>
              <w:tc>
                <w:tcPr>
                  <w:tcW w:w="895"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危险废物</w:t>
                  </w:r>
                </w:p>
              </w:tc>
              <w:tc>
                <w:tcPr>
                  <w:tcW w:w="1766" w:type="pct"/>
                  <w:vMerge w:val="continue"/>
                  <w:noWrap w:val="0"/>
                  <w:vAlign w:val="center"/>
                </w:tcPr>
                <w:p>
                  <w:pPr>
                    <w:jc w:val="center"/>
                    <w:rPr>
                      <w:color w:val="auto"/>
                    </w:rPr>
                  </w:pPr>
                </w:p>
              </w:tc>
              <w:tc>
                <w:tcPr>
                  <w:tcW w:w="741"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0.5</w:t>
                  </w:r>
                </w:p>
              </w:tc>
              <w:tc>
                <w:tcPr>
                  <w:tcW w:w="500" w:type="pct"/>
                  <w:vMerge w:val="restar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资质单位处理</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3" w:hRule="atLeast"/>
                <w:jc w:val="center"/>
              </w:trPr>
              <w:tc>
                <w:tcPr>
                  <w:tcW w:w="360"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7</w:t>
                  </w:r>
                </w:p>
              </w:tc>
              <w:tc>
                <w:tcPr>
                  <w:tcW w:w="735"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废促进剂、固化剂桶</w:t>
                  </w:r>
                </w:p>
              </w:tc>
              <w:tc>
                <w:tcPr>
                  <w:tcW w:w="895"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危险废物</w:t>
                  </w:r>
                </w:p>
              </w:tc>
              <w:tc>
                <w:tcPr>
                  <w:tcW w:w="1766" w:type="pct"/>
                  <w:vMerge w:val="continue"/>
                  <w:tcBorders>
                    <w:bottom w:val="single" w:color="auto" w:sz="4" w:space="0"/>
                  </w:tcBorders>
                  <w:noWrap w:val="0"/>
                  <w:vAlign w:val="center"/>
                </w:tcPr>
                <w:p>
                  <w:pPr>
                    <w:jc w:val="center"/>
                    <w:rPr>
                      <w:color w:val="auto"/>
                    </w:rPr>
                  </w:pPr>
                </w:p>
              </w:tc>
              <w:tc>
                <w:tcPr>
                  <w:tcW w:w="741" w:type="pct"/>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3.5</w:t>
                  </w:r>
                </w:p>
              </w:tc>
              <w:tc>
                <w:tcPr>
                  <w:tcW w:w="500" w:type="pct"/>
                  <w:vMerge w:val="continue"/>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3" w:hRule="atLeast"/>
                <w:jc w:val="center"/>
              </w:trPr>
              <w:tc>
                <w:tcPr>
                  <w:tcW w:w="360" w:type="pct"/>
                  <w:tcBorders>
                    <w:top w:val="single" w:color="auto" w:sz="4" w:space="0"/>
                    <w:bottom w:val="single" w:color="auto" w:sz="12"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8</w:t>
                  </w:r>
                </w:p>
              </w:tc>
              <w:tc>
                <w:tcPr>
                  <w:tcW w:w="735" w:type="pct"/>
                  <w:tcBorders>
                    <w:top w:val="single" w:color="auto" w:sz="4" w:space="0"/>
                    <w:bottom w:val="single" w:color="auto" w:sz="12"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highlight w:val="none"/>
                      <w:lang w:val="en-US" w:eastAsia="zh-CN" w:bidi="ar-SA"/>
                    </w:rPr>
                    <w:t>生活垃圾</w:t>
                  </w:r>
                </w:p>
              </w:tc>
              <w:tc>
                <w:tcPr>
                  <w:tcW w:w="895" w:type="pct"/>
                  <w:tcBorders>
                    <w:top w:val="single" w:color="auto" w:sz="4" w:space="0"/>
                    <w:bottom w:val="single" w:color="auto" w:sz="12"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highlight w:val="none"/>
                      <w:lang w:val="en-US" w:eastAsia="zh-CN" w:bidi="ar-SA"/>
                    </w:rPr>
                    <w:t>生活垃圾</w:t>
                  </w:r>
                </w:p>
              </w:tc>
              <w:tc>
                <w:tcPr>
                  <w:tcW w:w="1766" w:type="pct"/>
                  <w:vMerge w:val="continue"/>
                  <w:tcBorders>
                    <w:top w:val="single" w:color="auto" w:sz="4" w:space="0"/>
                    <w:bottom w:val="single" w:color="auto" w:sz="12" w:space="0"/>
                  </w:tcBorders>
                  <w:noWrap w:val="0"/>
                  <w:vAlign w:val="center"/>
                </w:tcPr>
                <w:p>
                  <w:pPr>
                    <w:jc w:val="center"/>
                    <w:rPr>
                      <w:color w:val="auto"/>
                    </w:rPr>
                  </w:pPr>
                </w:p>
              </w:tc>
              <w:tc>
                <w:tcPr>
                  <w:tcW w:w="741" w:type="pct"/>
                  <w:tcBorders>
                    <w:top w:val="single" w:color="auto" w:sz="4" w:space="0"/>
                    <w:bottom w:val="single" w:color="auto" w:sz="12"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1.2</w:t>
                  </w:r>
                </w:p>
              </w:tc>
              <w:tc>
                <w:tcPr>
                  <w:tcW w:w="500" w:type="pct"/>
                  <w:tcBorders>
                    <w:top w:val="single" w:color="auto"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highlight w:val="none"/>
                      <w:lang w:val="en-US" w:eastAsia="zh-CN" w:bidi="ar-SA"/>
                    </w:rPr>
                    <w:t>环卫清运</w:t>
                  </w:r>
                </w:p>
              </w:tc>
            </w:tr>
          </w:tbl>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highlight w:val="none"/>
                <w:lang w:val="en-US" w:eastAsia="zh-CN" w:bidi="ar-SA"/>
              </w:rPr>
              <w:t>综上所述，本项目固体废物的处置遵循了分类原则、回收利用原则、减量化原则、无公害化原则及分散与集中相结合的原则，将不同类型的固体废物</w:t>
            </w:r>
            <w:r>
              <w:rPr>
                <w:rFonts w:hint="default" w:ascii="Times New Roman" w:hAnsi="Times New Roman" w:eastAsia="宋体" w:cs="Times New Roman"/>
                <w:color w:val="auto"/>
                <w:sz w:val="24"/>
                <w:szCs w:val="24"/>
                <w:lang w:val="en-US" w:eastAsia="zh-CN" w:bidi="ar-SA"/>
              </w:rPr>
              <w:t>进行分类收集、分类处理，产生的各种固体废物均得到了合理处置，并做好了固废的日常管理工作，不会对周围环境造成二次污染，因此，本项目产生的固体废物对项目所在区域环境影响不大。</w:t>
            </w:r>
          </w:p>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4.3固体废物管理建议</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4.3.1一般工业固废</w:t>
            </w:r>
          </w:p>
          <w:p>
            <w:pPr>
              <w:adjustRightInd w:val="0"/>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（1）贮存场所建设要求</w:t>
            </w:r>
          </w:p>
          <w:p>
            <w:pPr>
              <w:adjustRightInd w:val="0"/>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本项目一般工业固体废物暂存区应按《一般工业固体废物贮存和填埋污染控制标准》（GB18599-2020）中要求进行设置，项目设置10m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一般固废暂存区，并由专人负责对固体废物进行收集和贮存，同时配合地方要求进行集中处置。一般固废暂存间设置需满足以下要求：</w:t>
            </w:r>
          </w:p>
          <w:p>
            <w:pPr>
              <w:adjustRightInd w:val="0"/>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①临时堆放场应选在防渗性能好的地基上，天然基础层地表距地下水位的距离不得小于1.5m。</w:t>
            </w:r>
          </w:p>
          <w:p>
            <w:pPr>
              <w:adjustRightInd w:val="0"/>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②临时堆放场四周应建有围墙，防止造成粉尘、渗滤液等二次污染。</w:t>
            </w:r>
          </w:p>
          <w:p>
            <w:pPr>
              <w:adjustRightInd w:val="0"/>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③临时堆放场应建有防雨淋、防渗透措施。</w:t>
            </w:r>
          </w:p>
          <w:p>
            <w:pPr>
              <w:adjustRightInd w:val="0"/>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④为了便于管理，临时堆放场应按GB15562.2设置环境保护图形标志。</w:t>
            </w:r>
          </w:p>
          <w:p>
            <w:pPr>
              <w:adjustRightInd w:val="0"/>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（2）运行管理要求</w:t>
            </w:r>
          </w:p>
          <w:p>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根据《排污许可证申请与核发技术规范 工业固体废物（试行）》（HJ1200-2021），本项目运营期一般工业固体废物管理需满足以下要求：</w:t>
            </w:r>
          </w:p>
          <w:p>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①采用库房、包装工具（罐、桶、包装袋等）贮存一般工业固体废物的，贮存过程应满足相应防渗漏、防雨淋、防扬尘等环境保护要求；</w:t>
            </w:r>
          </w:p>
          <w:p>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②危险废物和生活垃圾不得进入一般工业固体废物贮存场及填埋场；</w:t>
            </w:r>
          </w:p>
          <w:p>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③不相容的一般工业固体废物应设置不同的分区进行贮存和填埋作业；</w:t>
            </w:r>
          </w:p>
          <w:p>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④贮存场、填埋场应设置清晰、完整的一般工业固体废物标志牌等。</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4.3.2</w:t>
            </w:r>
            <w:r>
              <w:rPr>
                <w:rFonts w:hint="default" w:ascii="Times New Roman" w:hAnsi="Times New Roman" w:eastAsia="宋体" w:cs="Times New Roman"/>
                <w:b/>
                <w:bCs/>
                <w:color w:val="auto"/>
                <w:sz w:val="24"/>
                <w:szCs w:val="24"/>
                <w:lang w:val="en-US" w:eastAsia="zh-CN" w:bidi="ar-SA"/>
              </w:rPr>
              <w:t>危险废物</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（1）危险废物收集、贮存及转运要求</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（一）危废产生单位相关责任</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根据《危险废物转移管理办法》</w:t>
            </w:r>
            <w:r>
              <w:rPr>
                <w:rFonts w:hint="eastAsia" w:ascii="Times New Roman" w:hAnsi="Times New Roman" w:eastAsia="宋体" w:cs="Times New Roman"/>
                <w:color w:val="auto"/>
                <w:sz w:val="24"/>
                <w:szCs w:val="24"/>
                <w:lang w:eastAsia="zh-CN" w:bidi="ar-SA"/>
              </w:rPr>
              <w:t>（</w:t>
            </w:r>
            <w:r>
              <w:rPr>
                <w:rFonts w:hint="default" w:ascii="Times New Roman" w:hAnsi="Times New Roman" w:eastAsia="宋体" w:cs="Times New Roman"/>
                <w:color w:val="auto"/>
                <w:sz w:val="24"/>
                <w:szCs w:val="24"/>
                <w:lang w:bidi="ar-SA"/>
              </w:rPr>
              <w:t>生态环境部、公安部、交通运输部部令第23号</w:t>
            </w:r>
            <w:r>
              <w:rPr>
                <w:rFonts w:hint="eastAsia" w:ascii="Times New Roman" w:hAnsi="Times New Roman" w:eastAsia="宋体" w:cs="Times New Roman"/>
                <w:color w:val="auto"/>
                <w:sz w:val="24"/>
                <w:szCs w:val="24"/>
                <w:lang w:eastAsia="zh-CN" w:bidi="ar-SA"/>
              </w:rPr>
              <w:t>）</w:t>
            </w:r>
            <w:r>
              <w:rPr>
                <w:rFonts w:hint="default" w:ascii="Times New Roman" w:hAnsi="Times New Roman" w:eastAsia="宋体" w:cs="Times New Roman"/>
                <w:color w:val="auto"/>
                <w:sz w:val="24"/>
                <w:szCs w:val="24"/>
                <w:lang w:bidi="ar-SA"/>
              </w:rPr>
              <w:t>，本项目建设单位作为危废产生单位应履行移出人职责：</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①对承运人或者接受人的主体资格和技术能力进行核实，依法签订书面合同，并在合同中约定运输、贮存、利用、处置危险废物的污染防治要求及相关责任；</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②制定危险废物管理计划，明确拟转移危险废物的种类、重量（数量）和流向等信息；</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③建立危险废物管理台账，对转移的危险废物进行计量称重，如实记录、妥善保管转移危险废物的种类、重量（数量）和接受人等相关信息；</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④填写、运行危险废物转移联单，在危险废物转移联单中如实填写移出人、承运人、接受人信息，转移危险废物的种类、重量（数量）、危险特性等信息，以及突发环境事件的防范措施等；</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⑤及时核实接受人贮存、利用或者处置相关危险废物情况；</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⑥法律法规规定的其他义务。</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移出人应当按照国家有关要求开展危险废物鉴别。禁止将危险废物以副产品等名义提供或者委托给无危险废物经营许可证的单位或者其他生产经营者从事收集、贮存、利用、处置活动。</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（二）危险废物内部收集、转移要求</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根据《危险废物收集、贮存、运输技术规范》</w:t>
            </w:r>
            <w:r>
              <w:rPr>
                <w:rFonts w:hint="eastAsia" w:ascii="Times New Roman" w:hAnsi="Times New Roman" w:eastAsia="宋体" w:cs="Times New Roman"/>
                <w:color w:val="auto"/>
                <w:sz w:val="24"/>
                <w:szCs w:val="24"/>
                <w:lang w:eastAsia="zh-CN" w:bidi="ar-SA"/>
              </w:rPr>
              <w:t>（</w:t>
            </w:r>
            <w:r>
              <w:rPr>
                <w:rFonts w:hint="default" w:ascii="Times New Roman" w:hAnsi="Times New Roman" w:eastAsia="宋体" w:cs="Times New Roman"/>
                <w:color w:val="auto"/>
                <w:sz w:val="24"/>
                <w:szCs w:val="24"/>
                <w:lang w:bidi="ar-SA"/>
              </w:rPr>
              <w:t>H2025-2012</w:t>
            </w:r>
            <w:r>
              <w:rPr>
                <w:rFonts w:hint="eastAsia" w:ascii="Times New Roman" w:hAnsi="Times New Roman" w:eastAsia="宋体" w:cs="Times New Roman"/>
                <w:color w:val="auto"/>
                <w:sz w:val="24"/>
                <w:szCs w:val="24"/>
                <w:lang w:eastAsia="zh-CN" w:bidi="ar-SA"/>
              </w:rPr>
              <w:t>）</w:t>
            </w:r>
            <w:r>
              <w:rPr>
                <w:rFonts w:hint="default" w:ascii="Times New Roman" w:hAnsi="Times New Roman" w:eastAsia="宋体" w:cs="Times New Roman"/>
                <w:color w:val="auto"/>
                <w:sz w:val="24"/>
                <w:szCs w:val="24"/>
                <w:lang w:bidi="ar-SA"/>
              </w:rPr>
              <w:t>，本项目危险废物产生后内部收集、转移应满足以下要求：</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①收集</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a.危险废物产生单位进行的危险废物收集包括两个方面，一是在危险废物产生节点将危险废物集中到适当的包装容器中或运输车辆上的活动</w:t>
            </w:r>
            <w:r>
              <w:rPr>
                <w:rFonts w:hint="eastAsia" w:ascii="Times New Roman" w:hAnsi="Times New Roman" w:eastAsia="宋体" w:cs="Times New Roman"/>
                <w:color w:val="auto"/>
                <w:sz w:val="24"/>
                <w:szCs w:val="24"/>
                <w:lang w:eastAsia="zh-CN" w:bidi="ar-SA"/>
              </w:rPr>
              <w:t>；</w:t>
            </w:r>
            <w:r>
              <w:rPr>
                <w:rFonts w:hint="default" w:ascii="Times New Roman" w:hAnsi="Times New Roman" w:eastAsia="宋体" w:cs="Times New Roman"/>
                <w:color w:val="auto"/>
                <w:sz w:val="24"/>
                <w:szCs w:val="24"/>
                <w:lang w:bidi="ar-SA"/>
              </w:rPr>
              <w:t>二是将已包装或装到运输车辆上的危险废物集中到危险废物产生单位内部临时贮存设施的内部转运。</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b.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c.危险废物的收集应制定详细的操作规程，内容至少应包括适用范围、操作程序和方法、专用设备和工具、转移和交接、安全保障和应急防护等。</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d.危险废物收集和转运作业人员应根据工作需要配备必要的个人防护装备，如手套、防护镜、防护服、防毒面具或口罩等。</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e.在危险废物的收集和转运过程中，应采取相应的安全防护和污染防治措施，包括防爆、防火、防中毒、防感染、防泄露、防飞扬、防雨或其它防止污染环境的措施。</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f.危险废物收集时应根据危险废物的种类、数量、危险特性、物理形态、运输要求等因素确定包装形式。</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②内部转运作业</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a.危险废物内部转运应综合考虑厂区的实际情况确定转运路线，尽量避开办公区和生活区。</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b.危险废物内部转运作业应采用专用的工具，并填写《危险废物厂内转运记录表》。</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c.危险废物内部转运结束后，应对转运路线进行检查和清理，确保无危险废物遗失在转运路线上，并对转运工具进行清洗。</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（三）临时贮存管理要求</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本项目危险废物产生量较小，建议建设单位</w:t>
            </w:r>
            <w:r>
              <w:rPr>
                <w:rFonts w:hint="eastAsia" w:ascii="Times New Roman" w:hAnsi="Times New Roman" w:eastAsia="宋体" w:cs="Times New Roman"/>
                <w:color w:val="auto"/>
                <w:sz w:val="24"/>
                <w:szCs w:val="24"/>
                <w:lang w:eastAsia="zh-CN" w:bidi="ar-SA"/>
              </w:rPr>
              <w:t>在项目厂区西南侧</w:t>
            </w:r>
            <w:r>
              <w:rPr>
                <w:rFonts w:hint="default" w:ascii="Times New Roman" w:hAnsi="Times New Roman" w:eastAsia="宋体" w:cs="Times New Roman"/>
                <w:color w:val="auto"/>
                <w:sz w:val="24"/>
                <w:szCs w:val="24"/>
                <w:lang w:bidi="ar-SA"/>
              </w:rPr>
              <w:t>建设一座10m</w:t>
            </w:r>
            <w:r>
              <w:rPr>
                <w:rFonts w:hint="default" w:ascii="Times New Roman" w:hAnsi="Times New Roman" w:eastAsia="宋体" w:cs="Times New Roman"/>
                <w:color w:val="auto"/>
                <w:sz w:val="24"/>
                <w:szCs w:val="24"/>
                <w:vertAlign w:val="superscript"/>
                <w:lang w:bidi="ar-SA"/>
              </w:rPr>
              <w:t>2</w:t>
            </w:r>
            <w:r>
              <w:rPr>
                <w:rFonts w:hint="default" w:ascii="Times New Roman" w:hAnsi="Times New Roman" w:eastAsia="宋体" w:cs="Times New Roman"/>
                <w:color w:val="auto"/>
                <w:sz w:val="24"/>
                <w:szCs w:val="24"/>
                <w:lang w:bidi="ar-SA"/>
              </w:rPr>
              <w:t>危废暂存间，项目运营期危险废物仅在设备维护过程中产生，周期短，可满足项目危废分区暂存需求。根据《危险废物贮存污染控制标准》（GB18597-2023）中相关要求。</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危险废物贮存设施设置要求：</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①贮存设施应根据危险废物的形态、物理化学性质、包装形式和污染物迁移途径，采取必要的防风、防晒、防雨、防漏、防渗、防腐以及其他环境污染防治措施，不应露天堆放危险废物。</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②贮存设施应根据危险废物的类别、数量、形态、物理化学性质和污染防治等要求设置必要的贮存分区，避免不相容的危险废物接触、混合。</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③贮存设施或贮存分区内地面、墙面裙脚、堵截泄漏的围堰、接触危险废物的隔板和墙体等应采用坚固的材料建造，表面无裂缝。</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szCs w:val="24"/>
                <w:vertAlign w:val="superscript"/>
                <w:lang w:bidi="ar-SA"/>
              </w:rPr>
              <w:t>-7</w:t>
            </w:r>
            <w:r>
              <w:rPr>
                <w:rFonts w:hint="default" w:ascii="Times New Roman" w:hAnsi="Times New Roman" w:eastAsia="宋体" w:cs="Times New Roman"/>
                <w:color w:val="auto"/>
                <w:sz w:val="24"/>
                <w:szCs w:val="24"/>
                <w:lang w:bidi="ar-SA"/>
              </w:rPr>
              <w:t>cm/s），或至少2mm厚高密度聚乙烯膜等人工防渗材料（渗透系数不大于10</w:t>
            </w:r>
            <w:r>
              <w:rPr>
                <w:rFonts w:hint="default" w:ascii="Times New Roman" w:hAnsi="Times New Roman" w:eastAsia="宋体" w:cs="Times New Roman"/>
                <w:color w:val="auto"/>
                <w:sz w:val="24"/>
                <w:szCs w:val="24"/>
                <w:vertAlign w:val="superscript"/>
                <w:lang w:bidi="ar-SA"/>
              </w:rPr>
              <w:t>-10</w:t>
            </w:r>
            <w:r>
              <w:rPr>
                <w:rFonts w:hint="default" w:ascii="Times New Roman" w:hAnsi="Times New Roman" w:eastAsia="宋体" w:cs="Times New Roman"/>
                <w:color w:val="auto"/>
                <w:sz w:val="24"/>
                <w:szCs w:val="24"/>
                <w:lang w:bidi="ar-SA"/>
              </w:rPr>
              <w:t>cm/s），或其他防渗性能等效的材料。</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⑤同一贮存设施宜采用相同的防渗、防腐工艺（包括防渗、防腐结构或材料），防渗、防腐材料应覆盖所有可能与废物及其渗滤液、渗漏液等接触的构筑物表面；采用不同防渗、防腐工艺应分别建设贮存分区。</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⑥贮存设施应采取技术和管理措施防止无关人员进入。</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危险废物暂存间管理要求：</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①贮存点应具有固定的区域边界，并应采取与其他区域进行隔离的措施。</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②贮存点应采取防风、防雨、防晒和防止危险废物流失、扬散等措施。</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③贮存点贮存的危险废物应置于容器或包装物中，不应直接散堆。</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④贮存点应根据危险废物的形态、物理化学性质、包装形式等，采取防渗、防漏等污染防治措施或采用具有相应功能的装置。</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⑤贮存点应及时清运贮存的危险废物，实时贮存量不应超过3吨。</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本项目危废为废活性炭</w:t>
            </w:r>
            <w:r>
              <w:rPr>
                <w:rFonts w:hint="eastAsia" w:ascii="Times New Roman" w:hAnsi="Times New Roman" w:eastAsia="宋体" w:cs="Times New Roman"/>
                <w:color w:val="auto"/>
                <w:sz w:val="24"/>
                <w:szCs w:val="24"/>
                <w:lang w:eastAsia="zh-CN" w:bidi="ar-SA"/>
              </w:rPr>
              <w:t>、废催化剂、废不饱和聚酯树脂桶、废促进剂、固化剂桶</w:t>
            </w:r>
            <w:r>
              <w:rPr>
                <w:rFonts w:hint="default" w:ascii="Times New Roman" w:hAnsi="Times New Roman" w:eastAsia="宋体" w:cs="Times New Roman"/>
                <w:color w:val="auto"/>
                <w:sz w:val="24"/>
                <w:szCs w:val="24"/>
                <w:lang w:bidi="ar-SA"/>
              </w:rPr>
              <w:t>。本次环评要求危废间严格按照标准要求进行防渗、封闭建设，对废活性炭</w:t>
            </w:r>
            <w:r>
              <w:rPr>
                <w:rFonts w:hint="eastAsia" w:ascii="Times New Roman" w:hAnsi="Times New Roman" w:eastAsia="宋体" w:cs="Times New Roman"/>
                <w:color w:val="auto"/>
                <w:sz w:val="24"/>
                <w:szCs w:val="24"/>
                <w:lang w:eastAsia="zh-CN" w:bidi="ar-SA"/>
              </w:rPr>
              <w:t>、废催化剂、废不饱和聚酯树脂桶、废促进剂、固化剂桶</w:t>
            </w:r>
            <w:r>
              <w:rPr>
                <w:rFonts w:hint="default" w:ascii="Times New Roman" w:hAnsi="Times New Roman" w:eastAsia="宋体" w:cs="Times New Roman"/>
                <w:color w:val="auto"/>
                <w:sz w:val="24"/>
                <w:szCs w:val="24"/>
                <w:lang w:bidi="ar-SA"/>
              </w:rPr>
              <w:t>划定分区暂存，根据项目产生危险废物的特点，建议对各类危废使用专用的容器贮存，不与地面接触，并配置适用的容器进行内部转运。</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（2）危废转移联单管理要求</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本项目建设单位作为危险废物移出人责任体，应按要求执行危险废物转移联单制度，具体要求如下：</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①危险废物转移联单应当根据危险废物管理计划中填报的危险废物转移等备案信息填写、运行。</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②危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③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④采用联运方式转移危险废物的，前一承运人和后一承运人应当明确运输交接的时间和地点。后一承运人应当核实危险废物转移联单确定的移出人信息、前一承运人信息及危险废物相关信息。</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⑤运抵的危险废物的名称、数量、特性、形态、包装方式与危险废物转移联单填写内容不符的，接受人应当及时告知移出人，视情况决定是否接受，同时向接受地生态环境主管部门报告。</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⑥危险废物电子转移联单数据应当在信息系统中至少保存十年。</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因特殊原因无法运行危险废物电子转移联单的，可以先使用纸质转移联单，并于转移活动完成后十个工作日内在信息系统中补录电子转移联单。</w:t>
            </w:r>
          </w:p>
          <w:p>
            <w:pPr>
              <w:spacing w:line="360" w:lineRule="auto"/>
              <w:rPr>
                <w:rFonts w:hint="eastAsia"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4.4固体废物污染防治措施及影响分析</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根据建设单位资料，本项目运营期一般固废主要为除尘器收集粉尘、下脚料、不合格产品、废包装材料，不具有渗漏特性，且车间地面为混凝土硬化地面，可满足《一般工业固体废物贮存和填埋污染控制标准》（GB18599-2020），措施可行。</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为加强危险废物管理，项目区内需建设危险废物暂存间，本次环评建议建设单位建设一座10m</w:t>
            </w:r>
            <w:r>
              <w:rPr>
                <w:rFonts w:hint="eastAsia" w:ascii="Times New Roman" w:hAnsi="Times New Roman" w:eastAsia="宋体" w:cs="Times New Roman"/>
                <w:color w:val="auto"/>
                <w:sz w:val="24"/>
                <w:szCs w:val="24"/>
                <w:vertAlign w:val="superscript"/>
                <w:lang w:val="en-US" w:eastAsia="zh-CN" w:bidi="ar-SA"/>
              </w:rPr>
              <w:t>2</w:t>
            </w:r>
            <w:r>
              <w:rPr>
                <w:rFonts w:hint="eastAsia" w:ascii="Times New Roman" w:hAnsi="Times New Roman" w:eastAsia="宋体" w:cs="Times New Roman"/>
                <w:color w:val="auto"/>
                <w:sz w:val="24"/>
                <w:szCs w:val="24"/>
                <w:lang w:val="en-US" w:eastAsia="zh-CN" w:bidi="ar-SA"/>
              </w:rPr>
              <w:t>危废暂存间，各类危险废物置于专用容器内分类分区暂存，危废暂存间在水泥砼硬化的基础上需强化防渗措施以满足标准要求。</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通过以上措施，项目只要加强贮存、转运等环节的日常管理，固体废物能得到有效处理，不会产生二次污染问题，对环境影响较小。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snapToGrid w:val="0"/>
                <w:color w:val="auto"/>
                <w:kern w:val="0"/>
                <w:sz w:val="24"/>
                <w:lang w:val="en-US" w:eastAsia="zh-CN"/>
              </w:rPr>
            </w:pPr>
            <w:r>
              <w:rPr>
                <w:rFonts w:hint="default" w:ascii="Times New Roman" w:hAnsi="Times New Roman" w:eastAsia="宋体" w:cs="Times New Roman"/>
                <w:color w:val="auto"/>
                <w:sz w:val="24"/>
                <w:szCs w:val="24"/>
                <w:lang w:bidi="ar-SA"/>
              </w:rPr>
              <w:t>综上所述，拟建项目固废均得到合理处置，对环境的影响较小。危险废物由持有危险废物经营许可证的单位按照其许可证的经营范围</w:t>
            </w:r>
            <w:r>
              <w:rPr>
                <w:rFonts w:hint="eastAsia" w:ascii="Times New Roman" w:hAnsi="Times New Roman" w:eastAsia="宋体" w:cs="Times New Roman"/>
                <w:color w:val="auto"/>
                <w:sz w:val="24"/>
                <w:szCs w:val="24"/>
                <w:lang w:eastAsia="zh-CN" w:bidi="ar-SA"/>
              </w:rPr>
              <w:t>处理</w:t>
            </w:r>
            <w:r>
              <w:rPr>
                <w:rFonts w:hint="eastAsia" w:ascii="Times New Roman" w:hAnsi="Times New Roman" w:eastAsia="宋体" w:cs="Times New Roman"/>
                <w:snapToGrid w:val="0"/>
                <w:color w:val="auto"/>
                <w:kern w:val="0"/>
                <w:sz w:val="24"/>
                <w:lang w:val="en-US" w:eastAsia="zh-CN"/>
              </w:rPr>
              <w:t>。</w:t>
            </w:r>
          </w:p>
          <w:p>
            <w:pPr>
              <w:spacing w:line="360" w:lineRule="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5地下水</w:t>
            </w:r>
            <w:r>
              <w:rPr>
                <w:rFonts w:hint="eastAsia" w:ascii="Times New Roman" w:hAnsi="Times New Roman" w:eastAsia="宋体" w:cs="Times New Roman"/>
                <w:b/>
                <w:bCs/>
                <w:color w:val="auto"/>
                <w:sz w:val="24"/>
                <w:szCs w:val="24"/>
                <w:lang w:val="en-US" w:eastAsia="zh-CN" w:bidi="ar-SA"/>
              </w:rPr>
              <w:t>、土壤</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5.1地下水及土壤污染途径识别</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bidi="ar-SA"/>
              </w:rPr>
            </w:pPr>
            <w:r>
              <w:rPr>
                <w:rFonts w:hint="eastAsia" w:ascii="Times New Roman" w:hAnsi="Times New Roman" w:eastAsia="宋体" w:cs="Times New Roman"/>
                <w:color w:val="auto"/>
                <w:sz w:val="24"/>
                <w:szCs w:val="24"/>
                <w:lang w:val="en-US" w:eastAsia="zh-CN" w:bidi="ar-SA"/>
              </w:rPr>
              <w:t>本项目无生产废水产生，生活污水排入下水管网，最终进入胡杨河经济技术开发区南园区污水处理厂处理，正常情况下无地下水及土壤污染途径。本次仅提</w:t>
            </w:r>
            <w:r>
              <w:rPr>
                <w:rFonts w:hint="eastAsia" w:ascii="Times New Roman" w:hAnsi="Times New Roman" w:eastAsia="宋体" w:cs="Times New Roman"/>
                <w:color w:val="auto"/>
                <w:sz w:val="24"/>
                <w:szCs w:val="24"/>
                <w:lang w:bidi="ar-SA"/>
              </w:rPr>
              <w:t>出地下水、土壤的污染防控措施。</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5.2预防措施</w:t>
            </w:r>
          </w:p>
          <w:p>
            <w:pPr>
              <w:keepNext w:val="0"/>
              <w:keepLines w:val="0"/>
              <w:pageBreakBefore w:val="0"/>
              <w:widowControl w:val="0"/>
              <w:kinsoku/>
              <w:wordWrap/>
              <w:overflowPunct/>
              <w:topLinePunct w:val="0"/>
              <w:bidi w:val="0"/>
              <w:spacing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bidi="ar-SA"/>
              </w:rPr>
              <w:t>防止地下水及土壤污染的主要措施就是切断污染物进入地下水及土壤环境的途径，防止污染物的跑、冒、滴、漏，将污染物泄漏的环境风险事故降到最低限度。通过采取防渗措施，厂区防渗效果应满足《一般工业固体废物贮存和填埋污染控制标准》（GB18599-2020）中的相关要求，尽可能避免废水、废液进入土壤及地下水环境事故的发生。</w:t>
            </w:r>
          </w:p>
          <w:p>
            <w:pPr>
              <w:keepNext w:val="0"/>
              <w:keepLines w:val="0"/>
              <w:pageBreakBefore w:val="0"/>
              <w:widowControl w:val="0"/>
              <w:kinsoku/>
              <w:wordWrap/>
              <w:overflowPunct/>
              <w:topLinePunct w:val="0"/>
              <w:bidi w:val="0"/>
              <w:spacing w:line="360" w:lineRule="auto"/>
              <w:ind w:left="0" w:right="0"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项目地下水污染防治措施和对策坚持“源头控制、分区控制、污染监控、应急响应”的原则。</w:t>
            </w:r>
          </w:p>
          <w:p>
            <w:pPr>
              <w:keepNext w:val="0"/>
              <w:keepLines w:val="0"/>
              <w:pageBreakBefore w:val="0"/>
              <w:widowControl w:val="0"/>
              <w:kinsoku/>
              <w:wordWrap/>
              <w:overflowPunct/>
              <w:topLinePunct w:val="0"/>
              <w:bidi w:val="0"/>
              <w:spacing w:line="360" w:lineRule="auto"/>
              <w:ind w:left="0" w:right="0"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（1）源头控制</w:t>
            </w:r>
          </w:p>
          <w:p>
            <w:pPr>
              <w:keepNext w:val="0"/>
              <w:keepLines w:val="0"/>
              <w:pageBreakBefore w:val="0"/>
              <w:widowControl w:val="0"/>
              <w:kinsoku/>
              <w:wordWrap/>
              <w:overflowPunct/>
              <w:topLinePunct w:val="0"/>
              <w:bidi w:val="0"/>
              <w:spacing w:line="360" w:lineRule="auto"/>
              <w:ind w:left="0" w:right="0"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选择先进、成熟、可靠的工艺技术，对生产设备定期进行保养、维护，尽可能从源头上减少污染物产生；严格按照国家相关规范要求，对工艺、管道、设备、污水收集及处理构筑物采取相应的措施，以防止和降低污染物的跑、冒、滴、漏，将污染物泄漏的环境风险事故降到最低程度。</w:t>
            </w:r>
          </w:p>
          <w:p>
            <w:pPr>
              <w:keepNext w:val="0"/>
              <w:keepLines w:val="0"/>
              <w:pageBreakBefore w:val="0"/>
              <w:widowControl w:val="0"/>
              <w:kinsoku/>
              <w:wordWrap/>
              <w:overflowPunct/>
              <w:topLinePunct w:val="0"/>
              <w:bidi w:val="0"/>
              <w:spacing w:line="360" w:lineRule="auto"/>
              <w:ind w:left="0" w:right="0"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（2）分区防渗</w:t>
            </w:r>
          </w:p>
          <w:p>
            <w:pPr>
              <w:keepNext w:val="0"/>
              <w:keepLines w:val="0"/>
              <w:pageBreakBefore w:val="0"/>
              <w:widowControl w:val="0"/>
              <w:kinsoku/>
              <w:wordWrap/>
              <w:overflowPunct/>
              <w:topLinePunct w:val="0"/>
              <w:bidi w:val="0"/>
              <w:spacing w:line="360" w:lineRule="auto"/>
              <w:ind w:left="0" w:right="0"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将生产车间按各功能单元所处的位置划分为重点防渗区（危废暂存间、原材料堆放区）、一般防渗区（生产车间其他区域）二类地下水及土壤污染防治区区域。本项目防渗工程污染防治分区情况见下表。</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vertAlign w:val="baseline"/>
                <w:lang w:val="en-US" w:eastAsia="zh-CN" w:bidi="ar-SA"/>
              </w:rPr>
            </w:pPr>
            <w:r>
              <w:rPr>
                <w:rFonts w:hint="default" w:ascii="Times New Roman" w:hAnsi="Times New Roman" w:eastAsia="宋体" w:cs="Times New Roman"/>
                <w:b/>
                <w:bCs/>
                <w:color w:val="auto"/>
                <w:lang w:val="en-US" w:eastAsia="zh-CN" w:bidi="ar-SA"/>
              </w:rPr>
              <w:t>表</w:t>
            </w:r>
            <w:r>
              <w:rPr>
                <w:rFonts w:hint="eastAsia" w:ascii="Times New Roman" w:hAnsi="Times New Roman" w:eastAsia="宋体" w:cs="Times New Roman"/>
                <w:b/>
                <w:bCs/>
                <w:color w:val="auto"/>
                <w:lang w:val="en-US" w:eastAsia="zh-CN" w:bidi="ar-SA"/>
              </w:rPr>
              <w:t xml:space="preserve">4-16 </w:t>
            </w:r>
            <w:r>
              <w:rPr>
                <w:rFonts w:hint="default" w:ascii="Times New Roman" w:hAnsi="Times New Roman" w:eastAsia="宋体" w:cs="Times New Roman"/>
                <w:b/>
                <w:bCs/>
                <w:color w:val="auto"/>
                <w:lang w:val="en-US" w:eastAsia="zh-CN" w:bidi="ar-SA"/>
              </w:rPr>
              <w:t xml:space="preserve"> </w:t>
            </w:r>
            <w:r>
              <w:rPr>
                <w:rFonts w:hint="eastAsia" w:ascii="Times New Roman" w:hAnsi="Times New Roman" w:eastAsia="宋体" w:cs="Times New Roman"/>
                <w:b/>
                <w:color w:val="auto"/>
                <w:sz w:val="21"/>
                <w:szCs w:val="21"/>
              </w:rPr>
              <w:t>本项目防渗工程污染防治分区</w:t>
            </w:r>
          </w:p>
          <w:tbl>
            <w:tblPr>
              <w:tblStyle w:val="31"/>
              <w:tblW w:w="4995"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34"/>
              <w:gridCol w:w="975"/>
              <w:gridCol w:w="46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13" w:type="pct"/>
                  <w:tcBorders>
                    <w:bottom w:val="single" w:color="auto" w:sz="12" w:space="0"/>
                  </w:tcBorders>
                  <w:noWrap w:val="0"/>
                  <w:vAlign w:val="center"/>
                </w:tcPr>
                <w:p>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序号</w:t>
                  </w:r>
                </w:p>
              </w:tc>
              <w:tc>
                <w:tcPr>
                  <w:tcW w:w="1176" w:type="pct"/>
                  <w:tcBorders>
                    <w:bottom w:val="single" w:color="auto" w:sz="12" w:space="0"/>
                  </w:tcBorders>
                  <w:noWrap w:val="0"/>
                  <w:vAlign w:val="center"/>
                </w:tcPr>
                <w:p>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防渗区域及部位</w:t>
                  </w:r>
                </w:p>
              </w:tc>
              <w:tc>
                <w:tcPr>
                  <w:tcW w:w="593" w:type="pct"/>
                  <w:tcBorders>
                    <w:bottom w:val="single" w:color="auto" w:sz="12" w:space="0"/>
                  </w:tcBorders>
                  <w:noWrap w:val="0"/>
                  <w:vAlign w:val="center"/>
                </w:tcPr>
                <w:p>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防渗分区等级</w:t>
                  </w:r>
                </w:p>
              </w:tc>
              <w:tc>
                <w:tcPr>
                  <w:tcW w:w="2816" w:type="pct"/>
                  <w:tcBorders>
                    <w:bottom w:val="single" w:color="auto" w:sz="12" w:space="0"/>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3" w:type="pct"/>
                  <w:tcBorders>
                    <w:top w:val="single" w:color="auto" w:sz="12" w:space="0"/>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1</w:t>
                  </w:r>
                </w:p>
              </w:tc>
              <w:tc>
                <w:tcPr>
                  <w:tcW w:w="1176" w:type="pct"/>
                  <w:tcBorders>
                    <w:top w:val="single" w:color="auto" w:sz="12"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危废暂存间、原材料堆放区</w:t>
                  </w:r>
                </w:p>
              </w:tc>
              <w:tc>
                <w:tcPr>
                  <w:tcW w:w="593" w:type="pct"/>
                  <w:tcBorders>
                    <w:top w:val="single" w:color="auto" w:sz="12"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重点</w:t>
                  </w:r>
                </w:p>
              </w:tc>
              <w:tc>
                <w:tcPr>
                  <w:tcW w:w="2816" w:type="pct"/>
                  <w:tcBorders>
                    <w:top w:val="single" w:color="auto" w:sz="12" w:space="0"/>
                    <w:tl2br w:val="nil"/>
                    <w:tr2bl w:val="nil"/>
                  </w:tcBorders>
                  <w:noWrap w:val="0"/>
                  <w:vAlign w:val="center"/>
                </w:tcPr>
                <w:p>
                  <w:pPr>
                    <w:jc w:val="center"/>
                    <w:rPr>
                      <w:rFonts w:hint="eastAsia" w:ascii="Times New Roman" w:hAnsi="Times New Roman" w:cs="Times New Roman"/>
                      <w:color w:val="auto"/>
                      <w:kern w:val="2"/>
                      <w:sz w:val="21"/>
                      <w:szCs w:val="24"/>
                      <w:vertAlign w:val="baseline"/>
                      <w:lang w:val="en-US" w:eastAsia="zh-CN" w:bidi="ar-SA"/>
                    </w:rPr>
                  </w:pPr>
                  <w:r>
                    <w:rPr>
                      <w:rFonts w:hint="eastAsia" w:ascii="Times New Roman" w:hAnsi="Times New Roman" w:cs="Times New Roman"/>
                      <w:color w:val="auto"/>
                      <w:kern w:val="2"/>
                      <w:sz w:val="21"/>
                      <w:szCs w:val="24"/>
                      <w:vertAlign w:val="baseline"/>
                      <w:lang w:val="en-US" w:eastAsia="zh-CN" w:bidi="ar-SA"/>
                    </w:rPr>
                    <w:t>防渗层的防渗性能应不低于6m厚、渗透系数不高于1.0×10</w:t>
                  </w:r>
                  <w:r>
                    <w:rPr>
                      <w:rFonts w:hint="eastAsia" w:ascii="Times New Roman" w:hAnsi="Times New Roman" w:cs="Times New Roman"/>
                      <w:color w:val="auto"/>
                      <w:kern w:val="2"/>
                      <w:sz w:val="21"/>
                      <w:szCs w:val="24"/>
                      <w:vertAlign w:val="superscript"/>
                      <w:lang w:val="en-US" w:eastAsia="zh-CN" w:bidi="ar-SA"/>
                    </w:rPr>
                    <w:t>-7</w:t>
                  </w:r>
                  <w:r>
                    <w:rPr>
                      <w:rFonts w:hint="eastAsia" w:ascii="Times New Roman" w:hAnsi="Times New Roman" w:cs="Times New Roman"/>
                      <w:color w:val="auto"/>
                      <w:kern w:val="2"/>
                      <w:sz w:val="21"/>
                      <w:szCs w:val="24"/>
                      <w:vertAlign w:val="baseline"/>
                      <w:lang w:val="en-US" w:eastAsia="zh-CN" w:bidi="ar-SA"/>
                    </w:rPr>
                    <w:t>cm/s的等效黏土防渗层，或参照GB18598执行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1176"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生产车间其他区域</w:t>
                  </w:r>
                </w:p>
              </w:tc>
              <w:tc>
                <w:tcPr>
                  <w:tcW w:w="593" w:type="pct"/>
                  <w:tcBorders>
                    <w:tl2br w:val="nil"/>
                    <w:tr2bl w:val="nil"/>
                  </w:tcBorders>
                  <w:noWrap w:val="0"/>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一般</w:t>
                  </w:r>
                </w:p>
              </w:tc>
              <w:tc>
                <w:tcPr>
                  <w:tcW w:w="2816"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防渗层的防渗性能应不低于1.5m厚、渗透系数不高于1.0×10</w:t>
                  </w:r>
                  <w:r>
                    <w:rPr>
                      <w:rFonts w:hint="eastAsia" w:ascii="Times New Roman" w:hAnsi="Times New Roman" w:eastAsia="宋体" w:cs="Times New Roman"/>
                      <w:color w:val="auto"/>
                      <w:sz w:val="21"/>
                      <w:szCs w:val="21"/>
                      <w:vertAlign w:val="superscript"/>
                      <w:lang w:val="en-US" w:eastAsia="zh-CN"/>
                    </w:rPr>
                    <w:t>-7</w:t>
                  </w:r>
                  <w:r>
                    <w:rPr>
                      <w:rFonts w:hint="eastAsia" w:ascii="Times New Roman" w:hAnsi="Times New Roman" w:eastAsia="宋体" w:cs="Times New Roman"/>
                      <w:color w:val="auto"/>
                      <w:sz w:val="21"/>
                      <w:szCs w:val="21"/>
                      <w:lang w:val="en-US" w:eastAsia="zh-CN"/>
                    </w:rPr>
                    <w:t>cm/s的等效黏土防渗层，或参照GB16889执行</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napToGrid w:val="0"/>
                <w:color w:val="auto"/>
                <w:kern w:val="0"/>
                <w:sz w:val="24"/>
                <w:lang w:val="en-US" w:eastAsia="zh-CN"/>
              </w:rPr>
            </w:pPr>
            <w:r>
              <w:rPr>
                <w:rFonts w:hint="eastAsia" w:ascii="Times New Roman" w:hAnsi="Times New Roman" w:eastAsia="宋体" w:cs="Times New Roman"/>
                <w:color w:val="auto"/>
                <w:sz w:val="24"/>
                <w:highlight w:val="none"/>
              </w:rPr>
              <w:t>综上所述，企</w:t>
            </w:r>
            <w:r>
              <w:rPr>
                <w:rFonts w:hint="eastAsia" w:ascii="Times New Roman" w:hAnsi="Times New Roman" w:eastAsia="宋体" w:cs="Times New Roman"/>
                <w:color w:val="auto"/>
                <w:spacing w:val="-6"/>
                <w:sz w:val="24"/>
                <w:highlight w:val="none"/>
              </w:rPr>
              <w:t>业在加强管理，强化防渗措施，做好水工构件的防渗，在落实各项环保措施的条件下，本项目不会对区域内地下水及土壤产生影响，治理措施可行。</w:t>
            </w:r>
          </w:p>
          <w:p>
            <w:pPr>
              <w:spacing w:line="360" w:lineRule="auto"/>
              <w:rPr>
                <w:rFonts w:hint="eastAsia" w:cs="Times New Roman"/>
                <w:b/>
                <w:bCs/>
                <w:color w:val="auto"/>
                <w:sz w:val="24"/>
                <w:szCs w:val="24"/>
                <w:lang w:val="en-US" w:eastAsia="zh-CN" w:bidi="ar-SA"/>
              </w:rPr>
            </w:pPr>
            <w:r>
              <w:rPr>
                <w:rFonts w:hint="eastAsia" w:cs="Times New Roman"/>
                <w:b/>
                <w:bCs/>
                <w:color w:val="auto"/>
                <w:sz w:val="24"/>
                <w:szCs w:val="24"/>
                <w:lang w:val="en-US" w:eastAsia="zh-CN" w:bidi="ar-SA"/>
              </w:rPr>
              <w:t>6生态</w:t>
            </w:r>
          </w:p>
          <w:p>
            <w:pPr>
              <w:spacing w:line="360" w:lineRule="auto"/>
              <w:ind w:firstLine="480" w:firstLineChars="200"/>
              <w:rPr>
                <w:rFonts w:hint="eastAsia" w:ascii="Times New Roman" w:hAnsi="Times New Roman" w:eastAsia="宋体" w:cs="Times New Roman"/>
                <w:color w:val="auto"/>
                <w:sz w:val="24"/>
                <w:szCs w:val="24"/>
                <w:lang w:eastAsia="zh-CN" w:bidi="ar-SA"/>
              </w:rPr>
            </w:pPr>
            <w:r>
              <w:rPr>
                <w:rFonts w:hint="eastAsia" w:ascii="Times New Roman" w:hAnsi="Times New Roman" w:eastAsia="宋体" w:cs="Times New Roman"/>
                <w:color w:val="auto"/>
                <w:sz w:val="24"/>
                <w:szCs w:val="24"/>
                <w:lang w:eastAsia="zh-CN" w:bidi="ar-SA"/>
              </w:rPr>
              <w:t>根据生态环境部办公厅2020年12月24日印发的《建设项目环境影响报告表编制技术指南（污染影响类）</w:t>
            </w:r>
            <w:r>
              <w:rPr>
                <w:rFonts w:hint="eastAsia" w:ascii="Times New Roman" w:hAnsi="Times New Roman" w:eastAsia="宋体" w:cs="Times New Roman"/>
                <w:color w:val="auto"/>
                <w:sz w:val="24"/>
                <w:szCs w:val="24"/>
                <w:lang w:val="en-US" w:eastAsia="zh-CN" w:bidi="ar-SA"/>
              </w:rPr>
              <w:t>（试行）</w:t>
            </w:r>
            <w:r>
              <w:rPr>
                <w:rFonts w:hint="eastAsia" w:ascii="Times New Roman" w:hAnsi="Times New Roman" w:eastAsia="宋体" w:cs="Times New Roman"/>
                <w:color w:val="auto"/>
                <w:sz w:val="24"/>
                <w:szCs w:val="24"/>
                <w:lang w:eastAsia="zh-CN" w:bidi="ar-SA"/>
              </w:rPr>
              <w:t>》，产业园区外建设项目新增用地且用地范围内含有生态环境保护目标时，应明确保护措施。</w:t>
            </w:r>
          </w:p>
          <w:p>
            <w:pPr>
              <w:spacing w:line="360" w:lineRule="auto"/>
              <w:ind w:firstLine="480" w:firstLineChars="200"/>
              <w:rPr>
                <w:rFonts w:hint="eastAsia" w:cs="Times New Roman"/>
                <w:b/>
                <w:bCs/>
                <w:color w:val="auto"/>
                <w:sz w:val="24"/>
                <w:szCs w:val="24"/>
                <w:lang w:val="en-US" w:eastAsia="zh-CN" w:bidi="ar-SA"/>
              </w:rPr>
            </w:pPr>
            <w:r>
              <w:rPr>
                <w:rFonts w:hint="default" w:ascii="Times New Roman" w:hAnsi="Times New Roman" w:eastAsia="宋体" w:cs="Times New Roman"/>
                <w:color w:val="auto"/>
                <w:sz w:val="24"/>
                <w:szCs w:val="24"/>
                <w:lang w:bidi="ar-SA"/>
              </w:rPr>
              <w:t>本项目</w:t>
            </w:r>
            <w:r>
              <w:rPr>
                <w:rFonts w:hint="eastAsia" w:ascii="Times New Roman" w:hAnsi="Times New Roman" w:eastAsia="宋体" w:cs="Times New Roman"/>
                <w:color w:val="auto"/>
                <w:sz w:val="24"/>
                <w:szCs w:val="24"/>
                <w:lang w:eastAsia="zh-CN" w:bidi="ar-SA"/>
              </w:rPr>
              <w:t>位于胡杨河经济技术开发区南园区31#厂房，项目周围无生态环境敏感目标，故不需进行生态环境评价工作</w:t>
            </w:r>
            <w:r>
              <w:rPr>
                <w:rFonts w:hint="default" w:ascii="Times New Roman" w:hAnsi="Times New Roman" w:eastAsia="宋体" w:cs="Times New Roman"/>
                <w:color w:val="auto"/>
                <w:sz w:val="24"/>
                <w:szCs w:val="24"/>
                <w:lang w:bidi="ar-SA"/>
              </w:rPr>
              <w:t>。</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7</w:t>
            </w:r>
            <w:r>
              <w:rPr>
                <w:rFonts w:hint="default" w:ascii="Times New Roman" w:hAnsi="Times New Roman" w:eastAsia="宋体" w:cs="Times New Roman"/>
                <w:b/>
                <w:bCs/>
                <w:color w:val="auto"/>
                <w:sz w:val="24"/>
                <w:szCs w:val="24"/>
                <w:lang w:val="en-US" w:eastAsia="zh-CN" w:bidi="ar-SA"/>
              </w:rPr>
              <w:t>环境风险分析</w:t>
            </w:r>
          </w:p>
          <w:p>
            <w:pPr>
              <w:pStyle w:val="30"/>
              <w:ind w:left="0" w:leftChars="0" w:firstLine="0" w:firstLineChars="0"/>
              <w:rPr>
                <w:rFonts w:hint="default" w:ascii="Times New Roman" w:hAnsi="Times New Roman" w:cs="Times New Roman"/>
                <w:b/>
                <w:bCs/>
                <w:color w:val="auto"/>
                <w:sz w:val="24"/>
                <w:szCs w:val="24"/>
                <w:lang w:val="en-US" w:eastAsia="zh-CN" w:bidi="ar-SA"/>
              </w:rPr>
            </w:pPr>
            <w:r>
              <w:rPr>
                <w:rFonts w:hint="eastAsia" w:cs="Times New Roman"/>
                <w:b/>
                <w:bCs/>
                <w:color w:val="auto"/>
                <w:sz w:val="24"/>
                <w:szCs w:val="24"/>
                <w:lang w:val="en-US" w:eastAsia="zh-CN" w:bidi="ar-SA"/>
              </w:rPr>
              <w:t>7</w:t>
            </w:r>
            <w:r>
              <w:rPr>
                <w:rFonts w:hint="default" w:ascii="Times New Roman" w:hAnsi="Times New Roman" w:cs="Times New Roman"/>
                <w:b/>
                <w:bCs/>
                <w:color w:val="auto"/>
                <w:sz w:val="24"/>
                <w:szCs w:val="24"/>
                <w:lang w:val="en-US" w:eastAsia="zh-CN" w:bidi="ar-SA"/>
              </w:rPr>
              <w:t>.1环境风险潜势初判</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根据《建设项目环境风险评价技术导则》（HJ169-2018）、《危险化学品重大危险源辨识》（GB18218-2018）中的辨识方法及国家安全生产监督管理局《关于开展重大危险源监督管理工作的指导意见》（安监管协调字[2004]56 号）的要求，本项目涉及的主要危险物质为不饱和树脂、促进剂、固化剂、危险废物。</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根据HJ169-2018中附录C可知：计算本项目所涉及的每种危险物质在厂界内的最大存在总量与其在HJ169-2018附录B中对应的临界量的比值Q。</w:t>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当只涉及一种危险物质时，计算该物质的总量与其临界量比值，即为Q；当存在多种危险物质时，则按式（C.1）计算物质总量与其临界量比值（Q）；。</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color w:val="auto"/>
                <w:sz w:val="24"/>
                <w:szCs w:val="24"/>
                <w:lang w:bidi="ar-SA"/>
              </w:rPr>
            </w:pPr>
            <w:r>
              <w:rPr>
                <w:color w:val="auto"/>
                <w:sz w:val="20"/>
              </w:rPr>
              <w:drawing>
                <wp:inline distT="0" distB="0" distL="114300" distR="114300">
                  <wp:extent cx="3010535" cy="323215"/>
                  <wp:effectExtent l="0" t="0" r="18415" b="635"/>
                  <wp:docPr id="52" name="图片 48"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descr="7.png"/>
                          <pic:cNvPicPr>
                            <a:picLocks noChangeAspect="1"/>
                          </pic:cNvPicPr>
                        </pic:nvPicPr>
                        <pic:blipFill>
                          <a:blip r:embed="rId14"/>
                          <a:stretch>
                            <a:fillRect/>
                          </a:stretch>
                        </pic:blipFill>
                        <pic:spPr>
                          <a:xfrm>
                            <a:off x="0" y="0"/>
                            <a:ext cx="3010535" cy="323215"/>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式中：q</w:t>
            </w:r>
            <w:r>
              <w:rPr>
                <w:rFonts w:hint="default" w:ascii="Times New Roman" w:hAnsi="Times New Roman" w:eastAsia="宋体" w:cs="Times New Roman"/>
                <w:color w:val="auto"/>
                <w:sz w:val="24"/>
                <w:szCs w:val="24"/>
                <w:vertAlign w:val="subscript"/>
                <w:lang w:bidi="ar-SA"/>
              </w:rPr>
              <w:t>1</w:t>
            </w:r>
            <w:r>
              <w:rPr>
                <w:rFonts w:hint="default" w:ascii="Times New Roman" w:hAnsi="Times New Roman" w:eastAsia="宋体" w:cs="Times New Roman"/>
                <w:color w:val="auto"/>
                <w:sz w:val="24"/>
                <w:szCs w:val="24"/>
                <w:lang w:bidi="ar-SA"/>
              </w:rPr>
              <w:t>，q</w:t>
            </w:r>
            <w:r>
              <w:rPr>
                <w:rFonts w:hint="default" w:ascii="Times New Roman" w:hAnsi="Times New Roman" w:eastAsia="宋体" w:cs="Times New Roman"/>
                <w:color w:val="auto"/>
                <w:sz w:val="24"/>
                <w:szCs w:val="24"/>
                <w:vertAlign w:val="subscript"/>
                <w:lang w:bidi="ar-SA"/>
              </w:rPr>
              <w:t>2</w:t>
            </w:r>
            <w:r>
              <w:rPr>
                <w:rFonts w:hint="default" w:ascii="Times New Roman" w:hAnsi="Times New Roman" w:eastAsia="宋体" w:cs="Times New Roman"/>
                <w:color w:val="auto"/>
                <w:sz w:val="24"/>
                <w:szCs w:val="24"/>
                <w:lang w:bidi="ar-SA"/>
              </w:rPr>
              <w:t>，…，qn——每种危险物质的最大存在总量，t；</w:t>
            </w:r>
          </w:p>
          <w:p>
            <w:pPr>
              <w:spacing w:line="360" w:lineRule="auto"/>
              <w:ind w:firstLine="1200" w:firstLineChars="5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Q</w:t>
            </w:r>
            <w:r>
              <w:rPr>
                <w:rFonts w:hint="default" w:ascii="Times New Roman" w:hAnsi="Times New Roman" w:eastAsia="宋体" w:cs="Times New Roman"/>
                <w:color w:val="auto"/>
                <w:sz w:val="24"/>
                <w:szCs w:val="24"/>
                <w:vertAlign w:val="subscript"/>
                <w:lang w:bidi="ar-SA"/>
              </w:rPr>
              <w:t>1</w:t>
            </w:r>
            <w:r>
              <w:rPr>
                <w:rFonts w:hint="default" w:ascii="Times New Roman" w:hAnsi="Times New Roman" w:eastAsia="宋体" w:cs="Times New Roman"/>
                <w:color w:val="auto"/>
                <w:sz w:val="24"/>
                <w:szCs w:val="24"/>
                <w:lang w:bidi="ar-SA"/>
              </w:rPr>
              <w:t>，Q</w:t>
            </w:r>
            <w:r>
              <w:rPr>
                <w:rFonts w:hint="default" w:ascii="Times New Roman" w:hAnsi="Times New Roman" w:eastAsia="宋体" w:cs="Times New Roman"/>
                <w:color w:val="auto"/>
                <w:sz w:val="24"/>
                <w:szCs w:val="24"/>
                <w:vertAlign w:val="subscript"/>
                <w:lang w:bidi="ar-SA"/>
              </w:rPr>
              <w:t>2</w:t>
            </w:r>
            <w:r>
              <w:rPr>
                <w:rFonts w:hint="default" w:ascii="Times New Roman" w:hAnsi="Times New Roman" w:eastAsia="宋体" w:cs="Times New Roman"/>
                <w:color w:val="auto"/>
                <w:sz w:val="24"/>
                <w:szCs w:val="24"/>
                <w:lang w:bidi="ar-SA"/>
              </w:rPr>
              <w:t>，…，Qn——每种危险物质的临界量，t；</w:t>
            </w:r>
          </w:p>
          <w:p>
            <w:pPr>
              <w:spacing w:line="360" w:lineRule="auto"/>
              <w:ind w:firstLine="1200" w:firstLineChars="5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当Q＜1时，该项目环境风险潜势为I。</w:t>
            </w:r>
          </w:p>
          <w:p>
            <w:pPr>
              <w:spacing w:line="360" w:lineRule="auto"/>
              <w:ind w:firstLine="1200" w:firstLineChars="5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当Q≥1时，将Q值划分为：（1）1≤Q＜10；（2）10≤Q＜100；（3）Q≥100。</w:t>
            </w:r>
          </w:p>
          <w:p>
            <w:pPr>
              <w:spacing w:line="360" w:lineRule="auto"/>
              <w:ind w:firstLine="480" w:firstLineChars="200"/>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color w:val="auto"/>
                <w:sz w:val="24"/>
                <w:szCs w:val="24"/>
                <w:lang w:bidi="ar-SA"/>
              </w:rPr>
              <w:t>危险物质具体存量详见表</w:t>
            </w:r>
            <w:r>
              <w:rPr>
                <w:rFonts w:hint="eastAsia" w:ascii="Times New Roman" w:hAnsi="Times New Roman" w:eastAsia="宋体" w:cs="Times New Roman"/>
                <w:color w:val="auto"/>
                <w:sz w:val="24"/>
                <w:szCs w:val="24"/>
                <w:lang w:val="en-US" w:eastAsia="zh-CN" w:bidi="ar-SA"/>
              </w:rPr>
              <w:t>4-</w:t>
            </w:r>
            <w:r>
              <w:rPr>
                <w:rFonts w:hint="eastAsia" w:cs="Times New Roman"/>
                <w:color w:val="auto"/>
                <w:sz w:val="24"/>
                <w:szCs w:val="24"/>
                <w:lang w:val="en-US" w:eastAsia="zh-CN" w:bidi="ar-SA"/>
              </w:rPr>
              <w:t>17</w:t>
            </w:r>
            <w:r>
              <w:rPr>
                <w:rFonts w:hint="default" w:ascii="Times New Roman" w:hAnsi="Times New Roman" w:eastAsia="宋体" w:cs="Times New Roman"/>
                <w:color w:val="auto"/>
                <w:sz w:val="24"/>
                <w:szCs w:val="24"/>
                <w:lang w:bidi="ar-SA"/>
              </w:rPr>
              <w:t>。</w:t>
            </w:r>
          </w:p>
          <w:p>
            <w:pPr>
              <w:spacing w:line="240" w:lineRule="auto"/>
              <w:ind w:firstLine="422" w:firstLineChars="200"/>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表</w:t>
            </w:r>
            <w:r>
              <w:rPr>
                <w:rFonts w:hint="eastAsia" w:ascii="Times New Roman" w:hAnsi="Times New Roman" w:eastAsia="宋体" w:cs="Times New Roman"/>
                <w:b/>
                <w:bCs/>
                <w:color w:val="auto"/>
                <w:sz w:val="21"/>
                <w:szCs w:val="21"/>
                <w:lang w:val="en-US" w:eastAsia="zh-CN" w:bidi="ar-SA"/>
              </w:rPr>
              <w:t>4-</w:t>
            </w:r>
            <w:r>
              <w:rPr>
                <w:rFonts w:hint="eastAsia" w:cs="Times New Roman"/>
                <w:b/>
                <w:bCs/>
                <w:color w:val="auto"/>
                <w:sz w:val="21"/>
                <w:szCs w:val="21"/>
                <w:lang w:val="en-US" w:eastAsia="zh-CN" w:bidi="ar-SA"/>
              </w:rPr>
              <w:t>17</w:t>
            </w:r>
            <w:r>
              <w:rPr>
                <w:rFonts w:hint="default" w:ascii="Times New Roman" w:hAnsi="Times New Roman" w:eastAsia="宋体" w:cs="Times New Roman"/>
                <w:b/>
                <w:bCs/>
                <w:color w:val="auto"/>
                <w:sz w:val="21"/>
                <w:szCs w:val="21"/>
                <w:lang w:bidi="ar-SA"/>
              </w:rPr>
              <w:t xml:space="preserve"> </w:t>
            </w:r>
            <w:r>
              <w:rPr>
                <w:rFonts w:hint="eastAsia" w:ascii="Times New Roman" w:hAnsi="Times New Roman" w:eastAsia="宋体" w:cs="Times New Roman"/>
                <w:b/>
                <w:bCs/>
                <w:color w:val="auto"/>
                <w:sz w:val="21"/>
                <w:szCs w:val="21"/>
                <w:lang w:val="en-US" w:eastAsia="zh-CN" w:bidi="ar-SA"/>
              </w:rPr>
              <w:t xml:space="preserve"> </w:t>
            </w:r>
            <w:r>
              <w:rPr>
                <w:rFonts w:hint="default" w:ascii="Times New Roman" w:hAnsi="Times New Roman" w:eastAsia="宋体" w:cs="Times New Roman"/>
                <w:b/>
                <w:bCs/>
                <w:color w:val="auto"/>
                <w:sz w:val="21"/>
                <w:szCs w:val="21"/>
                <w:lang w:bidi="ar-SA"/>
              </w:rPr>
              <w:t>项目Q值确定表</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5"/>
              <w:gridCol w:w="1966"/>
              <w:gridCol w:w="1613"/>
              <w:gridCol w:w="1250"/>
              <w:gridCol w:w="1240"/>
              <w:gridCol w:w="15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3"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序号</w:t>
                  </w:r>
                </w:p>
              </w:tc>
              <w:tc>
                <w:tcPr>
                  <w:tcW w:w="1195" w:type="pct"/>
                  <w:tcBorders>
                    <w:bottom w:val="single" w:color="000000" w:sz="12" w:space="0"/>
                  </w:tcBorders>
                  <w:noWrap w:val="0"/>
                  <w:vAlign w:val="center"/>
                </w:tcPr>
                <w:p>
                  <w:pPr>
                    <w:spacing w:line="240" w:lineRule="auto"/>
                    <w:jc w:val="center"/>
                    <w:rPr>
                      <w:rFonts w:hint="eastAsia" w:ascii="Times New Roman" w:hAnsi="Times New Roman" w:eastAsia="宋体" w:cs="Times New Roman"/>
                      <w:b/>
                      <w:bCs/>
                      <w:color w:val="auto"/>
                      <w:sz w:val="21"/>
                      <w:szCs w:val="21"/>
                      <w:lang w:eastAsia="zh-CN" w:bidi="ar-SA"/>
                    </w:rPr>
                  </w:pPr>
                  <w:r>
                    <w:rPr>
                      <w:rFonts w:hint="default" w:ascii="Times New Roman" w:hAnsi="Times New Roman" w:eastAsia="宋体" w:cs="Times New Roman"/>
                      <w:b/>
                      <w:bCs/>
                      <w:color w:val="auto"/>
                      <w:sz w:val="21"/>
                      <w:szCs w:val="21"/>
                      <w:lang w:bidi="ar-SA"/>
                    </w:rPr>
                    <w:t>名称</w:t>
                  </w:r>
                </w:p>
              </w:tc>
              <w:tc>
                <w:tcPr>
                  <w:tcW w:w="980"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最大存在总量qn/t</w:t>
                  </w:r>
                </w:p>
              </w:tc>
              <w:tc>
                <w:tcPr>
                  <w:tcW w:w="760"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最大储量qn/t</w:t>
                  </w:r>
                </w:p>
              </w:tc>
              <w:tc>
                <w:tcPr>
                  <w:tcW w:w="753"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所处位置</w:t>
                  </w:r>
                </w:p>
              </w:tc>
              <w:tc>
                <w:tcPr>
                  <w:tcW w:w="966" w:type="pct"/>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该种危险物质Q值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3" w:type="pct"/>
                  <w:tcBorders>
                    <w:top w:val="single" w:color="000000" w:sz="12" w:space="0"/>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w:t>
                  </w:r>
                </w:p>
              </w:tc>
              <w:tc>
                <w:tcPr>
                  <w:tcW w:w="1195" w:type="pct"/>
                  <w:tcBorders>
                    <w:top w:val="single" w:color="000000" w:sz="12" w:space="0"/>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zh-CN" w:eastAsia="zh-CN" w:bidi="ar-SA"/>
                    </w:rPr>
                    <w:t>不饱和聚酯树脂</w:t>
                  </w:r>
                </w:p>
              </w:tc>
              <w:tc>
                <w:tcPr>
                  <w:tcW w:w="1613" w:type="dxa"/>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50</w:t>
                  </w:r>
                </w:p>
              </w:tc>
              <w:tc>
                <w:tcPr>
                  <w:tcW w:w="1250" w:type="dxa"/>
                  <w:tcBorders>
                    <w:top w:val="single" w:color="000000" w:sz="12" w:space="0"/>
                    <w:bottom w:val="single" w:color="000000" w:sz="4" w:space="0"/>
                  </w:tcBorders>
                  <w:noWrap w:val="0"/>
                  <w:vAlign w:val="center"/>
                </w:tcPr>
                <w:p>
                  <w:pPr>
                    <w:spacing w:line="240" w:lineRule="auto"/>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40</w:t>
                  </w:r>
                </w:p>
              </w:tc>
              <w:tc>
                <w:tcPr>
                  <w:tcW w:w="753"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原料储存区</w:t>
                  </w:r>
                </w:p>
              </w:tc>
              <w:tc>
                <w:tcPr>
                  <w:tcW w:w="966" w:type="pct"/>
                  <w:tcBorders>
                    <w:top w:val="single" w:color="000000" w:sz="12"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3" w:type="pct"/>
                  <w:tcBorders>
                    <w:top w:val="single" w:color="000000" w:sz="4"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w:t>
                  </w:r>
                </w:p>
              </w:tc>
              <w:tc>
                <w:tcPr>
                  <w:tcW w:w="1195" w:type="pct"/>
                  <w:tcBorders>
                    <w:top w:val="single" w:color="000000" w:sz="4" w:space="0"/>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促进剂</w:t>
                  </w:r>
                </w:p>
              </w:tc>
              <w:tc>
                <w:tcPr>
                  <w:tcW w:w="1613" w:type="dxa"/>
                  <w:tcBorders>
                    <w:top w:val="single" w:color="000000" w:sz="4"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w:t>
                  </w:r>
                </w:p>
              </w:tc>
              <w:tc>
                <w:tcPr>
                  <w:tcW w:w="1250" w:type="dxa"/>
                  <w:tcBorders>
                    <w:top w:val="single" w:color="000000" w:sz="4" w:space="0"/>
                    <w:bottom w:val="single" w:color="000000" w:sz="4" w:space="0"/>
                  </w:tcBorders>
                  <w:noWrap w:val="0"/>
                  <w:vAlign w:val="center"/>
                </w:tcPr>
                <w:p>
                  <w:pPr>
                    <w:spacing w:line="240" w:lineRule="auto"/>
                    <w:jc w:val="center"/>
                    <w:rPr>
                      <w:rFonts w:hint="eastAsia" w:cs="Times New Roman"/>
                      <w:color w:val="auto"/>
                      <w:sz w:val="21"/>
                      <w:szCs w:val="21"/>
                      <w:lang w:val="en-US" w:eastAsia="zh-CN" w:bidi="ar-SA"/>
                    </w:rPr>
                  </w:pPr>
                  <w:r>
                    <w:rPr>
                      <w:rFonts w:hint="eastAsia" w:cs="Times New Roman"/>
                      <w:color w:val="auto"/>
                      <w:kern w:val="2"/>
                      <w:sz w:val="21"/>
                      <w:szCs w:val="21"/>
                      <w:lang w:val="en-US" w:eastAsia="zh-CN" w:bidi="ar-SA"/>
                    </w:rPr>
                    <w:t>2</w:t>
                  </w:r>
                </w:p>
              </w:tc>
              <w:tc>
                <w:tcPr>
                  <w:tcW w:w="753" w:type="pct"/>
                  <w:tcBorders>
                    <w:top w:val="single" w:color="000000" w:sz="4" w:space="0"/>
                    <w:bottom w:val="single" w:color="000000" w:sz="4" w:space="0"/>
                  </w:tcBorders>
                  <w:noWrap w:val="0"/>
                  <w:vAlign w:val="center"/>
                </w:tcPr>
                <w:p>
                  <w:pPr>
                    <w:spacing w:line="240" w:lineRule="auto"/>
                    <w:jc w:val="center"/>
                    <w:rPr>
                      <w:rFonts w:hint="eastAsia"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原料储存区</w:t>
                  </w:r>
                </w:p>
              </w:tc>
              <w:tc>
                <w:tcPr>
                  <w:tcW w:w="966" w:type="pct"/>
                  <w:tcBorders>
                    <w:top w:val="single" w:color="000000" w:sz="4" w:space="0"/>
                    <w:bottom w:val="single" w:color="000000" w:sz="4" w:space="0"/>
                  </w:tcBorders>
                  <w:noWrap w:val="0"/>
                  <w:vAlign w:val="center"/>
                </w:tcPr>
                <w:p>
                  <w:pPr>
                    <w:spacing w:line="240" w:lineRule="auto"/>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3" w:type="pct"/>
                  <w:tcBorders>
                    <w:top w:val="single" w:color="000000" w:sz="4"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w:t>
                  </w:r>
                </w:p>
              </w:tc>
              <w:tc>
                <w:tcPr>
                  <w:tcW w:w="1195" w:type="pct"/>
                  <w:tcBorders>
                    <w:top w:val="single" w:color="000000" w:sz="4" w:space="0"/>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zh-CN" w:eastAsia="zh-CN" w:bidi="ar-SA"/>
                    </w:rPr>
                    <w:t>固化剂</w:t>
                  </w:r>
                </w:p>
              </w:tc>
              <w:tc>
                <w:tcPr>
                  <w:tcW w:w="1613" w:type="dxa"/>
                  <w:tcBorders>
                    <w:top w:val="single" w:color="000000" w:sz="4" w:space="0"/>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w:t>
                  </w:r>
                </w:p>
              </w:tc>
              <w:tc>
                <w:tcPr>
                  <w:tcW w:w="1250" w:type="dxa"/>
                  <w:tcBorders>
                    <w:top w:val="single" w:color="000000" w:sz="4" w:space="0"/>
                    <w:bottom w:val="single" w:color="000000" w:sz="4" w:space="0"/>
                  </w:tcBorders>
                  <w:noWrap w:val="0"/>
                  <w:vAlign w:val="center"/>
                </w:tcPr>
                <w:p>
                  <w:pPr>
                    <w:spacing w:line="240" w:lineRule="auto"/>
                    <w:jc w:val="center"/>
                    <w:rPr>
                      <w:rFonts w:hint="eastAsia" w:cs="Times New Roman"/>
                      <w:color w:val="auto"/>
                      <w:sz w:val="21"/>
                      <w:szCs w:val="21"/>
                      <w:lang w:val="en-US" w:eastAsia="zh-CN" w:bidi="ar-SA"/>
                    </w:rPr>
                  </w:pPr>
                  <w:r>
                    <w:rPr>
                      <w:rFonts w:hint="eastAsia" w:cs="Times New Roman"/>
                      <w:color w:val="auto"/>
                      <w:sz w:val="21"/>
                      <w:szCs w:val="21"/>
                      <w:lang w:val="en-US" w:eastAsia="zh-CN" w:bidi="ar-SA"/>
                    </w:rPr>
                    <w:t>2</w:t>
                  </w:r>
                </w:p>
              </w:tc>
              <w:tc>
                <w:tcPr>
                  <w:tcW w:w="753" w:type="pct"/>
                  <w:tcBorders>
                    <w:top w:val="single" w:color="000000" w:sz="4" w:space="0"/>
                    <w:bottom w:val="single" w:color="000000" w:sz="4" w:space="0"/>
                  </w:tcBorders>
                  <w:noWrap w:val="0"/>
                  <w:vAlign w:val="center"/>
                </w:tcPr>
                <w:p>
                  <w:pPr>
                    <w:spacing w:line="240" w:lineRule="auto"/>
                    <w:jc w:val="center"/>
                    <w:rPr>
                      <w:rFonts w:hint="eastAsia"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原料储存区</w:t>
                  </w:r>
                </w:p>
              </w:tc>
              <w:tc>
                <w:tcPr>
                  <w:tcW w:w="966" w:type="pct"/>
                  <w:tcBorders>
                    <w:top w:val="single" w:color="000000" w:sz="4" w:space="0"/>
                    <w:bottom w:val="single" w:color="000000" w:sz="4" w:space="0"/>
                  </w:tcBorders>
                  <w:noWrap w:val="0"/>
                  <w:vAlign w:val="center"/>
                </w:tcPr>
                <w:p>
                  <w:pPr>
                    <w:spacing w:line="240" w:lineRule="auto"/>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3" w:type="pct"/>
                  <w:tcBorders>
                    <w:top w:val="single" w:color="000000" w:sz="4"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w:t>
                  </w:r>
                </w:p>
              </w:tc>
              <w:tc>
                <w:tcPr>
                  <w:tcW w:w="1195" w:type="pct"/>
                  <w:tcBorders>
                    <w:top w:val="single" w:color="000000" w:sz="4" w:space="0"/>
                    <w:bottom w:val="single" w:color="000000" w:sz="4" w:space="0"/>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zh-CN" w:eastAsia="zh-CN" w:bidi="ar-SA"/>
                    </w:rPr>
                    <w:t>危险废物</w:t>
                  </w:r>
                </w:p>
              </w:tc>
              <w:tc>
                <w:tcPr>
                  <w:tcW w:w="1613" w:type="dxa"/>
                  <w:tcBorders>
                    <w:top w:val="single" w:color="000000" w:sz="4"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2500</w:t>
                  </w:r>
                </w:p>
              </w:tc>
              <w:tc>
                <w:tcPr>
                  <w:tcW w:w="1250" w:type="dxa"/>
                  <w:tcBorders>
                    <w:top w:val="single" w:color="000000" w:sz="4" w:space="0"/>
                    <w:bottom w:val="single" w:color="000000" w:sz="4" w:space="0"/>
                  </w:tcBorders>
                  <w:noWrap w:val="0"/>
                  <w:vAlign w:val="center"/>
                </w:tcPr>
                <w:p>
                  <w:pPr>
                    <w:spacing w:line="240" w:lineRule="auto"/>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1</w:t>
                  </w:r>
                </w:p>
              </w:tc>
              <w:tc>
                <w:tcPr>
                  <w:tcW w:w="753" w:type="pct"/>
                  <w:tcBorders>
                    <w:top w:val="single" w:color="000000" w:sz="4" w:space="0"/>
                    <w:bottom w:val="single" w:color="000000" w:sz="4" w:space="0"/>
                  </w:tcBorders>
                  <w:noWrap w:val="0"/>
                  <w:vAlign w:val="center"/>
                </w:tcPr>
                <w:p>
                  <w:pPr>
                    <w:spacing w:line="240" w:lineRule="auto"/>
                    <w:jc w:val="center"/>
                    <w:rPr>
                      <w:rFonts w:hint="eastAsia" w:cs="Times New Roman"/>
                      <w:color w:val="auto"/>
                      <w:sz w:val="21"/>
                      <w:szCs w:val="21"/>
                      <w:lang w:val="en-US" w:eastAsia="zh-CN" w:bidi="ar-SA"/>
                    </w:rPr>
                  </w:pPr>
                  <w:r>
                    <w:rPr>
                      <w:rFonts w:hint="eastAsia" w:cs="Times New Roman"/>
                      <w:color w:val="auto"/>
                      <w:sz w:val="21"/>
                      <w:szCs w:val="21"/>
                      <w:lang w:val="en-US" w:eastAsia="zh-CN" w:bidi="ar-SA"/>
                    </w:rPr>
                    <w:t>危险废物暂存间</w:t>
                  </w:r>
                </w:p>
              </w:tc>
              <w:tc>
                <w:tcPr>
                  <w:tcW w:w="966" w:type="pct"/>
                  <w:tcBorders>
                    <w:top w:val="single" w:color="000000" w:sz="4" w:space="0"/>
                    <w:bottom w:val="single" w:color="000000" w:sz="4" w:space="0"/>
                  </w:tcBorders>
                  <w:noWrap w:val="0"/>
                  <w:vAlign w:val="center"/>
                </w:tcPr>
                <w:p>
                  <w:pPr>
                    <w:spacing w:line="240" w:lineRule="auto"/>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0.0004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033" w:type="pct"/>
                  <w:gridSpan w:val="5"/>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项目Q值∑</w:t>
                  </w:r>
                </w:p>
              </w:tc>
              <w:tc>
                <w:tcPr>
                  <w:tcW w:w="96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1.4004</w:t>
                  </w:r>
                </w:p>
              </w:tc>
            </w:tr>
          </w:tbl>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bidi="ar-SA"/>
              </w:rPr>
              <w:t>由上表可知，本项目危险物质数量与临界量比值Q=</w:t>
            </w:r>
            <w:r>
              <w:rPr>
                <w:rFonts w:hint="eastAsia" w:cs="Times New Roman"/>
                <w:color w:val="auto"/>
                <w:sz w:val="24"/>
                <w:szCs w:val="24"/>
                <w:lang w:val="en-US" w:eastAsia="zh-CN" w:bidi="ar-SA"/>
              </w:rPr>
              <w:t>1.4004</w:t>
            </w:r>
            <w:r>
              <w:rPr>
                <w:rFonts w:hint="default" w:ascii="Times New Roman" w:hAnsi="Times New Roman" w:eastAsia="宋体" w:cs="Times New Roman"/>
                <w:color w:val="auto"/>
                <w:sz w:val="24"/>
                <w:szCs w:val="24"/>
                <w:lang w:bidi="ar-SA"/>
              </w:rPr>
              <w:t>，属于Q＜1。该项目环境风险潜势为Ⅰ。</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cs="Times New Roman"/>
                <w:b/>
                <w:bCs/>
                <w:color w:val="auto"/>
                <w:sz w:val="24"/>
                <w:szCs w:val="24"/>
                <w:lang w:val="en-US" w:eastAsia="zh-CN" w:bidi="ar-SA"/>
              </w:rPr>
              <w:t>7</w:t>
            </w:r>
            <w:r>
              <w:rPr>
                <w:rFonts w:hint="default" w:ascii="Times New Roman" w:hAnsi="Times New Roman" w:eastAsia="宋体" w:cs="Times New Roman"/>
                <w:b/>
                <w:bCs/>
                <w:color w:val="auto"/>
                <w:sz w:val="24"/>
                <w:szCs w:val="24"/>
                <w:lang w:val="en-US" w:eastAsia="zh-CN" w:bidi="ar-SA"/>
              </w:rPr>
              <w:t>.2风险评价等级划分</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7.2.1</w:t>
            </w:r>
            <w:r>
              <w:rPr>
                <w:rFonts w:hint="default" w:ascii="Times New Roman" w:hAnsi="Times New Roman" w:eastAsia="宋体" w:cs="Times New Roman"/>
                <w:b/>
                <w:bCs/>
                <w:color w:val="auto"/>
                <w:sz w:val="24"/>
                <w:szCs w:val="24"/>
                <w:lang w:val="en-US" w:eastAsia="zh-CN" w:bidi="ar-SA"/>
              </w:rPr>
              <w:t>环境风险潜势初判</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根据建设项目涉及的物质和工艺系统危险性及其所在地的环境敏感程度，结合事故情形下环境影响途径，对建设项目潜在环境危害程度进行概化分析，按照表4-</w:t>
            </w:r>
            <w:r>
              <w:rPr>
                <w:rFonts w:hint="eastAsia" w:ascii="Times New Roman" w:hAnsi="Times New Roman" w:eastAsia="宋体" w:cs="Times New Roman"/>
                <w:color w:val="auto"/>
                <w:sz w:val="24"/>
                <w:szCs w:val="24"/>
                <w:lang w:val="en-US" w:eastAsia="zh-CN" w:bidi="ar-SA"/>
              </w:rPr>
              <w:t>18</w:t>
            </w:r>
            <w:r>
              <w:rPr>
                <w:rFonts w:hint="default" w:ascii="Times New Roman" w:hAnsi="Times New Roman" w:eastAsia="宋体" w:cs="Times New Roman"/>
                <w:color w:val="auto"/>
                <w:sz w:val="24"/>
                <w:szCs w:val="24"/>
                <w:lang w:val="en-US" w:eastAsia="zh-CN" w:bidi="ar-SA"/>
              </w:rPr>
              <w:t>确定环境风险潜势</w:t>
            </w:r>
            <w:r>
              <w:rPr>
                <w:rFonts w:hint="eastAsia" w:ascii="Times New Roman" w:hAnsi="Times New Roman" w:eastAsia="宋体" w:cs="Times New Roman"/>
                <w:color w:val="auto"/>
                <w:sz w:val="24"/>
                <w:szCs w:val="24"/>
                <w:lang w:val="en-US" w:eastAsia="zh-CN" w:bidi="ar-SA"/>
              </w:rPr>
              <w:t>。</w:t>
            </w:r>
          </w:p>
          <w:p>
            <w:pPr>
              <w:spacing w:line="240" w:lineRule="auto"/>
              <w:ind w:firstLine="422" w:firstLineChars="20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表4-</w:t>
            </w:r>
            <w:r>
              <w:rPr>
                <w:rFonts w:hint="eastAsia" w:ascii="Times New Roman" w:hAnsi="Times New Roman" w:eastAsia="宋体" w:cs="Times New Roman"/>
                <w:b/>
                <w:bCs/>
                <w:color w:val="auto"/>
                <w:sz w:val="21"/>
                <w:szCs w:val="21"/>
                <w:lang w:val="en-US" w:eastAsia="zh-CN" w:bidi="ar-SA"/>
              </w:rPr>
              <w:t>18</w:t>
            </w:r>
            <w:r>
              <w:rPr>
                <w:rFonts w:hint="default" w:ascii="Times New Roman" w:hAnsi="Times New Roman" w:eastAsia="宋体" w:cs="Times New Roman"/>
                <w:b/>
                <w:bCs/>
                <w:color w:val="auto"/>
                <w:sz w:val="21"/>
                <w:szCs w:val="21"/>
                <w:lang w:val="en-US" w:eastAsia="zh-CN" w:bidi="ar-SA"/>
              </w:rPr>
              <w:t xml:space="preserve"> </w:t>
            </w:r>
            <w:r>
              <w:rPr>
                <w:rFonts w:hint="eastAsia" w:ascii="Times New Roman" w:hAnsi="Times New Roman" w:eastAsia="宋体" w:cs="Times New Roman"/>
                <w:b/>
                <w:bCs/>
                <w:color w:val="auto"/>
                <w:sz w:val="21"/>
                <w:szCs w:val="21"/>
                <w:lang w:val="en-US" w:eastAsia="zh-CN" w:bidi="ar-SA"/>
              </w:rPr>
              <w:t xml:space="preserve"> </w:t>
            </w:r>
            <w:r>
              <w:rPr>
                <w:rFonts w:hint="default" w:ascii="Times New Roman" w:hAnsi="Times New Roman" w:eastAsia="宋体" w:cs="Times New Roman"/>
                <w:b/>
                <w:bCs/>
                <w:color w:val="auto"/>
                <w:sz w:val="21"/>
                <w:szCs w:val="21"/>
                <w:lang w:val="en-US" w:eastAsia="zh-CN" w:bidi="ar-SA"/>
              </w:rPr>
              <w:t>建设项目环境风险潜势划分一览表</w:t>
            </w:r>
          </w:p>
          <w:tbl>
            <w:tblPr>
              <w:tblStyle w:val="31"/>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474"/>
              <w:gridCol w:w="1544"/>
              <w:gridCol w:w="1542"/>
              <w:gridCol w:w="15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2176" w:type="dxa"/>
                  <w:vMerge w:val="restart"/>
                  <w:noWrap w:val="0"/>
                  <w:tcMar>
                    <w:top w:w="15" w:type="dxa"/>
                    <w:left w:w="15" w:type="dxa"/>
                    <w:right w:w="15" w:type="dxa"/>
                  </w:tcMar>
                  <w:vAlign w:val="center"/>
                </w:tcPr>
                <w:p>
                  <w:pPr>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环境敏感度（E）</w:t>
                  </w:r>
                </w:p>
              </w:tc>
              <w:tc>
                <w:tcPr>
                  <w:tcW w:w="6291" w:type="dxa"/>
                  <w:gridSpan w:val="4"/>
                  <w:noWrap w:val="0"/>
                  <w:tcMar>
                    <w:top w:w="15" w:type="dxa"/>
                    <w:left w:w="15" w:type="dxa"/>
                    <w:right w:w="15" w:type="dxa"/>
                  </w:tcMar>
                  <w:vAlign w:val="center"/>
                </w:tcPr>
                <w:p>
                  <w:pPr>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危险物质及工艺系统危险性（P）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2176" w:type="dxa"/>
                  <w:vMerge w:val="continue"/>
                  <w:tcBorders>
                    <w:bottom w:val="single" w:color="000000" w:sz="12" w:space="0"/>
                  </w:tcBorders>
                  <w:noWrap w:val="0"/>
                  <w:tcMar>
                    <w:top w:w="15" w:type="dxa"/>
                    <w:left w:w="15" w:type="dxa"/>
                    <w:right w:w="15" w:type="dxa"/>
                  </w:tcMar>
                  <w:vAlign w:val="center"/>
                </w:tcPr>
                <w:p>
                  <w:pPr>
                    <w:spacing w:line="240" w:lineRule="auto"/>
                    <w:jc w:val="center"/>
                    <w:rPr>
                      <w:rFonts w:hint="default" w:ascii="Times New Roman" w:hAnsi="Times New Roman" w:cs="Times New Roman"/>
                      <w:b/>
                      <w:bCs/>
                      <w:color w:val="auto"/>
                    </w:rPr>
                  </w:pPr>
                </w:p>
              </w:tc>
              <w:tc>
                <w:tcPr>
                  <w:tcW w:w="1518" w:type="dxa"/>
                  <w:tcBorders>
                    <w:bottom w:val="single" w:color="000000" w:sz="12" w:space="0"/>
                  </w:tcBorders>
                  <w:noWrap w:val="0"/>
                  <w:tcMar>
                    <w:top w:w="15" w:type="dxa"/>
                    <w:left w:w="15" w:type="dxa"/>
                    <w:right w:w="15" w:type="dxa"/>
                  </w:tcMar>
                  <w:vAlign w:val="center"/>
                </w:tcPr>
                <w:p>
                  <w:pPr>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极高危害（P1）</w:t>
                  </w:r>
                </w:p>
              </w:tc>
              <w:tc>
                <w:tcPr>
                  <w:tcW w:w="1589" w:type="dxa"/>
                  <w:tcBorders>
                    <w:bottom w:val="single" w:color="000000" w:sz="12" w:space="0"/>
                  </w:tcBorders>
                  <w:noWrap w:val="0"/>
                  <w:tcMar>
                    <w:top w:w="15" w:type="dxa"/>
                    <w:left w:w="15" w:type="dxa"/>
                    <w:right w:w="15" w:type="dxa"/>
                  </w:tcMar>
                  <w:vAlign w:val="center"/>
                </w:tcPr>
                <w:p>
                  <w:pPr>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高度危害（P2）</w:t>
                  </w:r>
                </w:p>
              </w:tc>
              <w:tc>
                <w:tcPr>
                  <w:tcW w:w="1587" w:type="dxa"/>
                  <w:tcBorders>
                    <w:bottom w:val="single" w:color="000000" w:sz="12" w:space="0"/>
                  </w:tcBorders>
                  <w:noWrap w:val="0"/>
                  <w:tcMar>
                    <w:top w:w="15" w:type="dxa"/>
                    <w:left w:w="15" w:type="dxa"/>
                    <w:right w:w="15" w:type="dxa"/>
                  </w:tcMar>
                  <w:vAlign w:val="center"/>
                </w:tcPr>
                <w:p>
                  <w:pPr>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中度危害（P3）</w:t>
                  </w:r>
                </w:p>
              </w:tc>
              <w:tc>
                <w:tcPr>
                  <w:tcW w:w="1597" w:type="dxa"/>
                  <w:tcBorders>
                    <w:bottom w:val="single" w:color="000000" w:sz="12" w:space="0"/>
                  </w:tcBorders>
                  <w:noWrap w:val="0"/>
                  <w:tcMar>
                    <w:top w:w="15" w:type="dxa"/>
                    <w:left w:w="15" w:type="dxa"/>
                    <w:right w:w="15" w:type="dxa"/>
                  </w:tcMar>
                  <w:vAlign w:val="center"/>
                </w:tcPr>
                <w:p>
                  <w:pPr>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轻度危害（P4）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2176" w:type="dxa"/>
                  <w:tcBorders>
                    <w:top w:val="single" w:color="000000" w:sz="12" w:space="0"/>
                  </w:tcBorders>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环境高度敏感区（E1）</w:t>
                  </w:r>
                </w:p>
              </w:tc>
              <w:tc>
                <w:tcPr>
                  <w:tcW w:w="1518" w:type="dxa"/>
                  <w:tcBorders>
                    <w:top w:val="single" w:color="000000" w:sz="12" w:space="0"/>
                  </w:tcBorders>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IV</w:t>
                  </w:r>
                  <w:r>
                    <w:rPr>
                      <w:rFonts w:hint="default" w:ascii="Times New Roman" w:hAnsi="Times New Roman" w:cs="Times New Roman"/>
                      <w:color w:val="auto"/>
                      <w:vertAlign w:val="superscript"/>
                    </w:rPr>
                    <w:t>＋</w:t>
                  </w:r>
                </w:p>
              </w:tc>
              <w:tc>
                <w:tcPr>
                  <w:tcW w:w="1589" w:type="dxa"/>
                  <w:tcBorders>
                    <w:top w:val="single" w:color="000000" w:sz="12" w:space="0"/>
                  </w:tcBorders>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IV</w:t>
                  </w:r>
                </w:p>
              </w:tc>
              <w:tc>
                <w:tcPr>
                  <w:tcW w:w="1587" w:type="dxa"/>
                  <w:tcBorders>
                    <w:top w:val="single" w:color="000000" w:sz="12" w:space="0"/>
                  </w:tcBorders>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III</w:t>
                  </w:r>
                </w:p>
              </w:tc>
              <w:tc>
                <w:tcPr>
                  <w:tcW w:w="1597" w:type="dxa"/>
                  <w:tcBorders>
                    <w:top w:val="single" w:color="000000" w:sz="12" w:space="0"/>
                  </w:tcBorders>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III</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176" w:type="dxa"/>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环境中度敏感区（E2）</w:t>
                  </w:r>
                </w:p>
              </w:tc>
              <w:tc>
                <w:tcPr>
                  <w:tcW w:w="1518" w:type="dxa"/>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IV</w:t>
                  </w:r>
                </w:p>
              </w:tc>
              <w:tc>
                <w:tcPr>
                  <w:tcW w:w="1589" w:type="dxa"/>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III</w:t>
                  </w:r>
                </w:p>
              </w:tc>
              <w:tc>
                <w:tcPr>
                  <w:tcW w:w="1587" w:type="dxa"/>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III</w:t>
                  </w:r>
                </w:p>
              </w:tc>
              <w:tc>
                <w:tcPr>
                  <w:tcW w:w="1597" w:type="dxa"/>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II</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176" w:type="dxa"/>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环境低度敏感区（E3）</w:t>
                  </w:r>
                </w:p>
              </w:tc>
              <w:tc>
                <w:tcPr>
                  <w:tcW w:w="1518" w:type="dxa"/>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III</w:t>
                  </w:r>
                </w:p>
              </w:tc>
              <w:tc>
                <w:tcPr>
                  <w:tcW w:w="1589" w:type="dxa"/>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III</w:t>
                  </w:r>
                </w:p>
              </w:tc>
              <w:tc>
                <w:tcPr>
                  <w:tcW w:w="1587" w:type="dxa"/>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II</w:t>
                  </w:r>
                </w:p>
              </w:tc>
              <w:tc>
                <w:tcPr>
                  <w:tcW w:w="1597" w:type="dxa"/>
                  <w:noWrap w:val="0"/>
                  <w:tcMar>
                    <w:top w:w="15" w:type="dxa"/>
                    <w:left w:w="15" w:type="dxa"/>
                    <w:right w:w="15" w:type="dxa"/>
                  </w:tcMar>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I</w:t>
                  </w:r>
                </w:p>
              </w:tc>
            </w:tr>
          </w:tbl>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根据《建设项目环境风险评价技术导则》（HJ/T169-2018）附录C及附录D确定危险物质及工艺系统危险性（P）及环境敏感程（E）。其中危险物质及工艺系统危险性（P）由危险物质数量与临界量比值（Q）、行业及生产工艺（M）确定。</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根据《建设项目环境风险评价技术导则》（HJ/T169-2018）附录</w:t>
            </w:r>
            <w:r>
              <w:rPr>
                <w:rFonts w:hint="eastAsia" w:ascii="Times New Roman" w:hAnsi="Times New Roman" w:eastAsia="宋体" w:cs="Times New Roman"/>
                <w:color w:val="auto"/>
                <w:sz w:val="24"/>
                <w:szCs w:val="24"/>
                <w:lang w:val="en-US" w:eastAsia="zh-CN" w:bidi="ar-SA"/>
              </w:rPr>
              <w:t>表</w:t>
            </w:r>
            <w:r>
              <w:rPr>
                <w:rFonts w:hint="default" w:ascii="Times New Roman" w:hAnsi="Times New Roman" w:eastAsia="宋体" w:cs="Times New Roman"/>
                <w:color w:val="auto"/>
                <w:sz w:val="24"/>
                <w:szCs w:val="24"/>
                <w:lang w:val="en-US" w:eastAsia="zh-CN" w:bidi="ar-SA"/>
              </w:rPr>
              <w:t>C.1行业及生产工艺（M），项目仅涉及危险物质的使用、贮存分值为M</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5，生产工艺情况判定为M4。</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根据《建设项目环境风险评价技术导则》（HJ/T169-2018）附录表C.2危险物质及工艺系统危险性等级判断（P），生产工艺情况为M4，危险物质数量与临界量比值Q＝1.4004，介于1≤Q＜10，危险物质及工艺系统危险性等级判断为P4。</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项目位于工业园区属于环境低度敏感区（E3），危险物质及工艺系统危险性为（轻度危害P4），根据《建设项目环境风险评价技术导则》（HJ/T169-2018）表2建设项目环境风险潜势划分，该项目环境风险潜势为Ⅰ</w:t>
            </w:r>
            <w:r>
              <w:rPr>
                <w:rFonts w:hint="eastAsia" w:ascii="Times New Roman" w:hAnsi="Times New Roman" w:eastAsia="宋体" w:cs="Times New Roman"/>
                <w:color w:val="auto"/>
                <w:sz w:val="24"/>
                <w:szCs w:val="24"/>
                <w:lang w:val="en-US" w:eastAsia="zh-CN" w:bidi="ar-SA"/>
              </w:rPr>
              <w:t>。</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7.2.2评价工作等级判定</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环境风险评价工作等级划分为一级、二级、三级。根据建设项目涉及的物质及工艺系统危险性和所在地的环境敏感性确定环境风险潜势，按照下表确定评价工作等级。风险潜势为Ⅳ及以上，进行一级评价；风险潜势为Ⅲ，进行二级评价；风险潜势为Ⅱ，进行三级评价；风险潜势为Ⅰ，可开展简单分析。</w:t>
            </w:r>
          </w:p>
          <w:p>
            <w:pPr>
              <w:spacing w:line="240" w:lineRule="auto"/>
              <w:ind w:firstLine="422" w:firstLineChars="200"/>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b/>
                <w:bCs/>
                <w:color w:val="auto"/>
                <w:sz w:val="21"/>
                <w:szCs w:val="21"/>
                <w:lang w:val="en-US" w:eastAsia="zh-CN" w:bidi="ar-SA"/>
              </w:rPr>
              <w:t>表4-19  评价工作等级划分</w:t>
            </w:r>
          </w:p>
          <w:tbl>
            <w:tblPr>
              <w:tblStyle w:val="31"/>
              <w:tblW w:w="4998" w:type="pct"/>
              <w:tblInd w:w="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40"/>
              <w:gridCol w:w="1655"/>
              <w:gridCol w:w="1640"/>
              <w:gridCol w:w="1644"/>
              <w:gridCol w:w="16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640" w:type="dxa"/>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环境风险潜势</w:t>
                  </w:r>
                </w:p>
              </w:tc>
              <w:tc>
                <w:tcPr>
                  <w:tcW w:w="1655" w:type="dxa"/>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Ⅳ、Ⅳ+</w:t>
                  </w:r>
                </w:p>
              </w:tc>
              <w:tc>
                <w:tcPr>
                  <w:tcW w:w="1640" w:type="dxa"/>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Ⅲ</w:t>
                  </w:r>
                </w:p>
              </w:tc>
              <w:tc>
                <w:tcPr>
                  <w:tcW w:w="1644" w:type="dxa"/>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Ⅱ</w:t>
                  </w:r>
                </w:p>
              </w:tc>
              <w:tc>
                <w:tcPr>
                  <w:tcW w:w="1644" w:type="dxa"/>
                  <w:tcBorders>
                    <w:bottom w:val="single" w:color="000000"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bidi="ar-SA"/>
                    </w:rPr>
                  </w:pPr>
                  <w:r>
                    <w:rPr>
                      <w:rFonts w:hint="default" w:ascii="Times New Roman" w:hAnsi="Times New Roman" w:eastAsia="宋体" w:cs="Times New Roman"/>
                      <w:b/>
                      <w:bCs/>
                      <w:color w:val="auto"/>
                      <w:sz w:val="21"/>
                      <w:szCs w:val="21"/>
                      <w:lang w:bidi="ar-SA"/>
                    </w:rPr>
                    <w:t>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640" w:type="dxa"/>
                  <w:tcBorders>
                    <w:top w:val="single" w:color="000000" w:sz="12" w:space="0"/>
                  </w:tcBorders>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评价工作等级</w:t>
                  </w:r>
                </w:p>
              </w:tc>
              <w:tc>
                <w:tcPr>
                  <w:tcW w:w="1655" w:type="dxa"/>
                  <w:tcBorders>
                    <w:top w:val="single" w:color="000000" w:sz="12" w:space="0"/>
                  </w:tcBorders>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一</w:t>
                  </w:r>
                </w:p>
              </w:tc>
              <w:tc>
                <w:tcPr>
                  <w:tcW w:w="1640" w:type="dxa"/>
                  <w:tcBorders>
                    <w:top w:val="single" w:color="000000" w:sz="12" w:space="0"/>
                  </w:tcBorders>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二</w:t>
                  </w:r>
                </w:p>
              </w:tc>
              <w:tc>
                <w:tcPr>
                  <w:tcW w:w="1644" w:type="dxa"/>
                  <w:tcBorders>
                    <w:top w:val="single" w:color="000000" w:sz="12" w:space="0"/>
                  </w:tcBorders>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三</w:t>
                  </w:r>
                </w:p>
              </w:tc>
              <w:tc>
                <w:tcPr>
                  <w:tcW w:w="1644" w:type="dxa"/>
                  <w:tcBorders>
                    <w:top w:val="single" w:color="000000" w:sz="12" w:space="0"/>
                  </w:tcBorders>
                  <w:noWrap w:val="0"/>
                  <w:vAlign w:val="center"/>
                </w:tcPr>
                <w:p>
                  <w:pPr>
                    <w:spacing w:line="240" w:lineRule="auto"/>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简单分析</w:t>
                  </w:r>
                </w:p>
              </w:tc>
            </w:tr>
          </w:tbl>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本项目环境风险潜势综合等级为Ⅰ类，可开展简单分析。</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7.3环境风险识别</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本项目可能发生的事故主要有原料、危废</w:t>
            </w:r>
            <w:r>
              <w:rPr>
                <w:rFonts w:hint="eastAsia" w:ascii="Times New Roman" w:hAnsi="Times New Roman" w:eastAsia="宋体" w:cs="Times New Roman"/>
                <w:color w:val="auto"/>
                <w:sz w:val="24"/>
                <w:szCs w:val="24"/>
                <w:lang w:val="en-US" w:eastAsia="zh-CN" w:bidi="ar-SA"/>
              </w:rPr>
              <w:t>储存容器</w:t>
            </w:r>
            <w:r>
              <w:rPr>
                <w:rFonts w:hint="default" w:ascii="Times New Roman" w:hAnsi="Times New Roman" w:eastAsia="宋体" w:cs="Times New Roman"/>
                <w:color w:val="auto"/>
                <w:sz w:val="24"/>
                <w:szCs w:val="24"/>
                <w:lang w:val="en-US" w:eastAsia="zh-CN" w:bidi="ar-SA"/>
              </w:rPr>
              <w:t>破损渗漏引起大气、土壤及地下水的污染，生产线发生意外事故或工人误操作时产生的泄漏以及由此引起的火灾及爆炸对人身安全及周围环境产生的危害。根据风险识别，本项目主要存在的事故类型有：</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1）原料、危废存储设施破损渗漏引起土壤及地下水的污染；</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2）</w:t>
            </w:r>
            <w:r>
              <w:rPr>
                <w:rFonts w:hint="eastAsia" w:ascii="Times New Roman" w:hAnsi="Times New Roman" w:eastAsia="宋体" w:cs="Times New Roman"/>
                <w:color w:val="auto"/>
                <w:sz w:val="24"/>
                <w:szCs w:val="24"/>
                <w:lang w:val="en-US" w:eastAsia="zh-CN" w:bidi="ar-SA"/>
              </w:rPr>
              <w:t>原料</w:t>
            </w:r>
            <w:r>
              <w:rPr>
                <w:rFonts w:hint="default" w:ascii="Times New Roman" w:hAnsi="Times New Roman" w:eastAsia="宋体" w:cs="Times New Roman"/>
                <w:color w:val="auto"/>
                <w:sz w:val="24"/>
                <w:szCs w:val="24"/>
                <w:lang w:val="en-US" w:eastAsia="zh-CN" w:bidi="ar-SA"/>
              </w:rPr>
              <w:t>泄露引起大气污染；</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3）存储设施泄漏后遇明火发生火灾、爆炸事故；</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4）存储设施发生快速泄漏形成蒸气云并发生火灾、爆炸若发生</w:t>
            </w:r>
            <w:r>
              <w:rPr>
                <w:rFonts w:hint="eastAsia" w:ascii="Times New Roman" w:hAnsi="Times New Roman" w:eastAsia="宋体" w:cs="Times New Roman"/>
                <w:color w:val="auto"/>
                <w:sz w:val="24"/>
                <w:szCs w:val="24"/>
                <w:lang w:val="en-US" w:eastAsia="zh-CN" w:bidi="ar-SA"/>
              </w:rPr>
              <w:t>原料桶</w:t>
            </w:r>
            <w:r>
              <w:rPr>
                <w:rFonts w:hint="default" w:ascii="Times New Roman" w:hAnsi="Times New Roman" w:eastAsia="宋体" w:cs="Times New Roman"/>
                <w:color w:val="auto"/>
                <w:sz w:val="24"/>
                <w:szCs w:val="24"/>
                <w:lang w:val="en-US" w:eastAsia="zh-CN" w:bidi="ar-SA"/>
              </w:rPr>
              <w:t>破损泄漏，</w:t>
            </w:r>
            <w:r>
              <w:rPr>
                <w:rFonts w:hint="eastAsia" w:ascii="Times New Roman" w:hAnsi="Times New Roman" w:eastAsia="宋体" w:cs="Times New Roman"/>
                <w:color w:val="auto"/>
                <w:sz w:val="24"/>
                <w:szCs w:val="24"/>
                <w:lang w:val="en-US" w:eastAsia="zh-CN" w:bidi="ar-SA"/>
              </w:rPr>
              <w:t>原料混合</w:t>
            </w:r>
            <w:r>
              <w:rPr>
                <w:rFonts w:hint="default" w:ascii="Times New Roman" w:hAnsi="Times New Roman" w:eastAsia="宋体" w:cs="Times New Roman"/>
                <w:color w:val="auto"/>
                <w:sz w:val="24"/>
                <w:szCs w:val="24"/>
                <w:lang w:val="en-US" w:eastAsia="zh-CN" w:bidi="ar-SA"/>
              </w:rPr>
              <w:t>废液下渗可能造成地下水环境风险。</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cs="Times New Roman"/>
                <w:b/>
                <w:bCs/>
                <w:color w:val="auto"/>
                <w:sz w:val="24"/>
                <w:szCs w:val="24"/>
                <w:lang w:val="en-US" w:eastAsia="zh-CN" w:bidi="ar-SA"/>
              </w:rPr>
              <w:t>7</w:t>
            </w:r>
            <w:r>
              <w:rPr>
                <w:rFonts w:hint="eastAsia" w:ascii="Times New Roman" w:hAnsi="Times New Roman" w:eastAsia="宋体" w:cs="Times New Roman"/>
                <w:b/>
                <w:bCs/>
                <w:color w:val="auto"/>
                <w:sz w:val="24"/>
                <w:szCs w:val="24"/>
                <w:lang w:val="en-US" w:eastAsia="zh-CN" w:bidi="ar-SA"/>
              </w:rPr>
              <w:t>.4风险防范措施</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结合项目主要风险源项，从生产，贮存及末端治理各方面提出事故风险防范措施。</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（1）生产车间事故预防措施</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生产车间可能发生的环境事件有火灾事故以及危险化学品泄漏事故，为最大限度地降低车间突发环境事件的发生，应注意以下几点：</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1）制定完善的生产操作规程，最大限度预防事故发生；制定各种化学危险品使用、贮存过程的合理操作规程，防止在使用过程中由于操作不当引起大面积泄漏。</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2）严格执行企业的各项安全管理制度；组织专门人员每天多次进行周期性巡回检查，有跑冒滴漏或其他异常现象的应及时检修，必要时按照</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生产服从安全</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原则停车检修，严禁生产线带病生产。</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3）加强操作工人培训，通过测试和考核后持证上岗；制定操作规程卡片张贴在显要地方；安排生产负责人定期、不定期监督检查，对于违规操作进行及时更正，并进行相应处罚。</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企业制定一系列生产安全方面的管理制度，为了有效管理，企业需在实际生产过程中严格落实。</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（2）贮存过程风险防范</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企业所涉及的化学危险品主要为</w:t>
            </w:r>
            <w:r>
              <w:rPr>
                <w:rFonts w:hint="default" w:ascii="Times New Roman" w:hAnsi="Times New Roman" w:eastAsia="宋体" w:cs="Times New Roman"/>
                <w:color w:val="auto"/>
                <w:sz w:val="24"/>
                <w:szCs w:val="24"/>
                <w:lang w:bidi="ar-SA"/>
              </w:rPr>
              <w:t>不饱和树脂、促进剂、固化剂</w:t>
            </w:r>
            <w:r>
              <w:rPr>
                <w:rFonts w:hint="default" w:ascii="Times New Roman" w:hAnsi="Times New Roman" w:eastAsia="宋体" w:cs="Times New Roman"/>
                <w:color w:val="auto"/>
                <w:sz w:val="24"/>
                <w:szCs w:val="24"/>
                <w:lang w:val="en-US" w:eastAsia="zh-CN" w:bidi="ar-SA"/>
              </w:rPr>
              <w:t>，在储存、取用过程中处理不当，容易发生事故。</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1）贮存要求</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A</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危险化学品贮存的场所必须设置专门危险化学品库房，必须符合防火防爆要求。防火间距的设置以及消防器材的配备必须通过消防部门审查认可，并设置危险介质浓度报警探头。</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B</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各种化学危险品需储存于阴凉、干燥、通风良好的库房。远离火种、热源。并且与各自相应的禁忌物分开存放。采用防爆型照明、通风设施。禁止使用易产生火花的机械设备和工具。</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化学危险品储存过程中需与其对应的禁忌物分开储存，储存和运输过程中需注意化学危险品的毒害性。各种化学危险品需储存于阴凉、干燥、通风良好的库房。远离火种、热源。采用防爆型照明、通风设施。禁止使用易产生火花的机械设备和工具。</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危险废物暂存设施严格按执行《危险废物贮存污染控制标准》（GB18597-2023）要求进行建设、防渗，并设置围堰，安排工作人员定期进行检查，避免出现跑、冒、滴、漏事故发生，污染土壤及地下水。危废暂存设施中废油泄漏后经围堰封堵，不会进入外环境，危废泄漏用砂土或其他不燃材料吸附或吸收，吸附后的不燃材料或沙土单独收集作为危废处理，</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2）管理要求</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A</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贮存危险化学品的仓库管理人员必须经过专业知识培训，熟悉贮存物品的特性，事故处理办法和防护知识，持上岗证，同时，必须配备有关的个人防护用品。</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B</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贮存的危险化学品必须设有明显的标志，并按国家规定标准控制不同单位面积的最大贮存限量和垛距。</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C</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贮存危险化学品的仓库等场所的消防设施、用电设施、防雷防静电设施等必须符合国家规定的安全要求。</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D危险化学品出入库必须检查验收登记，贮存期间定期养护，控制好贮存场所的温度和湿度；装卸、搬运时应轻装轻卸，注意自我防护。</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E</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要严格遵守有关贮存的安全规定，具体包括《仓库防火安全管理规则》、《建筑设计防火规范》、《易燃易爆化学物品消防安全监督管理办法》等。</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（3）生产过程风险防范</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生产过程事故风险防范是安全生产的核心：</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1）火灾爆炸风险以及事故性泄漏常与装置设备故障相关联，生产过程中要密切注意事故易发部位，做好运行监督检查与维修保养，防患于未然。</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公司应组织员工认真学习、贯彻各项安全生产政策，并将国家要求和安全技术规范转化为各自岗位的安全操作规程，并悬挂在岗位醒目位置，规范岗位操作，降低事故概率。</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3）要提高装置密封性能，尽可能减少无组织泄漏。工程设计中充分考虑安全因素，关键岗位应通过设备安全控制连锁措施降低风险性。</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4）必须组织专门人员每天每班多次进行周期性巡回检查，有跑冒滴漏或其他异常现象的应及时检修，必要时按照</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生产服从安全</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原则停车检修，严禁带病或不正常运转。</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（5）末端处置过程风险防范</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1）废气处理设施</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在生产过程中，必须保证废气处理设施正常运行，如发现废气超标或处理效率下降，应及时停产对废气处理设施进行检修。另外，日常应加强废气输送管线及其他配件的维护管理，加强车间的通风换气，一旦发现废气泄漏事故应及时进行修复或更换配件。</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2）固体废物暂存设施</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为避免固体废物暂存过程中有危险物料滴落、溢洒或产生渗滤液下渗污染土壤和地下水，产生的各种废物应采用容器进行收集，同时应按照《一般工业固体废物贮存和填埋污染控制标准》（GB18599-2020）、《危险废物贮存污染控制标准》（GB18597-2001）及修改单等相关要求建设一般工业固废储存场所和危废暂存间。</w:t>
            </w:r>
          </w:p>
          <w:p>
            <w:pPr>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3）建立事故排放事先申报制度，未经批准不得排放，便于相关部门应急防范，防止出现超标排放。</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cs="Times New Roman"/>
                <w:b/>
                <w:bCs/>
                <w:color w:val="auto"/>
                <w:sz w:val="24"/>
                <w:szCs w:val="24"/>
                <w:lang w:val="en-US" w:eastAsia="zh-CN" w:bidi="ar-SA"/>
              </w:rPr>
              <w:t>7</w:t>
            </w:r>
            <w:r>
              <w:rPr>
                <w:rFonts w:hint="default" w:ascii="Times New Roman" w:hAnsi="Times New Roman" w:eastAsia="宋体" w:cs="Times New Roman"/>
                <w:b/>
                <w:bCs/>
                <w:color w:val="auto"/>
                <w:sz w:val="24"/>
                <w:szCs w:val="24"/>
                <w:lang w:val="en-US" w:eastAsia="zh-CN" w:bidi="ar-SA"/>
              </w:rPr>
              <w:t>.</w:t>
            </w:r>
            <w:r>
              <w:rPr>
                <w:rFonts w:hint="eastAsia" w:ascii="Times New Roman" w:hAnsi="Times New Roman" w:eastAsia="宋体" w:cs="Times New Roman"/>
                <w:b/>
                <w:bCs/>
                <w:color w:val="auto"/>
                <w:sz w:val="24"/>
                <w:szCs w:val="24"/>
                <w:lang w:val="en-US" w:eastAsia="zh-CN" w:bidi="ar-SA"/>
              </w:rPr>
              <w:t>5应急措施</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本项目针对环境风险事故拟采取多种防范措施，可将风险事故的概率降至较低的水平，但概率不会降为零，一旦发生事故仍需采取应急措施，控制和减少事故危害，根据《突发环境事件应急管理办法》（环保部令第34号）等文件要求，根据项目生产过程存在的风险事故类型，制定适用于本项目的事故应急预案，应急预案主要包括以下内容：</w:t>
            </w:r>
          </w:p>
          <w:p>
            <w:pPr>
              <w:spacing w:line="240" w:lineRule="auto"/>
              <w:ind w:firstLine="57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表</w:t>
            </w:r>
            <w:r>
              <w:rPr>
                <w:rFonts w:hint="eastAsia" w:ascii="Times New Roman" w:hAnsi="Times New Roman" w:eastAsia="宋体" w:cs="Times New Roman"/>
                <w:b/>
                <w:bCs/>
                <w:color w:val="auto"/>
                <w:sz w:val="21"/>
                <w:szCs w:val="21"/>
                <w:lang w:val="en-US" w:eastAsia="zh-CN" w:bidi="ar-SA"/>
              </w:rPr>
              <w:t>4-</w:t>
            </w:r>
            <w:r>
              <w:rPr>
                <w:rFonts w:hint="eastAsia" w:cs="Times New Roman"/>
                <w:b/>
                <w:bCs/>
                <w:color w:val="auto"/>
                <w:sz w:val="21"/>
                <w:szCs w:val="21"/>
                <w:lang w:val="en-US" w:eastAsia="zh-CN" w:bidi="ar-SA"/>
              </w:rPr>
              <w:t>20</w:t>
            </w:r>
            <w:r>
              <w:rPr>
                <w:rFonts w:hint="eastAsia" w:ascii="Times New Roman" w:hAnsi="Times New Roman" w:eastAsia="宋体" w:cs="Times New Roman"/>
                <w:b/>
                <w:bCs/>
                <w:color w:val="auto"/>
                <w:sz w:val="21"/>
                <w:szCs w:val="21"/>
                <w:lang w:val="en-US" w:eastAsia="zh-CN" w:bidi="ar-SA"/>
              </w:rPr>
              <w:t xml:space="preserve">  </w:t>
            </w:r>
            <w:r>
              <w:rPr>
                <w:rFonts w:hint="default" w:ascii="Times New Roman" w:hAnsi="Times New Roman" w:eastAsia="宋体" w:cs="Times New Roman"/>
                <w:b/>
                <w:bCs/>
                <w:color w:val="auto"/>
                <w:sz w:val="21"/>
                <w:szCs w:val="21"/>
                <w:lang w:val="en-US" w:eastAsia="zh-CN" w:bidi="ar-SA"/>
              </w:rPr>
              <w:t>应急预案内容</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321"/>
              <w:gridCol w:w="51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序号</w:t>
                  </w:r>
                </w:p>
              </w:tc>
              <w:tc>
                <w:tcPr>
                  <w:tcW w:w="1411"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项目</w:t>
                  </w:r>
                </w:p>
              </w:tc>
              <w:tc>
                <w:tcPr>
                  <w:tcW w:w="3137"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tcBorders>
                    <w:top w:val="single" w:color="auto" w:sz="12"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2321" w:type="dxa"/>
                  <w:tcBorders>
                    <w:top w:val="single" w:color="auto" w:sz="12"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应急计划区</w:t>
                  </w:r>
                </w:p>
              </w:tc>
              <w:tc>
                <w:tcPr>
                  <w:tcW w:w="5160" w:type="dxa"/>
                  <w:tcBorders>
                    <w:top w:val="single" w:color="auto" w:sz="12"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危险目标；危险物质储存仓库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w:t>
                  </w:r>
                </w:p>
              </w:tc>
              <w:tc>
                <w:tcPr>
                  <w:tcW w:w="2321"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应急组织机构、人员</w:t>
                  </w:r>
                </w:p>
              </w:tc>
              <w:tc>
                <w:tcPr>
                  <w:tcW w:w="5160"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地区应急组织机构与人员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w:t>
                  </w:r>
                </w:p>
              </w:tc>
              <w:tc>
                <w:tcPr>
                  <w:tcW w:w="2321"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预案分级响应条件</w:t>
                  </w:r>
                </w:p>
              </w:tc>
              <w:tc>
                <w:tcPr>
                  <w:tcW w:w="5160"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4</w:t>
                  </w:r>
                </w:p>
              </w:tc>
              <w:tc>
                <w:tcPr>
                  <w:tcW w:w="2321"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应急救援保障</w:t>
                  </w:r>
                </w:p>
              </w:tc>
              <w:tc>
                <w:tcPr>
                  <w:tcW w:w="5160"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应急设施、设备与器材等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5</w:t>
                  </w:r>
                </w:p>
              </w:tc>
              <w:tc>
                <w:tcPr>
                  <w:tcW w:w="2321"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报警、通讯联络方式</w:t>
                  </w:r>
                </w:p>
              </w:tc>
              <w:tc>
                <w:tcPr>
                  <w:tcW w:w="5160"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规定应急状态下的报警通讯方式、通知方式和交通保障、管制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6</w:t>
                  </w:r>
                </w:p>
              </w:tc>
              <w:tc>
                <w:tcPr>
                  <w:tcW w:w="2321"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应急环境监测、抢险、救援及控制措施</w:t>
                  </w:r>
                </w:p>
              </w:tc>
              <w:tc>
                <w:tcPr>
                  <w:tcW w:w="5160"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由专业队伍负责对事故现场进行侦查监测，对事故性质、参数与后果进行评估，为指挥部门提供决策依据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7</w:t>
                  </w:r>
                </w:p>
              </w:tc>
              <w:tc>
                <w:tcPr>
                  <w:tcW w:w="2321"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应急检测、防护措施、清除泄漏措施和器材</w:t>
                  </w:r>
                </w:p>
              </w:tc>
              <w:tc>
                <w:tcPr>
                  <w:tcW w:w="5160"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8</w:t>
                  </w:r>
                </w:p>
              </w:tc>
              <w:tc>
                <w:tcPr>
                  <w:tcW w:w="2321"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人员紧急撤离、疏散，应急剂量控制、撤离组织计划</w:t>
                  </w:r>
                </w:p>
              </w:tc>
              <w:tc>
                <w:tcPr>
                  <w:tcW w:w="5160"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事故现场、厂区邻近区域、受事故影响的区域人员与公众对毒物应急剂量控制规定，撤离组织计划及救援，医疗救护与公众健康。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9</w:t>
                  </w:r>
                </w:p>
              </w:tc>
              <w:tc>
                <w:tcPr>
                  <w:tcW w:w="2321"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事故应急救援关闭程序与恢复措施</w:t>
                  </w:r>
                </w:p>
              </w:tc>
              <w:tc>
                <w:tcPr>
                  <w:tcW w:w="5160"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规定应急状态终止程序事故现场善后处理，恢复措施邻近区域接触事故警戒及善后恢复措施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10</w:t>
                  </w:r>
                </w:p>
              </w:tc>
              <w:tc>
                <w:tcPr>
                  <w:tcW w:w="2321"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应急培训计划</w:t>
                  </w:r>
                </w:p>
              </w:tc>
              <w:tc>
                <w:tcPr>
                  <w:tcW w:w="5160"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11</w:t>
                  </w:r>
                </w:p>
              </w:tc>
              <w:tc>
                <w:tcPr>
                  <w:tcW w:w="2321"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公众教育和信息</w:t>
                  </w:r>
                </w:p>
              </w:tc>
              <w:tc>
                <w:tcPr>
                  <w:tcW w:w="5160"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对邻近地区开展公众教育、培训和发布有关信息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2321"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记录和报告</w:t>
                  </w:r>
                </w:p>
              </w:tc>
              <w:tc>
                <w:tcPr>
                  <w:tcW w:w="5160"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设应急事故专门记录，建立档案和报告制度，设专门部门负责管理。</w:t>
                  </w:r>
                </w:p>
              </w:tc>
            </w:tr>
          </w:tbl>
          <w:p>
            <w:pPr>
              <w:spacing w:line="360" w:lineRule="auto"/>
              <w:rPr>
                <w:rFonts w:hint="default" w:ascii="Times New Roman" w:hAnsi="Times New Roman" w:eastAsia="宋体" w:cs="Times New Roman"/>
                <w:color w:val="auto"/>
                <w:sz w:val="24"/>
                <w:szCs w:val="24"/>
                <w:lang w:val="en-US" w:eastAsia="zh-CN" w:bidi="ar-SA"/>
              </w:rPr>
            </w:pPr>
            <w:r>
              <w:rPr>
                <w:rFonts w:hint="eastAsia" w:cs="Times New Roman"/>
                <w:b/>
                <w:bCs/>
                <w:color w:val="auto"/>
                <w:sz w:val="24"/>
                <w:szCs w:val="24"/>
                <w:lang w:val="en-US" w:eastAsia="zh-CN" w:bidi="ar-SA"/>
              </w:rPr>
              <w:t>7</w:t>
            </w:r>
            <w:r>
              <w:rPr>
                <w:rFonts w:hint="default" w:ascii="Times New Roman" w:hAnsi="Times New Roman" w:eastAsia="宋体" w:cs="Times New Roman"/>
                <w:b/>
                <w:bCs/>
                <w:color w:val="auto"/>
                <w:sz w:val="24"/>
                <w:szCs w:val="24"/>
                <w:lang w:val="en-US" w:eastAsia="zh-CN" w:bidi="ar-SA"/>
              </w:rPr>
              <w:t>.</w:t>
            </w:r>
            <w:r>
              <w:rPr>
                <w:rFonts w:hint="eastAsia" w:ascii="Times New Roman" w:hAnsi="Times New Roman" w:eastAsia="宋体" w:cs="Times New Roman"/>
                <w:b/>
                <w:bCs/>
                <w:color w:val="auto"/>
                <w:sz w:val="24"/>
                <w:szCs w:val="24"/>
                <w:lang w:val="en-US" w:eastAsia="zh-CN" w:bidi="ar-SA"/>
              </w:rPr>
              <w:t>6分析结论</w:t>
            </w:r>
          </w:p>
          <w:p>
            <w:pPr>
              <w:spacing w:line="360" w:lineRule="auto"/>
              <w:ind w:firstLine="570"/>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color w:val="auto"/>
                <w:sz w:val="24"/>
                <w:szCs w:val="24"/>
                <w:lang w:val="en-US" w:eastAsia="zh-CN" w:bidi="ar-SA"/>
              </w:rPr>
              <w:t>本项目涉及的主要危险物质为不饱和树脂、促进剂、固化剂、危险废物，项目存在的环境风险类型为风险物质的泄漏，厂房火灾。项目在认真落实环评中提出的各项风险防范措施后，项目风险水平可接受。环境风险评价简单分析内容表见表4-</w:t>
            </w:r>
            <w:r>
              <w:rPr>
                <w:rFonts w:hint="eastAsia" w:cs="Times New Roman"/>
                <w:color w:val="auto"/>
                <w:sz w:val="24"/>
                <w:szCs w:val="24"/>
                <w:lang w:val="en-US" w:eastAsia="zh-CN" w:bidi="ar-SA"/>
              </w:rPr>
              <w:t>21</w:t>
            </w:r>
            <w:r>
              <w:rPr>
                <w:rFonts w:hint="default" w:ascii="Times New Roman" w:hAnsi="Times New Roman" w:eastAsia="宋体" w:cs="Times New Roman"/>
                <w:color w:val="auto"/>
                <w:sz w:val="24"/>
                <w:szCs w:val="24"/>
                <w:lang w:val="en-US" w:eastAsia="zh-CN" w:bidi="ar-SA"/>
              </w:rPr>
              <w:t>。</w:t>
            </w:r>
          </w:p>
          <w:p>
            <w:pPr>
              <w:spacing w:line="240" w:lineRule="auto"/>
              <w:jc w:val="center"/>
              <w:rPr>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
                <w:bCs/>
                <w:color w:val="auto"/>
                <w:lang w:val="en-US" w:eastAsia="zh-CN" w:bidi="ar-SA"/>
              </w:rPr>
              <w:t>表4-</w:t>
            </w:r>
            <w:r>
              <w:rPr>
                <w:rFonts w:hint="eastAsia" w:cs="Times New Roman"/>
                <w:b/>
                <w:bCs/>
                <w:color w:val="auto"/>
                <w:lang w:val="en-US" w:eastAsia="zh-CN" w:bidi="ar-SA"/>
              </w:rPr>
              <w:t>21</w:t>
            </w:r>
            <w:r>
              <w:rPr>
                <w:rFonts w:hint="default" w:ascii="Times New Roman" w:hAnsi="Times New Roman" w:eastAsia="宋体" w:cs="Times New Roman"/>
                <w:b/>
                <w:bCs/>
                <w:color w:val="auto"/>
                <w:lang w:val="en-US" w:eastAsia="zh-CN" w:bidi="ar-SA"/>
              </w:rPr>
              <w:t xml:space="preserve">  环境风险评价简单分析内容表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671"/>
              <w:gridCol w:w="1639"/>
              <w:gridCol w:w="1260"/>
              <w:gridCol w:w="20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建设项目名称</w:t>
                  </w:r>
                </w:p>
              </w:tc>
              <w:tc>
                <w:tcPr>
                  <w:tcW w:w="4023" w:type="pct"/>
                  <w:gridSpan w:val="4"/>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胡杨河恒誉复合材料有限公司复合材料装备制造研发生产项目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建设地点</w:t>
                  </w:r>
                </w:p>
              </w:tc>
              <w:tc>
                <w:tcPr>
                  <w:tcW w:w="1015"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新疆维吾尔自治区</w:t>
                  </w:r>
                </w:p>
              </w:tc>
              <w:tc>
                <w:tcPr>
                  <w:tcW w:w="99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76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胡杨河经济技术开发区</w:t>
                  </w:r>
                </w:p>
              </w:tc>
              <w:tc>
                <w:tcPr>
                  <w:tcW w:w="1245"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南园区31#厂房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地理坐标</w:t>
                  </w:r>
                </w:p>
              </w:tc>
              <w:tc>
                <w:tcPr>
                  <w:tcW w:w="1015"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经度</w:t>
                  </w:r>
                </w:p>
              </w:tc>
              <w:tc>
                <w:tcPr>
                  <w:tcW w:w="99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E8</w:t>
                  </w:r>
                  <w:r>
                    <w:rPr>
                      <w:rFonts w:hint="eastAsia" w:ascii="Times New Roman" w:hAnsi="Times New Roman" w:eastAsia="宋体" w:cs="Times New Roman"/>
                      <w:color w:val="auto"/>
                      <w:sz w:val="21"/>
                      <w:szCs w:val="21"/>
                      <w:lang w:val="en-US" w:eastAsia="zh-CN" w:bidi="ar-SA"/>
                    </w:rPr>
                    <w:t>4</w:t>
                  </w:r>
                  <w:r>
                    <w:rPr>
                      <w:rFonts w:hint="default"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56</w:t>
                  </w:r>
                  <w:r>
                    <w:rPr>
                      <w:rFonts w:hint="default"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15.688</w:t>
                  </w:r>
                  <w:r>
                    <w:rPr>
                      <w:rFonts w:hint="default" w:ascii="Times New Roman" w:hAnsi="Times New Roman" w:eastAsia="宋体" w:cs="Times New Roman"/>
                      <w:color w:val="auto"/>
                      <w:sz w:val="21"/>
                      <w:szCs w:val="21"/>
                      <w:lang w:val="en-US" w:eastAsia="zh-CN" w:bidi="ar-SA"/>
                    </w:rPr>
                    <w:t>″</w:t>
                  </w:r>
                </w:p>
              </w:tc>
              <w:tc>
                <w:tcPr>
                  <w:tcW w:w="76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纬度</w:t>
                  </w:r>
                </w:p>
              </w:tc>
              <w:tc>
                <w:tcPr>
                  <w:tcW w:w="1245"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N44°</w:t>
                  </w:r>
                  <w:r>
                    <w:rPr>
                      <w:rFonts w:hint="eastAsia" w:ascii="Times New Roman" w:hAnsi="Times New Roman" w:eastAsia="宋体" w:cs="Times New Roman"/>
                      <w:color w:val="auto"/>
                      <w:sz w:val="21"/>
                      <w:szCs w:val="21"/>
                      <w:lang w:val="en-US" w:eastAsia="zh-CN" w:bidi="ar-SA"/>
                    </w:rPr>
                    <w:t>43</w:t>
                  </w:r>
                  <w:r>
                    <w:rPr>
                      <w:rFonts w:hint="default"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59.738</w:t>
                  </w:r>
                  <w:r>
                    <w:rPr>
                      <w:rFonts w:hint="default" w:ascii="Times New Roman" w:hAnsi="Times New Roman" w:eastAsia="宋体" w:cs="Times New Roman"/>
                      <w:color w:val="auto"/>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主要危险物质及分布</w:t>
                  </w:r>
                </w:p>
              </w:tc>
              <w:tc>
                <w:tcPr>
                  <w:tcW w:w="4023" w:type="pct"/>
                  <w:gridSpan w:val="4"/>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主要危险物质：不饱和树脂、促进剂、固化剂、危险废物</w:t>
                  </w:r>
                </w:p>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分布：原材料堆放区，危险废物暂存间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环境影响途径及危害后果（大气、地表水、地下水）</w:t>
                  </w:r>
                </w:p>
              </w:tc>
              <w:tc>
                <w:tcPr>
                  <w:tcW w:w="4023" w:type="pct"/>
                  <w:gridSpan w:val="4"/>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风险物质的泄漏，厂房火灾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风险防范措施要求</w:t>
                  </w:r>
                </w:p>
              </w:tc>
              <w:tc>
                <w:tcPr>
                  <w:tcW w:w="4023" w:type="pct"/>
                  <w:gridSpan w:val="4"/>
                  <w:noWrap w:val="0"/>
                  <w:vAlign w:val="center"/>
                </w:tcPr>
                <w:p>
                  <w:pPr>
                    <w:pStyle w:val="7"/>
                    <w:ind w:left="0" w:leftChars="0" w:firstLine="0" w:firstLineChars="0"/>
                    <w:jc w:val="center"/>
                    <w:rPr>
                      <w:rFonts w:hint="default"/>
                      <w:color w:val="auto"/>
                      <w:lang w:val="en-US" w:eastAsia="zh-CN"/>
                    </w:rPr>
                  </w:pPr>
                  <w:r>
                    <w:rPr>
                      <w:rFonts w:hint="eastAsia" w:ascii="Times New Roman" w:hAnsi="Times New Roman" w:eastAsia="宋体" w:cs="Times New Roman"/>
                      <w:color w:val="auto"/>
                      <w:sz w:val="21"/>
                      <w:szCs w:val="21"/>
                      <w:lang w:val="en-US" w:eastAsia="zh-CN" w:bidi="ar-SA"/>
                    </w:rPr>
                    <w:t>原材料堆放区</w:t>
                  </w:r>
                  <w:r>
                    <w:rPr>
                      <w:rFonts w:hint="default"/>
                      <w:color w:val="auto"/>
                      <w:lang w:val="en-US" w:eastAsia="zh-CN"/>
                    </w:rPr>
                    <w:t>、危废间地面防渗风险管理等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填表说明（列出项目相关信息及评价说明）</w:t>
                  </w:r>
                </w:p>
              </w:tc>
              <w:tc>
                <w:tcPr>
                  <w:tcW w:w="4023" w:type="pct"/>
                  <w:gridSpan w:val="4"/>
                  <w:noWrap w:val="0"/>
                  <w:vAlign w:val="center"/>
                </w:tcPr>
                <w:p>
                  <w:pPr>
                    <w:spacing w:line="240" w:lineRule="auto"/>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根据环境风险潜势划分，该项目环境风险潜势分析为Ⅰ级，评价工作等级为简单分析。在采取相应的防范措施及应急要求后，环境风险可以控制在可接受风险水平之内。</w:t>
                  </w:r>
                </w:p>
              </w:tc>
            </w:tr>
          </w:tbl>
          <w:p>
            <w:pPr>
              <w:spacing w:line="360" w:lineRule="auto"/>
              <w:rPr>
                <w:rFonts w:hint="eastAsia" w:cs="Times New Roman"/>
                <w:b/>
                <w:bCs/>
                <w:color w:val="auto"/>
                <w:sz w:val="24"/>
                <w:szCs w:val="24"/>
                <w:lang w:val="en-US" w:eastAsia="zh-CN" w:bidi="ar-SA"/>
              </w:rPr>
            </w:pPr>
            <w:r>
              <w:rPr>
                <w:rFonts w:hint="eastAsia" w:cs="Times New Roman"/>
                <w:b/>
                <w:bCs/>
                <w:color w:val="auto"/>
                <w:sz w:val="24"/>
                <w:szCs w:val="24"/>
                <w:lang w:val="en-US" w:eastAsia="zh-CN" w:bidi="ar-SA"/>
              </w:rPr>
              <w:t>8排污口规范化</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（1）管理要求</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排污口是企业污染物进入环境、污染环境的通道，因此强化排污口的管理，既是实施污染物总量控制的基础工作之一，也是区域环境管理逐步实现污染物排放科学化、定量化的重要手段。为此，按照生态环境部《排污口规范化整治技术要求》，提出建设项目排污口规范化管理要求，见表4-22。</w:t>
            </w:r>
          </w:p>
          <w:p>
            <w:pPr>
              <w:spacing w:line="240" w:lineRule="auto"/>
              <w:ind w:firstLine="422" w:firstLineChars="20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表4-22  排污口规范化管理要求表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5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4" w:type="pct"/>
                  <w:tcBorders>
                    <w:bottom w:val="single" w:color="auto" w:sz="12" w:space="0"/>
                  </w:tcBorders>
                  <w:noWrap/>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4575" w:type="pct"/>
                  <w:tcBorders>
                    <w:bottom w:val="single" w:color="auto" w:sz="12" w:space="0"/>
                  </w:tcBorders>
                  <w:noWrap/>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主要要求内容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4" w:type="pct"/>
                  <w:vMerge w:val="restart"/>
                  <w:tcBorders>
                    <w:top w:val="single" w:color="auto" w:sz="12" w:space="0"/>
                    <w:tl2br w:val="nil"/>
                    <w:tr2bl w:val="nil"/>
                  </w:tcBorders>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基本原则</w:t>
                  </w:r>
                </w:p>
              </w:tc>
              <w:tc>
                <w:tcPr>
                  <w:tcW w:w="4575" w:type="pct"/>
                  <w:tcBorders>
                    <w:top w:val="single" w:color="auto" w:sz="12" w:space="0"/>
                    <w:tl2br w:val="nil"/>
                    <w:tr2bl w:val="nil"/>
                  </w:tcBorders>
                  <w:noWrap/>
                  <w:vAlign w:val="center"/>
                </w:tcPr>
                <w:p>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1、凡向环境排放污染物的一切排污口必须进行规范化管理；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4" w:type="pct"/>
                  <w:vMerge w:val="continue"/>
                  <w:tcBorders>
                    <w:tl2br w:val="nil"/>
                    <w:tr2bl w:val="nil"/>
                  </w:tcBorders>
                  <w:noWrap/>
                  <w:vAlign w:val="center"/>
                </w:tcPr>
                <w:p>
                  <w:pPr>
                    <w:jc w:val="center"/>
                    <w:rPr>
                      <w:rFonts w:hint="default" w:ascii="Times New Roman" w:hAnsi="Times New Roman" w:eastAsia="宋体" w:cs="Times New Roman"/>
                      <w:color w:val="auto"/>
                      <w:sz w:val="21"/>
                      <w:szCs w:val="21"/>
                    </w:rPr>
                  </w:pPr>
                </w:p>
              </w:tc>
              <w:tc>
                <w:tcPr>
                  <w:tcW w:w="4575" w:type="pct"/>
                  <w:tcBorders>
                    <w:tl2br w:val="nil"/>
                    <w:tr2bl w:val="nil"/>
                  </w:tcBorders>
                  <w:noWrap/>
                  <w:vAlign w:val="center"/>
                </w:tcPr>
                <w:p>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2、将总量控制的污染物排污口及行业特征污染物排放口列为管理的重点；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4" w:type="pct"/>
                  <w:vMerge w:val="continue"/>
                  <w:tcBorders>
                    <w:tl2br w:val="nil"/>
                    <w:tr2bl w:val="nil"/>
                  </w:tcBorders>
                  <w:noWrap/>
                  <w:vAlign w:val="center"/>
                </w:tcPr>
                <w:p>
                  <w:pPr>
                    <w:jc w:val="center"/>
                    <w:rPr>
                      <w:rFonts w:hint="default" w:ascii="Times New Roman" w:hAnsi="Times New Roman" w:eastAsia="宋体" w:cs="Times New Roman"/>
                      <w:color w:val="auto"/>
                      <w:sz w:val="21"/>
                      <w:szCs w:val="21"/>
                    </w:rPr>
                  </w:pPr>
                </w:p>
              </w:tc>
              <w:tc>
                <w:tcPr>
                  <w:tcW w:w="4575" w:type="pct"/>
                  <w:tcBorders>
                    <w:tl2br w:val="nil"/>
                    <w:tr2bl w:val="nil"/>
                  </w:tcBorders>
                  <w:noWrap/>
                  <w:vAlign w:val="center"/>
                </w:tcPr>
                <w:p>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3、排污口设置应便于采样和计量监测，便于日常现场监督和检查；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4" w:type="pct"/>
                  <w:vMerge w:val="continue"/>
                  <w:tcBorders>
                    <w:tl2br w:val="nil"/>
                    <w:tr2bl w:val="nil"/>
                  </w:tcBorders>
                  <w:noWrap/>
                  <w:vAlign w:val="center"/>
                </w:tcPr>
                <w:p>
                  <w:pPr>
                    <w:jc w:val="center"/>
                    <w:rPr>
                      <w:rFonts w:hint="default" w:ascii="Times New Roman" w:hAnsi="Times New Roman" w:eastAsia="宋体" w:cs="Times New Roman"/>
                      <w:color w:val="auto"/>
                      <w:sz w:val="21"/>
                      <w:szCs w:val="21"/>
                    </w:rPr>
                  </w:pPr>
                </w:p>
              </w:tc>
              <w:tc>
                <w:tcPr>
                  <w:tcW w:w="4575" w:type="pct"/>
                  <w:tcBorders>
                    <w:tl2br w:val="nil"/>
                    <w:tr2bl w:val="nil"/>
                  </w:tcBorders>
                  <w:noWrap/>
                  <w:vAlign w:val="center"/>
                </w:tcPr>
                <w:p>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4、如实向</w:t>
                  </w:r>
                  <w:r>
                    <w:rPr>
                      <w:rFonts w:hint="default" w:ascii="Times New Roman" w:hAnsi="Times New Roman" w:eastAsia="宋体" w:cs="Times New Roman"/>
                      <w:color w:val="auto"/>
                      <w:sz w:val="21"/>
                      <w:szCs w:val="21"/>
                      <w:lang w:eastAsia="zh-CN"/>
                    </w:rPr>
                    <w:t>生态环境</w:t>
                  </w:r>
                  <w:r>
                    <w:rPr>
                      <w:rFonts w:hint="default" w:ascii="Times New Roman" w:hAnsi="Times New Roman" w:eastAsia="宋体" w:cs="Times New Roman"/>
                      <w:color w:val="auto"/>
                      <w:sz w:val="21"/>
                      <w:szCs w:val="21"/>
                    </w:rPr>
                    <w:t>主管部门申报排污口数量、位置，污染物种类排放去向等情况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4" w:type="pct"/>
                  <w:tcBorders>
                    <w:tl2br w:val="nil"/>
                    <w:tr2bl w:val="nil"/>
                  </w:tcBorders>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技术要求</w:t>
                  </w:r>
                </w:p>
              </w:tc>
              <w:tc>
                <w:tcPr>
                  <w:tcW w:w="4575" w:type="pct"/>
                  <w:tcBorders>
                    <w:tl2br w:val="nil"/>
                    <w:tr2bl w:val="nil"/>
                  </w:tcBorders>
                  <w:noWrap/>
                  <w:vAlign w:val="center"/>
                </w:tcPr>
                <w:p>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1、按照环监</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1996</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470号文要求，排污口位置必须合理确定，实行规范化管理；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4" w:type="pct"/>
                  <w:vMerge w:val="restart"/>
                  <w:tcBorders>
                    <w:tl2br w:val="nil"/>
                    <w:tr2bl w:val="nil"/>
                  </w:tcBorders>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立标管理</w:t>
                  </w:r>
                </w:p>
              </w:tc>
              <w:tc>
                <w:tcPr>
                  <w:tcW w:w="4575" w:type="pct"/>
                  <w:tcBorders>
                    <w:tl2br w:val="nil"/>
                    <w:tr2bl w:val="nil"/>
                  </w:tcBorders>
                  <w:noWrap/>
                  <w:vAlign w:val="center"/>
                </w:tcPr>
                <w:p>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1、污染物排放口必须按照国家《</w:t>
                  </w:r>
                  <w:r>
                    <w:rPr>
                      <w:rFonts w:hint="default" w:ascii="Times New Roman" w:hAnsi="Times New Roman" w:eastAsia="宋体" w:cs="Times New Roman"/>
                      <w:color w:val="auto"/>
                      <w:sz w:val="21"/>
                      <w:szCs w:val="21"/>
                      <w:lang w:eastAsia="zh-CN"/>
                    </w:rPr>
                    <w:t>环境保护图形标志排放口（源）</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GB15562.1</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1995</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与</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GB15562.2</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95</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及</w:t>
                  </w:r>
                  <w:r>
                    <w:rPr>
                      <w:rFonts w:hint="default" w:ascii="Times New Roman" w:hAnsi="Times New Roman" w:eastAsia="宋体" w:cs="Times New Roman"/>
                      <w:color w:val="auto"/>
                      <w:sz w:val="21"/>
                      <w:szCs w:val="21"/>
                      <w:lang w:val="en-US" w:eastAsia="zh-CN"/>
                    </w:rPr>
                    <w:t>《危险废物识别标志设置技术规范》（HJ1276-2022）</w:t>
                  </w:r>
                  <w:r>
                    <w:rPr>
                      <w:rFonts w:hint="default" w:ascii="Times New Roman" w:hAnsi="Times New Roman" w:eastAsia="宋体" w:cs="Times New Roman"/>
                      <w:color w:val="auto"/>
                      <w:sz w:val="21"/>
                      <w:szCs w:val="21"/>
                    </w:rPr>
                    <w:t>规定，实行规范化整治，设置环保图形标志牌；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4" w:type="pct"/>
                  <w:vMerge w:val="continue"/>
                  <w:tcBorders>
                    <w:tl2br w:val="nil"/>
                    <w:tr2bl w:val="nil"/>
                  </w:tcBorders>
                  <w:noWrap/>
                  <w:vAlign w:val="center"/>
                </w:tcPr>
                <w:p>
                  <w:pPr>
                    <w:jc w:val="center"/>
                    <w:rPr>
                      <w:rFonts w:hint="default" w:ascii="Times New Roman" w:hAnsi="Times New Roman" w:eastAsia="宋体" w:cs="Times New Roman"/>
                      <w:color w:val="auto"/>
                      <w:sz w:val="21"/>
                      <w:szCs w:val="21"/>
                    </w:rPr>
                  </w:pPr>
                </w:p>
              </w:tc>
              <w:tc>
                <w:tcPr>
                  <w:tcW w:w="4575" w:type="pct"/>
                  <w:tcBorders>
                    <w:tl2br w:val="nil"/>
                    <w:tr2bl w:val="nil"/>
                  </w:tcBorders>
                  <w:noWrap/>
                  <w:vAlign w:val="center"/>
                </w:tcPr>
                <w:p>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2、环保图形标志牌设置位置应距污染物排放口及固体废物贮存</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处置</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场或采样点较近且醒目处，设置高度一般为标志牌上缘距离地面约2m；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4" w:type="pct"/>
                  <w:vMerge w:val="continue"/>
                  <w:tcBorders>
                    <w:tl2br w:val="nil"/>
                    <w:tr2bl w:val="nil"/>
                  </w:tcBorders>
                  <w:noWrap/>
                  <w:vAlign w:val="center"/>
                </w:tcPr>
                <w:p>
                  <w:pPr>
                    <w:jc w:val="center"/>
                    <w:rPr>
                      <w:rFonts w:hint="default" w:ascii="Times New Roman" w:hAnsi="Times New Roman" w:eastAsia="宋体" w:cs="Times New Roman"/>
                      <w:color w:val="auto"/>
                      <w:sz w:val="21"/>
                      <w:szCs w:val="21"/>
                    </w:rPr>
                  </w:pPr>
                </w:p>
              </w:tc>
              <w:tc>
                <w:tcPr>
                  <w:tcW w:w="4575" w:type="pct"/>
                  <w:tcBorders>
                    <w:tl2br w:val="nil"/>
                    <w:tr2bl w:val="nil"/>
                  </w:tcBorders>
                  <w:noWrap/>
                  <w:vAlign w:val="center"/>
                </w:tcPr>
                <w:p>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、对一般性污染物排放口应设置提示性环保图形标志牌；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4" w:type="pct"/>
                  <w:vMerge w:val="restart"/>
                  <w:tcBorders>
                    <w:tl2br w:val="nil"/>
                    <w:tr2bl w:val="nil"/>
                  </w:tcBorders>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建档管理</w:t>
                  </w:r>
                </w:p>
              </w:tc>
              <w:tc>
                <w:tcPr>
                  <w:tcW w:w="4575" w:type="pct"/>
                  <w:tcBorders>
                    <w:tl2br w:val="nil"/>
                    <w:tr2bl w:val="nil"/>
                  </w:tcBorders>
                  <w:noWrap/>
                  <w:vAlign w:val="center"/>
                </w:tcPr>
                <w:p>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1、使用《中华人民共和国规范化排污口标志登记证》，并按要求填写有关内容；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4" w:type="pct"/>
                  <w:vMerge w:val="continue"/>
                  <w:tcBorders>
                    <w:tl2br w:val="nil"/>
                    <w:tr2bl w:val="nil"/>
                  </w:tcBorders>
                  <w:noWrap/>
                  <w:vAlign w:val="center"/>
                </w:tcPr>
                <w:p>
                  <w:pPr>
                    <w:jc w:val="center"/>
                    <w:rPr>
                      <w:rFonts w:hint="default" w:ascii="Times New Roman" w:hAnsi="Times New Roman" w:eastAsia="宋体" w:cs="Times New Roman"/>
                      <w:color w:val="auto"/>
                      <w:sz w:val="21"/>
                      <w:szCs w:val="21"/>
                    </w:rPr>
                  </w:pPr>
                </w:p>
              </w:tc>
              <w:tc>
                <w:tcPr>
                  <w:tcW w:w="4575" w:type="pct"/>
                  <w:tcBorders>
                    <w:tl2br w:val="nil"/>
                    <w:tr2bl w:val="nil"/>
                  </w:tcBorders>
                  <w:noWrap/>
                  <w:vAlign w:val="center"/>
                </w:tcPr>
                <w:p>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2、严格按照制定的环境管理工作计划，根据排污口管理要求，将工程建成</w:t>
                  </w:r>
                  <w:r>
                    <w:rPr>
                      <w:rFonts w:hint="default" w:ascii="Times New Roman" w:hAnsi="Times New Roman" w:eastAsia="宋体" w:cs="Times New Roman"/>
                      <w:color w:val="auto"/>
                      <w:sz w:val="21"/>
                      <w:szCs w:val="21"/>
                      <w:lang w:eastAsia="zh-CN"/>
                    </w:rPr>
                    <w:t>后</w:t>
                  </w:r>
                  <w:r>
                    <w:rPr>
                      <w:rFonts w:hint="default" w:ascii="Times New Roman" w:hAnsi="Times New Roman" w:eastAsia="宋体" w:cs="Times New Roman"/>
                      <w:color w:val="auto"/>
                      <w:sz w:val="21"/>
                      <w:szCs w:val="21"/>
                    </w:rPr>
                    <w:t>主要污染物种类、数量、浓度、排放去向，立标及环保设施运行情况记录在案；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4" w:type="pct"/>
                  <w:vMerge w:val="continue"/>
                  <w:tcBorders>
                    <w:tl2br w:val="nil"/>
                    <w:tr2bl w:val="nil"/>
                  </w:tcBorders>
                  <w:noWrap/>
                  <w:vAlign w:val="center"/>
                </w:tcPr>
                <w:p>
                  <w:pPr>
                    <w:jc w:val="center"/>
                    <w:rPr>
                      <w:rFonts w:hint="default" w:ascii="Times New Roman" w:hAnsi="Times New Roman" w:eastAsia="宋体" w:cs="Times New Roman"/>
                      <w:color w:val="auto"/>
                      <w:sz w:val="21"/>
                      <w:szCs w:val="21"/>
                    </w:rPr>
                  </w:pPr>
                </w:p>
              </w:tc>
              <w:tc>
                <w:tcPr>
                  <w:tcW w:w="4575" w:type="pct"/>
                  <w:tcBorders>
                    <w:tl2br w:val="nil"/>
                    <w:tr2bl w:val="nil"/>
                  </w:tcBorders>
                  <w:noWrap/>
                  <w:vAlign w:val="center"/>
                </w:tcPr>
                <w:p>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3、选派有专业技能环保专职人员对排污口进行监督管理，做到责任明确、奖罚分明</w:t>
                  </w:r>
                </w:p>
              </w:tc>
            </w:tr>
          </w:tbl>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（2）排污口规范化</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项目各排污口应进行规范性管理，其投资应纳入设备之中，其监测设施的运转率必须达到85%以上。建设单位在排放口处竖立或挂上排放口标志牌。</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建设单位应如实填写《中华人民共和国规范化排污口标志登记证》的有关内容，由环保主管部门签发登记证。建设单位应把有关排污情况如排污口的性质、编号、排污口的位置以及主要排放的污染物种类、数量、浓度、排放规律、排放走向及污染治理设施的运行情况等进行建档管理，并报送生态环境主管部门备案。</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根据国家标准《环境保护图形标志－排污口（源）》和原国家环保总局《排污口规范化整治要求（试行）》的技术要求，企业所有排放口，包括水、气、声、固体废物，必须按照“便于计量监测、便于日常现场监督检查”的原则和规范化要求，设置与之相适应的环境保护图形标志牌，绘制企业排污口分布图，同时对污水排放口安装流量计，对治理设施安装运行监控装置。</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1）废气</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废气排放设置便于采样、监测的采样口和检测平台，在进气口、排气口分别设置采样口，设置位置、尺寸等应符合《固定源废气监测技术规范》（HJ/T397-2007）要求，并便于采样监测。</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①采样孔位置应避开烟道弯头和断面急剧变化的部位，设置在距弯头、阀门、变径管下游方向不小于6倍烟道直径处，以及距上述部件上游方向不小于3倍烟道直径处，以及距上述部件上游方向不小于3倍烟道直径处。对矩形烟道，其当量直径D=2AB/（A+B），式中A、B为边长。</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②采样孔内径应不少于80mm，采样孔管长应不大于50mm。</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③采样平台面积应不小于1.5m</w:t>
            </w:r>
            <w:r>
              <w:rPr>
                <w:rFonts w:hint="eastAsia" w:ascii="Times New Roman" w:hAnsi="Times New Roman" w:eastAsia="宋体" w:cs="Times New Roman"/>
                <w:color w:val="auto"/>
                <w:sz w:val="24"/>
                <w:szCs w:val="24"/>
                <w:vertAlign w:val="superscript"/>
                <w:lang w:val="en-US" w:eastAsia="zh-CN" w:bidi="ar-SA"/>
              </w:rPr>
              <w:t>2</w:t>
            </w:r>
            <w:r>
              <w:rPr>
                <w:rFonts w:hint="eastAsia" w:ascii="Times New Roman" w:hAnsi="Times New Roman" w:eastAsia="宋体" w:cs="Times New Roman"/>
                <w:color w:val="auto"/>
                <w:sz w:val="24"/>
                <w:szCs w:val="24"/>
                <w:lang w:val="en-US" w:eastAsia="zh-CN" w:bidi="ar-SA"/>
              </w:rPr>
              <w:t>（建议2×1.5m</w:t>
            </w:r>
            <w:r>
              <w:rPr>
                <w:rFonts w:hint="eastAsia" w:ascii="Times New Roman" w:hAnsi="Times New Roman" w:eastAsia="宋体" w:cs="Times New Roman"/>
                <w:color w:val="auto"/>
                <w:sz w:val="24"/>
                <w:szCs w:val="24"/>
                <w:vertAlign w:val="superscript"/>
                <w:lang w:val="en-US" w:eastAsia="zh-CN" w:bidi="ar-SA"/>
              </w:rPr>
              <w:t>2</w:t>
            </w:r>
            <w:r>
              <w:rPr>
                <w:rFonts w:hint="eastAsia" w:ascii="Times New Roman" w:hAnsi="Times New Roman" w:eastAsia="宋体" w:cs="Times New Roman"/>
                <w:color w:val="auto"/>
                <w:sz w:val="24"/>
                <w:szCs w:val="24"/>
                <w:lang w:val="en-US" w:eastAsia="zh-CN" w:bidi="ar-SA"/>
              </w:rPr>
              <w:t>以上），并设有1.2m高的护栏和不低于10cm的脚部挡板，采样平台的承重应不小于200kg/m</w:t>
            </w:r>
            <w:r>
              <w:rPr>
                <w:rFonts w:hint="eastAsia" w:ascii="Times New Roman" w:hAnsi="Times New Roman" w:eastAsia="宋体" w:cs="Times New Roman"/>
                <w:color w:val="auto"/>
                <w:sz w:val="24"/>
                <w:szCs w:val="24"/>
                <w:vertAlign w:val="superscript"/>
                <w:lang w:val="en-US" w:eastAsia="zh-CN" w:bidi="ar-SA"/>
              </w:rPr>
              <w:t>2</w:t>
            </w:r>
            <w:r>
              <w:rPr>
                <w:rFonts w:hint="eastAsia" w:ascii="Times New Roman" w:hAnsi="Times New Roman" w:eastAsia="宋体" w:cs="Times New Roman"/>
                <w:color w:val="auto"/>
                <w:sz w:val="24"/>
                <w:szCs w:val="24"/>
                <w:lang w:val="en-US" w:eastAsia="zh-CN" w:bidi="ar-SA"/>
              </w:rPr>
              <w:t>，采样平台面距采样孔约为1.2-1.3m。</w:t>
            </w:r>
          </w:p>
          <w:p>
            <w:pPr>
              <w:spacing w:line="360" w:lineRule="auto"/>
              <w:ind w:firstLine="57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2）固体废物</w:t>
            </w:r>
          </w:p>
          <w:p>
            <w:pPr>
              <w:spacing w:line="360" w:lineRule="auto"/>
              <w:ind w:firstLine="57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一般固体废物应设置专用贮存、堆放场地。有毒有害固体废物等危险废物，应设置专用堆放场地，并必须有防扬散，防流失，防漏等防治措施。</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（3）排污口立标要求</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各排放口（源）及固体废物储存场所图形符号标志规定如下：</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①废气、废水排放口和噪声排放源图形符号分为提示图形符号和警告图形符号两种，图形符号的设置按GB15562.1-1995执行。</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②固体废物贮存、处置场图形符号分为提示图形符号和警告图形符号两种，图形符号的设置按GB15562.1-1995执行。</w:t>
            </w:r>
          </w:p>
          <w:p>
            <w:pPr>
              <w:spacing w:line="360" w:lineRule="auto"/>
              <w:ind w:firstLine="480" w:firstLineChars="20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污染物排放口（源）环境保护图形标志详见图4-1。</w:t>
            </w:r>
          </w:p>
          <w:p>
            <w:pPr>
              <w:spacing w:line="240" w:lineRule="auto"/>
              <w:ind w:firstLine="420" w:firstLineChars="200"/>
              <w:jc w:val="center"/>
              <w:rPr>
                <w:rFonts w:hint="default" w:ascii="Times New Roman" w:hAnsi="Times New Roman" w:eastAsia="仿宋" w:cs="Times New Roman"/>
                <w:color w:val="auto"/>
                <w:sz w:val="21"/>
                <w:szCs w:val="21"/>
                <w:lang w:bidi="ar-SA"/>
              </w:rPr>
            </w:pPr>
            <w:r>
              <w:rPr>
                <w:rFonts w:hint="default" w:ascii="Times New Roman" w:hAnsi="Times New Roman" w:eastAsia="仿宋" w:cs="Times New Roman"/>
                <w:color w:val="auto"/>
                <w:sz w:val="21"/>
                <w:szCs w:val="21"/>
                <w:lang w:bidi="ar-SA"/>
              </w:rPr>
              <w:drawing>
                <wp:inline distT="0" distB="0" distL="114300" distR="114300">
                  <wp:extent cx="2492375" cy="1784350"/>
                  <wp:effectExtent l="0" t="0" r="3175" b="6350"/>
                  <wp:docPr id="53" name="图片 79" descr="C:\Users\Administrator\Desktop\图片123.png图片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9" descr="C:\Users\Administrator\Desktop\图片123.png图片123"/>
                          <pic:cNvPicPr>
                            <a:picLocks noChangeAspect="1"/>
                          </pic:cNvPicPr>
                        </pic:nvPicPr>
                        <pic:blipFill>
                          <a:blip r:embed="rId15"/>
                          <a:stretch>
                            <a:fillRect/>
                          </a:stretch>
                        </pic:blipFill>
                        <pic:spPr>
                          <a:xfrm>
                            <a:off x="0" y="0"/>
                            <a:ext cx="2492375" cy="1784350"/>
                          </a:xfrm>
                          <a:prstGeom prst="rect">
                            <a:avLst/>
                          </a:prstGeom>
                          <a:noFill/>
                          <a:ln>
                            <a:noFill/>
                          </a:ln>
                        </pic:spPr>
                      </pic:pic>
                    </a:graphicData>
                  </a:graphic>
                </wp:inline>
              </w:drawing>
            </w:r>
          </w:p>
          <w:p>
            <w:pPr>
              <w:spacing w:line="240" w:lineRule="auto"/>
              <w:ind w:firstLine="422" w:firstLineChars="20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图4-1  排放口（源）环境保护图形标志</w:t>
            </w:r>
          </w:p>
          <w:p>
            <w:pPr>
              <w:spacing w:line="360" w:lineRule="auto"/>
              <w:ind w:firstLine="57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③危险废物暂存场所应按《危险废物识别标志设置技术规范》（HJ1276-2022）的规定设置立牌、标签等图形标志</w:t>
            </w:r>
          </w:p>
          <w:p>
            <w:pPr>
              <w:spacing w:line="240" w:lineRule="auto"/>
              <w:ind w:firstLine="422" w:firstLineChars="20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表4-23  危险废物暂存场所常用标志一览表（示例）</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4"/>
              <w:gridCol w:w="3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14" w:type="pct"/>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vertAlign w:val="baseline"/>
                      <w:lang w:val="en-US" w:eastAsia="zh-CN"/>
                    </w:rPr>
                  </w:pPr>
                  <w:r>
                    <w:rPr>
                      <w:color w:val="auto"/>
                    </w:rPr>
                    <w:drawing>
                      <wp:inline distT="0" distB="0" distL="114300" distR="114300">
                        <wp:extent cx="1322705" cy="1313815"/>
                        <wp:effectExtent l="0" t="0" r="10795" b="635"/>
                        <wp:docPr id="5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7"/>
                                <pic:cNvPicPr>
                                  <a:picLocks noChangeAspect="1"/>
                                </pic:cNvPicPr>
                              </pic:nvPicPr>
                              <pic:blipFill>
                                <a:blip r:embed="rId16"/>
                                <a:stretch>
                                  <a:fillRect/>
                                </a:stretch>
                              </pic:blipFill>
                              <pic:spPr>
                                <a:xfrm>
                                  <a:off x="0" y="0"/>
                                  <a:ext cx="1322705" cy="1313815"/>
                                </a:xfrm>
                                <a:prstGeom prst="rect">
                                  <a:avLst/>
                                </a:prstGeom>
                                <a:noFill/>
                                <a:ln>
                                  <a:noFill/>
                                </a:ln>
                              </pic:spPr>
                            </pic:pic>
                          </a:graphicData>
                        </a:graphic>
                      </wp:inline>
                    </w:drawing>
                  </w:r>
                </w:p>
              </w:tc>
              <w:tc>
                <w:tcPr>
                  <w:tcW w:w="2385" w:type="pct"/>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vertAlign w:val="baseline"/>
                      <w:lang w:val="en-US" w:eastAsia="zh-CN"/>
                    </w:rPr>
                  </w:pPr>
                  <w:r>
                    <w:rPr>
                      <w:color w:val="auto"/>
                    </w:rPr>
                    <w:drawing>
                      <wp:inline distT="0" distB="0" distL="114300" distR="114300">
                        <wp:extent cx="1339215" cy="1308735"/>
                        <wp:effectExtent l="0" t="0" r="13335" b="5715"/>
                        <wp:docPr id="55" name="图片 64" descr="C:/Users/Administrator/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4" descr="C:/Users/Administrator/Desktop/图片5.png图片5"/>
                                <pic:cNvPicPr>
                                  <a:picLocks noChangeAspect="1"/>
                                </pic:cNvPicPr>
                              </pic:nvPicPr>
                              <pic:blipFill>
                                <a:blip r:embed="rId17"/>
                                <a:srcRect l="31" r="31"/>
                                <a:stretch>
                                  <a:fillRect/>
                                </a:stretch>
                              </pic:blipFill>
                              <pic:spPr>
                                <a:xfrm>
                                  <a:off x="0" y="0"/>
                                  <a:ext cx="1339215" cy="1308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14" w:type="pct"/>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宋体" w:cs="Times New Roman"/>
                      <w:color w:val="auto"/>
                      <w:sz w:val="21"/>
                      <w:szCs w:val="21"/>
                      <w:vertAlign w:val="baseline"/>
                      <w:lang w:val="en-US" w:eastAsia="zh-CN"/>
                    </w:rPr>
                    <w:t>危险废物标签</w:t>
                  </w:r>
                </w:p>
              </w:tc>
              <w:tc>
                <w:tcPr>
                  <w:tcW w:w="2385" w:type="pct"/>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vertAlign w:val="baseline"/>
                      <w:lang w:val="en-US" w:eastAsia="zh-CN"/>
                    </w:rPr>
                  </w:pPr>
                  <w:r>
                    <w:rPr>
                      <w:rFonts w:hint="eastAsia" w:ascii="Times New Roman" w:hAnsi="Times New Roman" w:eastAsia="宋体" w:cs="Times New Roman"/>
                      <w:color w:val="auto"/>
                      <w:sz w:val="21"/>
                      <w:szCs w:val="21"/>
                      <w:vertAlign w:val="baseline"/>
                      <w:lang w:val="en-US" w:eastAsia="zh-CN"/>
                    </w:rPr>
                    <w:t>危险废物贮存分区标志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2"/>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color w:val="auto"/>
                      <w:vertAlign w:val="baseline"/>
                      <w:lang w:val="en-US" w:eastAsia="zh-CN"/>
                    </w:rPr>
                  </w:pPr>
                  <w:r>
                    <w:rPr>
                      <w:color w:val="auto"/>
                    </w:rPr>
                    <w:drawing>
                      <wp:inline distT="0" distB="0" distL="114300" distR="114300">
                        <wp:extent cx="2144395" cy="1356995"/>
                        <wp:effectExtent l="0" t="0" r="8255" b="14605"/>
                        <wp:docPr id="5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5"/>
                                <pic:cNvPicPr>
                                  <a:picLocks noChangeAspect="1"/>
                                </pic:cNvPicPr>
                              </pic:nvPicPr>
                              <pic:blipFill>
                                <a:blip r:embed="rId18"/>
                                <a:stretch>
                                  <a:fillRect/>
                                </a:stretch>
                              </pic:blipFill>
                              <pic:spPr>
                                <a:xfrm>
                                  <a:off x="0" y="0"/>
                                  <a:ext cx="2144395" cy="13569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2"/>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color w:val="auto"/>
                      <w:vertAlign w:val="baseline"/>
                      <w:lang w:val="en-US" w:eastAsia="zh-CN"/>
                    </w:rPr>
                  </w:pPr>
                  <w:r>
                    <w:rPr>
                      <w:rFonts w:hint="eastAsia" w:ascii="Times New Roman" w:hAnsi="Times New Roman" w:eastAsia="宋体" w:cs="Times New Roman"/>
                      <w:color w:val="auto"/>
                      <w:sz w:val="21"/>
                      <w:szCs w:val="21"/>
                      <w:vertAlign w:val="baseline"/>
                      <w:lang w:val="en-US" w:eastAsia="zh-CN"/>
                    </w:rPr>
                    <w:t>危险废物贮存设施标志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2"/>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color w:val="auto"/>
                      <w:vertAlign w:val="baseline"/>
                      <w:lang w:val="en-US" w:eastAsia="zh-CN"/>
                    </w:rPr>
                  </w:pPr>
                  <w:r>
                    <w:rPr>
                      <w:color w:val="auto"/>
                    </w:rPr>
                    <w:drawing>
                      <wp:inline distT="0" distB="0" distL="114300" distR="114300">
                        <wp:extent cx="1583055" cy="1449070"/>
                        <wp:effectExtent l="0" t="0" r="17145" b="17780"/>
                        <wp:docPr id="5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6"/>
                                <pic:cNvPicPr>
                                  <a:picLocks noChangeAspect="1"/>
                                </pic:cNvPicPr>
                              </pic:nvPicPr>
                              <pic:blipFill>
                                <a:blip r:embed="rId19"/>
                                <a:stretch>
                                  <a:fillRect/>
                                </a:stretch>
                              </pic:blipFill>
                              <pic:spPr>
                                <a:xfrm>
                                  <a:off x="0" y="0"/>
                                  <a:ext cx="1583055" cy="1449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2"/>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仿宋_GB2312"/>
                      <w:color w:val="auto"/>
                      <w:lang w:val="en-US" w:eastAsia="zh-CN"/>
                    </w:rPr>
                  </w:pPr>
                  <w:r>
                    <w:rPr>
                      <w:rFonts w:hint="eastAsia" w:ascii="Times New Roman" w:hAnsi="Times New Roman" w:eastAsia="宋体" w:cs="Times New Roman"/>
                      <w:color w:val="auto"/>
                      <w:sz w:val="21"/>
                      <w:szCs w:val="21"/>
                      <w:vertAlign w:val="baseline"/>
                      <w:lang w:val="en-US" w:eastAsia="zh-CN"/>
                    </w:rPr>
                    <w:t>危险特性-毒性标志</w:t>
                  </w:r>
                </w:p>
              </w:tc>
            </w:tr>
          </w:tbl>
          <w:p>
            <w:pPr>
              <w:spacing w:line="360" w:lineRule="auto"/>
              <w:ind w:firstLine="57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（4）企业环境信息公开</w:t>
            </w:r>
          </w:p>
          <w:p>
            <w:pPr>
              <w:spacing w:line="360" w:lineRule="auto"/>
              <w:ind w:firstLine="57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本企业按照《企业事业单位环境信息公开办法》等规定，并结合区域的相关要求，可通过政府网站、报刊、广播、电视等便于公众知晓的方式公布。公司应公开以下内容：</w:t>
            </w:r>
          </w:p>
          <w:p>
            <w:pPr>
              <w:spacing w:line="360" w:lineRule="auto"/>
              <w:ind w:firstLine="57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1）基础信息，包括单位名称、组织机构代码、法定代表人、生产地址、联系方式，以及生产经营和管理服务的主要内容、产品及规模；</w:t>
            </w:r>
          </w:p>
          <w:p>
            <w:pPr>
              <w:spacing w:line="360" w:lineRule="auto"/>
              <w:ind w:firstLine="57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2）排污信息，包括主要污染物及特征污染物的名称、排放方式、排放口数量和分布情况、排放浓度和总量、超标情况，以及执行的污染物排放标准、核定的排放总量；</w:t>
            </w:r>
          </w:p>
          <w:p>
            <w:pPr>
              <w:spacing w:line="360" w:lineRule="auto"/>
              <w:ind w:firstLine="57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3）防治污染设施的建设和运行情况；</w:t>
            </w:r>
          </w:p>
          <w:p>
            <w:pPr>
              <w:spacing w:line="360" w:lineRule="auto"/>
              <w:ind w:firstLine="57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4）建设项目环境影响评价及其他环境保护行政许可情况；</w:t>
            </w:r>
          </w:p>
          <w:p>
            <w:pPr>
              <w:spacing w:line="360" w:lineRule="auto"/>
              <w:ind w:firstLine="570"/>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5）突发环境事件应急预案；</w:t>
            </w:r>
          </w:p>
          <w:p>
            <w:pPr>
              <w:spacing w:line="360" w:lineRule="auto"/>
              <w:ind w:firstLine="570"/>
              <w:rPr>
                <w:rFonts w:hint="eastAsia" w:cs="Times New Roman"/>
                <w:b/>
                <w:bCs/>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6）其他应当公开的环境信息</w:t>
            </w:r>
            <w:r>
              <w:rPr>
                <w:rFonts w:hint="default" w:ascii="Times New Roman" w:hAnsi="Times New Roman" w:eastAsia="宋体" w:cs="Times New Roman"/>
                <w:color w:val="auto"/>
                <w:sz w:val="24"/>
                <w:szCs w:val="24"/>
                <w:lang w:val="en-US" w:eastAsia="zh-CN" w:bidi="ar-SA"/>
              </w:rPr>
              <w:t>。</w:t>
            </w:r>
          </w:p>
          <w:p>
            <w:pPr>
              <w:spacing w:line="360" w:lineRule="auto"/>
              <w:rPr>
                <w:rFonts w:hint="default" w:ascii="Times New Roman" w:hAnsi="Times New Roman" w:eastAsia="宋体" w:cs="Times New Roman"/>
                <w:b/>
                <w:bCs/>
                <w:color w:val="auto"/>
                <w:sz w:val="24"/>
                <w:szCs w:val="24"/>
                <w:lang w:val="en-US" w:eastAsia="zh-CN" w:bidi="ar-SA"/>
              </w:rPr>
            </w:pPr>
            <w:r>
              <w:rPr>
                <w:rFonts w:hint="eastAsia" w:cs="Times New Roman"/>
                <w:b/>
                <w:bCs/>
                <w:color w:val="auto"/>
                <w:sz w:val="24"/>
                <w:szCs w:val="24"/>
                <w:lang w:val="en-US" w:eastAsia="zh-CN" w:bidi="ar-SA"/>
              </w:rPr>
              <w:t>9</w:t>
            </w:r>
            <w:r>
              <w:rPr>
                <w:rFonts w:hint="default" w:ascii="Times New Roman" w:hAnsi="Times New Roman" w:eastAsia="宋体" w:cs="Times New Roman"/>
                <w:b/>
                <w:bCs/>
                <w:color w:val="auto"/>
                <w:sz w:val="24"/>
                <w:szCs w:val="24"/>
                <w:lang w:val="en-US" w:eastAsia="zh-CN" w:bidi="ar-SA"/>
              </w:rPr>
              <w:t>环保投资</w:t>
            </w:r>
          </w:p>
          <w:p>
            <w:pPr>
              <w:spacing w:line="360" w:lineRule="auto"/>
              <w:ind w:firstLine="57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项目总投资</w:t>
            </w:r>
            <w:r>
              <w:rPr>
                <w:rFonts w:hint="eastAsia" w:cs="Times New Roman"/>
                <w:color w:val="auto"/>
                <w:sz w:val="24"/>
                <w:szCs w:val="24"/>
                <w:lang w:val="en-US" w:eastAsia="zh-CN" w:bidi="ar-SA"/>
              </w:rPr>
              <w:t>3000</w:t>
            </w:r>
            <w:r>
              <w:rPr>
                <w:rFonts w:hint="default" w:ascii="Times New Roman" w:hAnsi="Times New Roman" w:eastAsia="宋体" w:cs="Times New Roman"/>
                <w:color w:val="auto"/>
                <w:sz w:val="24"/>
                <w:szCs w:val="24"/>
                <w:lang w:val="en-US" w:eastAsia="zh-CN" w:bidi="ar-SA"/>
              </w:rPr>
              <w:t>万元，其中环保投资</w:t>
            </w:r>
            <w:r>
              <w:rPr>
                <w:rFonts w:hint="eastAsia" w:cs="Times New Roman"/>
                <w:color w:val="auto"/>
                <w:sz w:val="24"/>
                <w:szCs w:val="24"/>
                <w:lang w:val="en-US" w:eastAsia="zh-CN" w:bidi="ar-SA"/>
              </w:rPr>
              <w:t>58</w:t>
            </w:r>
            <w:r>
              <w:rPr>
                <w:rFonts w:hint="default" w:ascii="Times New Roman" w:hAnsi="Times New Roman" w:eastAsia="宋体" w:cs="Times New Roman"/>
                <w:color w:val="auto"/>
                <w:sz w:val="24"/>
                <w:szCs w:val="24"/>
                <w:lang w:val="en-US" w:eastAsia="zh-CN" w:bidi="ar-SA"/>
              </w:rPr>
              <w:t>万元，占总投资的</w:t>
            </w:r>
            <w:r>
              <w:rPr>
                <w:rFonts w:hint="eastAsia" w:cs="Times New Roman"/>
                <w:color w:val="auto"/>
                <w:sz w:val="24"/>
                <w:szCs w:val="24"/>
                <w:lang w:val="en-US" w:eastAsia="zh-CN" w:bidi="ar-SA"/>
              </w:rPr>
              <w:t>1.93</w:t>
            </w:r>
            <w:r>
              <w:rPr>
                <w:rFonts w:hint="default" w:ascii="Times New Roman" w:hAnsi="Times New Roman" w:eastAsia="宋体" w:cs="Times New Roman"/>
                <w:color w:val="auto"/>
                <w:sz w:val="24"/>
                <w:szCs w:val="24"/>
                <w:lang w:val="en-US" w:eastAsia="zh-CN" w:bidi="ar-SA"/>
              </w:rPr>
              <w:t>%，本项目环保投资概算见表4-</w:t>
            </w:r>
            <w:r>
              <w:rPr>
                <w:rFonts w:hint="eastAsia" w:cs="Times New Roman"/>
                <w:color w:val="auto"/>
                <w:sz w:val="24"/>
                <w:szCs w:val="24"/>
                <w:lang w:val="en-US" w:eastAsia="zh-CN" w:bidi="ar-SA"/>
              </w:rPr>
              <w:t>24</w:t>
            </w:r>
            <w:r>
              <w:rPr>
                <w:rFonts w:hint="default" w:ascii="Times New Roman" w:hAnsi="Times New Roman" w:eastAsia="宋体" w:cs="Times New Roman"/>
                <w:color w:val="auto"/>
                <w:sz w:val="24"/>
                <w:szCs w:val="24"/>
                <w:lang w:val="en-US" w:eastAsia="zh-CN" w:bidi="ar-SA"/>
              </w:rPr>
              <w:t>。</w:t>
            </w:r>
          </w:p>
          <w:p>
            <w:pPr>
              <w:spacing w:line="240" w:lineRule="auto"/>
              <w:ind w:firstLine="57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表4-</w:t>
            </w:r>
            <w:r>
              <w:rPr>
                <w:rFonts w:hint="eastAsia" w:cs="Times New Roman"/>
                <w:b/>
                <w:bCs/>
                <w:color w:val="auto"/>
                <w:sz w:val="21"/>
                <w:szCs w:val="21"/>
                <w:lang w:val="en-US" w:eastAsia="zh-CN" w:bidi="ar-SA"/>
              </w:rPr>
              <w:t>24</w:t>
            </w:r>
            <w:r>
              <w:rPr>
                <w:rFonts w:hint="default" w:ascii="Times New Roman" w:hAnsi="Times New Roman" w:eastAsia="宋体" w:cs="Times New Roman"/>
                <w:b/>
                <w:bCs/>
                <w:color w:val="auto"/>
                <w:sz w:val="21"/>
                <w:szCs w:val="21"/>
                <w:lang w:val="en-US" w:eastAsia="zh-CN" w:bidi="ar-SA"/>
              </w:rPr>
              <w:t xml:space="preserve">  环保投资情况一览表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950"/>
              <w:gridCol w:w="961"/>
              <w:gridCol w:w="3838"/>
              <w:gridCol w:w="759"/>
              <w:gridCol w:w="9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项目</w:t>
                  </w:r>
                </w:p>
              </w:tc>
              <w:tc>
                <w:tcPr>
                  <w:tcW w:w="1161" w:type="pct"/>
                  <w:gridSpan w:val="2"/>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b/>
                      <w:bCs/>
                      <w:color w:val="auto"/>
                      <w:sz w:val="21"/>
                      <w:szCs w:val="21"/>
                      <w:lang w:val="en-US" w:eastAsia="zh-CN" w:bidi="ar-SA"/>
                    </w:rPr>
                    <w:t>治理内容</w:t>
                  </w:r>
                </w:p>
              </w:tc>
              <w:tc>
                <w:tcPr>
                  <w:tcW w:w="2333"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环保措施</w:t>
                  </w:r>
                </w:p>
              </w:tc>
              <w:tc>
                <w:tcPr>
                  <w:tcW w:w="461"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数量</w:t>
                  </w:r>
                </w:p>
              </w:tc>
              <w:tc>
                <w:tcPr>
                  <w:tcW w:w="598" w:type="pct"/>
                  <w:tcBorders>
                    <w:bottom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投资</w:t>
                  </w:r>
                </w:p>
                <w:p>
                  <w:pPr>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restart"/>
                  <w:noWrap w:val="0"/>
                  <w:vAlign w:val="center"/>
                </w:tcPr>
                <w:p>
                  <w:pPr>
                    <w:rPr>
                      <w:rFonts w:hint="eastAsia" w:eastAsia="宋体"/>
                      <w:color w:val="auto"/>
                      <w:lang w:eastAsia="zh-CN"/>
                    </w:rPr>
                  </w:pPr>
                  <w:r>
                    <w:rPr>
                      <w:rFonts w:hint="eastAsia"/>
                      <w:color w:val="auto"/>
                      <w:lang w:val="en-US" w:eastAsia="zh-CN"/>
                    </w:rPr>
                    <w:t>废气治理</w:t>
                  </w:r>
                </w:p>
              </w:tc>
              <w:tc>
                <w:tcPr>
                  <w:tcW w:w="57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石</w:t>
                  </w:r>
                  <w:r>
                    <w:rPr>
                      <w:rFonts w:hint="default" w:ascii="Times New Roman" w:hAnsi="Times New Roman" w:eastAsia="宋体" w:cs="Times New Roman"/>
                      <w:color w:val="auto"/>
                      <w:sz w:val="21"/>
                      <w:szCs w:val="21"/>
                      <w:lang w:val="en-US" w:eastAsia="zh-CN" w:bidi="ar-SA"/>
                    </w:rPr>
                    <w:t>英砂</w:t>
                  </w:r>
                  <w:r>
                    <w:rPr>
                      <w:rFonts w:hint="eastAsia" w:ascii="Times New Roman" w:hAnsi="Times New Roman" w:eastAsia="宋体" w:cs="Times New Roman"/>
                      <w:color w:val="auto"/>
                      <w:sz w:val="21"/>
                      <w:szCs w:val="21"/>
                      <w:lang w:val="en-US" w:eastAsia="zh-CN" w:bidi="ar-SA"/>
                    </w:rPr>
                    <w:t>上料</w:t>
                  </w:r>
                  <w:r>
                    <w:rPr>
                      <w:rFonts w:hint="default" w:ascii="Times New Roman" w:hAnsi="Times New Roman" w:eastAsia="宋体" w:cs="Times New Roman"/>
                      <w:color w:val="auto"/>
                      <w:sz w:val="21"/>
                      <w:szCs w:val="21"/>
                      <w:lang w:val="en-US" w:eastAsia="zh-CN" w:bidi="ar-SA"/>
                    </w:rPr>
                    <w:t>、修整工序</w:t>
                  </w:r>
                </w:p>
              </w:tc>
              <w:tc>
                <w:tcPr>
                  <w:tcW w:w="58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颗粒物</w:t>
                  </w:r>
                </w:p>
              </w:tc>
              <w:tc>
                <w:tcPr>
                  <w:tcW w:w="2333"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经2个半封闭式集气罩+1套袋式除尘器+15m高排气筒（DA001）</w:t>
                  </w:r>
                  <w:r>
                    <w:rPr>
                      <w:rFonts w:hint="default" w:ascii="Times New Roman" w:hAnsi="Times New Roman" w:eastAsia="宋体" w:cs="Times New Roman"/>
                      <w:color w:val="auto"/>
                      <w:sz w:val="21"/>
                      <w:szCs w:val="21"/>
                      <w:lang w:val="en-US" w:eastAsia="zh-CN" w:bidi="ar-SA"/>
                    </w:rPr>
                    <w:t>排放</w:t>
                  </w:r>
                </w:p>
              </w:tc>
              <w:tc>
                <w:tcPr>
                  <w:tcW w:w="46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1套</w:t>
                  </w:r>
                </w:p>
              </w:tc>
              <w:tc>
                <w:tcPr>
                  <w:tcW w:w="5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continue"/>
                  <w:noWrap w:val="0"/>
                  <w:vAlign w:val="center"/>
                </w:tcPr>
                <w:p>
                  <w:pPr>
                    <w:rPr>
                      <w:color w:val="auto"/>
                    </w:rPr>
                  </w:pPr>
                </w:p>
              </w:tc>
              <w:tc>
                <w:tcPr>
                  <w:tcW w:w="577"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浸胶、缠绕、自然固化工序</w:t>
                  </w:r>
                </w:p>
              </w:tc>
              <w:tc>
                <w:tcPr>
                  <w:tcW w:w="584"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vertAlign w:val="baseline"/>
                      <w:lang w:val="en-US" w:eastAsia="zh-CN" w:bidi="ar-SA"/>
                    </w:rPr>
                    <w:t>有机废气、臭气浓度</w:t>
                  </w:r>
                </w:p>
              </w:tc>
              <w:tc>
                <w:tcPr>
                  <w:tcW w:w="2333"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经8个半封闭式集气罩+1套活性炭吸附脱附+催化燃烧装置+15m高排气筒（DA002）排放</w:t>
                  </w:r>
                </w:p>
              </w:tc>
              <w:tc>
                <w:tcPr>
                  <w:tcW w:w="46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1套</w:t>
                  </w:r>
                </w:p>
              </w:tc>
              <w:tc>
                <w:tcPr>
                  <w:tcW w:w="5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43"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废水治理</w:t>
                  </w:r>
                </w:p>
              </w:tc>
              <w:tc>
                <w:tcPr>
                  <w:tcW w:w="1161" w:type="pct"/>
                  <w:gridSpan w:val="2"/>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生活废水</w:t>
                  </w:r>
                </w:p>
              </w:tc>
              <w:tc>
                <w:tcPr>
                  <w:tcW w:w="2333"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经排水管网排入</w:t>
                  </w:r>
                  <w:r>
                    <w:rPr>
                      <w:rFonts w:hint="eastAsia" w:ascii="Times New Roman" w:hAnsi="Times New Roman" w:eastAsia="宋体" w:cs="Times New Roman"/>
                      <w:color w:val="auto"/>
                      <w:sz w:val="21"/>
                      <w:szCs w:val="21"/>
                      <w:lang w:val="en-US" w:eastAsia="zh-CN" w:bidi="ar-SA"/>
                    </w:rPr>
                    <w:t>胡杨河经济技术开发区南园区</w:t>
                  </w:r>
                  <w:r>
                    <w:rPr>
                      <w:rFonts w:hint="default" w:ascii="Times New Roman" w:hAnsi="Times New Roman" w:eastAsia="宋体" w:cs="Times New Roman"/>
                      <w:color w:val="auto"/>
                      <w:sz w:val="21"/>
                      <w:szCs w:val="21"/>
                      <w:lang w:val="en-US" w:eastAsia="zh-CN" w:bidi="ar-SA"/>
                    </w:rPr>
                    <w:t>污水处理厂处理</w:t>
                  </w:r>
                </w:p>
              </w:tc>
              <w:tc>
                <w:tcPr>
                  <w:tcW w:w="46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598" w:type="pct"/>
                  <w:noWrap w:val="0"/>
                  <w:vAlign w:val="center"/>
                </w:tcPr>
                <w:p>
                  <w:pPr>
                    <w:spacing w:line="240" w:lineRule="auto"/>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噪声治理</w:t>
                  </w:r>
                </w:p>
              </w:tc>
              <w:tc>
                <w:tcPr>
                  <w:tcW w:w="1161" w:type="pct"/>
                  <w:gridSpan w:val="2"/>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设备噪声</w:t>
                  </w:r>
                </w:p>
              </w:tc>
              <w:tc>
                <w:tcPr>
                  <w:tcW w:w="2333"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选购低噪声环保设备；采用橡胶伸缩接头；加强日常维护；厂房隔噪</w:t>
                  </w:r>
                </w:p>
              </w:tc>
              <w:tc>
                <w:tcPr>
                  <w:tcW w:w="46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5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固废治理</w:t>
                  </w:r>
                </w:p>
              </w:tc>
              <w:tc>
                <w:tcPr>
                  <w:tcW w:w="1161" w:type="pct"/>
                  <w:gridSpan w:val="2"/>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生活垃圾</w:t>
                  </w:r>
                </w:p>
              </w:tc>
              <w:tc>
                <w:tcPr>
                  <w:tcW w:w="2333"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分类收集、避雨存放，委托环卫部门定期清运处理</w:t>
                  </w:r>
                </w:p>
              </w:tc>
              <w:tc>
                <w:tcPr>
                  <w:tcW w:w="46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5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continue"/>
                  <w:noWrap w:val="0"/>
                  <w:vAlign w:val="center"/>
                </w:tcPr>
                <w:p>
                  <w:pPr>
                    <w:rPr>
                      <w:color w:val="auto"/>
                    </w:rPr>
                  </w:pPr>
                </w:p>
              </w:tc>
              <w:tc>
                <w:tcPr>
                  <w:tcW w:w="1161" w:type="pct"/>
                  <w:gridSpan w:val="2"/>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一般</w:t>
                  </w:r>
                  <w:r>
                    <w:rPr>
                      <w:rFonts w:hint="eastAsia" w:ascii="Times New Roman" w:hAnsi="Times New Roman" w:eastAsia="宋体" w:cs="Times New Roman"/>
                      <w:color w:val="auto"/>
                      <w:sz w:val="21"/>
                      <w:szCs w:val="21"/>
                      <w:lang w:val="en-US" w:eastAsia="zh-CN" w:bidi="ar-SA"/>
                    </w:rPr>
                    <w:t>固废</w:t>
                  </w:r>
                </w:p>
              </w:tc>
              <w:tc>
                <w:tcPr>
                  <w:tcW w:w="2333"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建设一般</w:t>
                  </w:r>
                  <w:r>
                    <w:rPr>
                      <w:rFonts w:hint="default" w:ascii="Times New Roman" w:hAnsi="Times New Roman" w:eastAsia="宋体" w:cs="Times New Roman"/>
                      <w:color w:val="auto"/>
                      <w:sz w:val="21"/>
                      <w:szCs w:val="21"/>
                      <w:lang w:val="en-US" w:eastAsia="zh-CN" w:bidi="ar-SA"/>
                    </w:rPr>
                    <w:t>固废</w:t>
                  </w:r>
                  <w:r>
                    <w:rPr>
                      <w:rFonts w:hint="eastAsia" w:cs="Times New Roman"/>
                      <w:color w:val="auto"/>
                      <w:sz w:val="21"/>
                      <w:szCs w:val="21"/>
                      <w:lang w:val="en-US" w:eastAsia="zh-CN" w:bidi="ar-SA"/>
                    </w:rPr>
                    <w:t>暂存间</w:t>
                  </w:r>
                </w:p>
              </w:tc>
              <w:tc>
                <w:tcPr>
                  <w:tcW w:w="46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5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continue"/>
                  <w:noWrap w:val="0"/>
                  <w:vAlign w:val="center"/>
                </w:tcPr>
                <w:p>
                  <w:pPr>
                    <w:rPr>
                      <w:color w:val="auto"/>
                    </w:rPr>
                  </w:pPr>
                </w:p>
              </w:tc>
              <w:tc>
                <w:tcPr>
                  <w:tcW w:w="1161" w:type="pct"/>
                  <w:gridSpan w:val="2"/>
                  <w:noWrap w:val="0"/>
                  <w:vAlign w:val="center"/>
                </w:tcPr>
                <w:p>
                  <w:pPr>
                    <w:spacing w:line="240" w:lineRule="auto"/>
                    <w:jc w:val="center"/>
                    <w:rPr>
                      <w:rFonts w:hint="eastAsia" w:cs="Times New Roman"/>
                      <w:color w:val="auto"/>
                      <w:sz w:val="21"/>
                      <w:szCs w:val="21"/>
                      <w:lang w:val="en-US" w:eastAsia="zh-CN" w:bidi="ar-SA"/>
                    </w:rPr>
                  </w:pPr>
                  <w:r>
                    <w:rPr>
                      <w:rFonts w:hint="eastAsia" w:cs="Times New Roman"/>
                      <w:color w:val="auto"/>
                      <w:sz w:val="21"/>
                      <w:szCs w:val="21"/>
                      <w:lang w:val="en-US" w:eastAsia="zh-CN" w:bidi="ar-SA"/>
                    </w:rPr>
                    <w:t>危险废物</w:t>
                  </w:r>
                </w:p>
              </w:tc>
              <w:tc>
                <w:tcPr>
                  <w:tcW w:w="2333" w:type="pct"/>
                  <w:noWrap w:val="0"/>
                  <w:vAlign w:val="center"/>
                </w:tcPr>
                <w:p>
                  <w:pPr>
                    <w:spacing w:line="240" w:lineRule="auto"/>
                    <w:jc w:val="center"/>
                    <w:rPr>
                      <w:rFonts w:hint="eastAsia"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建设危险废物暂存间</w:t>
                  </w:r>
                </w:p>
              </w:tc>
              <w:tc>
                <w:tcPr>
                  <w:tcW w:w="461"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p>
              </w:tc>
              <w:tc>
                <w:tcPr>
                  <w:tcW w:w="598" w:type="pct"/>
                  <w:noWrap w:val="0"/>
                  <w:vAlign w:val="center"/>
                </w:tcPr>
                <w:p>
                  <w:pPr>
                    <w:spacing w:line="240" w:lineRule="auto"/>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其他</w:t>
                  </w:r>
                </w:p>
              </w:tc>
              <w:tc>
                <w:tcPr>
                  <w:tcW w:w="3495" w:type="pct"/>
                  <w:gridSpan w:val="3"/>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排污口规范化整治</w:t>
                  </w:r>
                </w:p>
              </w:tc>
              <w:tc>
                <w:tcPr>
                  <w:tcW w:w="46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5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9" w:type="pct"/>
                  <w:gridSpan w:val="4"/>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总计</w:t>
                  </w:r>
                </w:p>
              </w:tc>
              <w:tc>
                <w:tcPr>
                  <w:tcW w:w="46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5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58</w:t>
                  </w:r>
                </w:p>
              </w:tc>
            </w:tr>
          </w:tbl>
          <w:p>
            <w:pPr>
              <w:pStyle w:val="8"/>
              <w:ind w:right="113" w:rightChars="0"/>
              <w:rPr>
                <w:rFonts w:hint="eastAsia" w:ascii="Times New Roman" w:hAnsi="Times New Roman" w:eastAsia="宋体" w:cs="Times New Roman"/>
                <w:color w:val="auto"/>
                <w:kern w:val="0"/>
                <w:sz w:val="18"/>
                <w:szCs w:val="20"/>
                <w:lang w:val="en-US" w:eastAsia="zh-CN" w:bidi="ar-SA"/>
              </w:rPr>
            </w:pPr>
          </w:p>
        </w:tc>
      </w:tr>
    </w:tbl>
    <w:p>
      <w:pPr>
        <w:adjustRightInd w:val="0"/>
        <w:snapToGrid w:val="0"/>
        <w:spacing w:line="360" w:lineRule="auto"/>
        <w:rPr>
          <w:rFonts w:hint="eastAsia" w:ascii="宋体" w:cs="宋体"/>
          <w:b/>
          <w:color w:val="auto"/>
          <w:kern w:val="0"/>
          <w:sz w:val="28"/>
          <w:szCs w:val="28"/>
          <w:lang w:bidi="ar-SA"/>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spacing w:line="360" w:lineRule="auto"/>
        <w:jc w:val="center"/>
        <w:outlineLvl w:val="0"/>
        <w:rPr>
          <w:rFonts w:hint="eastAsia" w:ascii="黑体" w:eastAsia="黑体" w:cs="黑体"/>
          <w:color w:val="auto"/>
          <w:sz w:val="30"/>
          <w:szCs w:val="30"/>
          <w:lang w:bidi="ar-SA"/>
        </w:rPr>
      </w:pPr>
      <w:r>
        <w:rPr>
          <w:rFonts w:hint="eastAsia" w:ascii="黑体" w:eastAsia="黑体" w:cs="黑体"/>
          <w:color w:val="auto"/>
          <w:sz w:val="30"/>
          <w:szCs w:val="30"/>
          <w:lang w:bidi="ar-SA"/>
        </w:rPr>
        <w:t>五、</w:t>
      </w:r>
      <w:bookmarkStart w:id="10" w:name="_Hlk54167917"/>
      <w:r>
        <w:rPr>
          <w:rFonts w:hint="eastAsia" w:ascii="黑体" w:eastAsia="黑体" w:cs="黑体"/>
          <w:color w:val="auto"/>
          <w:sz w:val="30"/>
          <w:szCs w:val="30"/>
          <w:lang w:bidi="ar-SA"/>
        </w:rPr>
        <w:t>环境保护措施监督检查清单</w:t>
      </w:r>
      <w:bookmarkEnd w:id="10"/>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483"/>
        <w:gridCol w:w="938"/>
        <w:gridCol w:w="2637"/>
        <w:gridCol w:w="29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8" w:type="dxa"/>
            <w:tcBorders>
              <w:tl2br w:val="single" w:color="auto" w:sz="4" w:space="0"/>
            </w:tcBorders>
            <w:noWrap w:val="0"/>
            <w:vAlign w:val="top"/>
          </w:tcPr>
          <w:p>
            <w:pPr>
              <w:adjustRightInd w:val="0"/>
              <w:snapToGrid w:val="0"/>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内容</w:t>
            </w:r>
          </w:p>
          <w:p>
            <w:pPr>
              <w:adjustRightInd w:val="0"/>
              <w:snapToGrid w:val="0"/>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要素</w:t>
            </w:r>
          </w:p>
        </w:tc>
        <w:tc>
          <w:tcPr>
            <w:tcW w:w="1483" w:type="dxa"/>
            <w:noWrap w:val="0"/>
            <w:vAlign w:val="center"/>
          </w:tcPr>
          <w:p>
            <w:pPr>
              <w:adjustRightInd w:val="0"/>
              <w:snapToGrid w:val="0"/>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排放口</w:t>
            </w:r>
            <w:r>
              <w:rPr>
                <w:rFonts w:hint="eastAsia" w:cs="Times New Roman"/>
                <w:color w:val="auto"/>
                <w:szCs w:val="21"/>
                <w:lang w:eastAsia="zh-CN" w:bidi="ar-SA"/>
              </w:rPr>
              <w:t>（</w:t>
            </w:r>
            <w:r>
              <w:rPr>
                <w:rFonts w:hint="default" w:ascii="Times New Roman" w:hAnsi="Times New Roman" w:cs="Times New Roman"/>
                <w:color w:val="auto"/>
                <w:szCs w:val="21"/>
                <w:lang w:bidi="ar-SA"/>
              </w:rPr>
              <w:t>编号、名称</w:t>
            </w:r>
            <w:r>
              <w:rPr>
                <w:rFonts w:hint="eastAsia" w:cs="Times New Roman"/>
                <w:color w:val="auto"/>
                <w:szCs w:val="21"/>
                <w:lang w:eastAsia="zh-CN" w:bidi="ar-SA"/>
              </w:rPr>
              <w:t>）</w:t>
            </w:r>
            <w:r>
              <w:rPr>
                <w:rFonts w:hint="default" w:ascii="Times New Roman" w:hAnsi="Times New Roman" w:cs="Times New Roman"/>
                <w:color w:val="auto"/>
                <w:szCs w:val="21"/>
                <w:lang w:bidi="ar-SA"/>
              </w:rPr>
              <w:t>/污染源</w:t>
            </w:r>
          </w:p>
        </w:tc>
        <w:tc>
          <w:tcPr>
            <w:tcW w:w="938" w:type="dxa"/>
            <w:noWrap w:val="0"/>
            <w:vAlign w:val="center"/>
          </w:tcPr>
          <w:p>
            <w:pPr>
              <w:adjustRightInd w:val="0"/>
              <w:snapToGrid w:val="0"/>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污染物项目</w:t>
            </w:r>
          </w:p>
        </w:tc>
        <w:tc>
          <w:tcPr>
            <w:tcW w:w="2637" w:type="dxa"/>
            <w:noWrap w:val="0"/>
            <w:vAlign w:val="center"/>
          </w:tcPr>
          <w:p>
            <w:pPr>
              <w:adjustRightInd w:val="0"/>
              <w:snapToGrid w:val="0"/>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环境保护措施</w:t>
            </w:r>
          </w:p>
        </w:tc>
        <w:tc>
          <w:tcPr>
            <w:tcW w:w="2974" w:type="dxa"/>
            <w:noWrap w:val="0"/>
            <w:vAlign w:val="center"/>
          </w:tcPr>
          <w:p>
            <w:pPr>
              <w:adjustRightInd w:val="0"/>
              <w:snapToGrid w:val="0"/>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68" w:type="dxa"/>
            <w:vMerge w:val="restart"/>
            <w:noWrap w:val="0"/>
            <w:vAlign w:val="center"/>
          </w:tcPr>
          <w:p>
            <w:pPr>
              <w:jc w:val="center"/>
              <w:rPr>
                <w:rFonts w:hint="eastAsia" w:eastAsia="宋体"/>
                <w:color w:val="auto"/>
                <w:lang w:eastAsia="zh-CN"/>
              </w:rPr>
            </w:pPr>
            <w:r>
              <w:rPr>
                <w:rFonts w:hint="eastAsia"/>
                <w:color w:val="auto"/>
                <w:lang w:eastAsia="zh-CN"/>
              </w:rPr>
              <w:t>大气环境</w:t>
            </w:r>
          </w:p>
        </w:tc>
        <w:tc>
          <w:tcPr>
            <w:tcW w:w="1483" w:type="dxa"/>
            <w:noWrap w:val="0"/>
            <w:vAlign w:val="center"/>
          </w:tcPr>
          <w:p>
            <w:pPr>
              <w:spacing w:line="240" w:lineRule="auto"/>
              <w:jc w:val="center"/>
              <w:rPr>
                <w:rFonts w:hint="default" w:ascii="Times New Roman" w:hAnsi="Times New Roman" w:eastAsia="宋体" w:cs="Times New Roman"/>
                <w:color w:val="auto"/>
                <w:sz w:val="21"/>
                <w:szCs w:val="21"/>
                <w:lang w:eastAsia="zh-CN" w:bidi="ar-SA"/>
              </w:rPr>
            </w:pPr>
            <w:r>
              <w:rPr>
                <w:rFonts w:hint="eastAsia" w:ascii="Times New Roman" w:hAnsi="Times New Roman" w:eastAsia="宋体" w:cs="Times New Roman"/>
                <w:color w:val="auto"/>
                <w:sz w:val="21"/>
                <w:szCs w:val="21"/>
                <w:lang w:eastAsia="zh-CN" w:bidi="ar-SA"/>
              </w:rPr>
              <w:t>石英砂上料、修整工序（</w:t>
            </w:r>
            <w:r>
              <w:rPr>
                <w:rFonts w:hint="eastAsia" w:ascii="Times New Roman" w:hAnsi="Times New Roman" w:eastAsia="宋体" w:cs="Times New Roman"/>
                <w:color w:val="auto"/>
                <w:sz w:val="21"/>
                <w:szCs w:val="21"/>
                <w:lang w:val="en-US" w:eastAsia="zh-CN" w:bidi="ar-SA"/>
              </w:rPr>
              <w:t>DA001</w:t>
            </w:r>
            <w:r>
              <w:rPr>
                <w:rFonts w:hint="eastAsia" w:ascii="Times New Roman" w:hAnsi="Times New Roman" w:eastAsia="宋体" w:cs="Times New Roman"/>
                <w:color w:val="auto"/>
                <w:sz w:val="21"/>
                <w:szCs w:val="21"/>
                <w:lang w:eastAsia="zh-CN" w:bidi="ar-SA"/>
              </w:rPr>
              <w:t>）</w:t>
            </w:r>
          </w:p>
        </w:tc>
        <w:tc>
          <w:tcPr>
            <w:tcW w:w="938" w:type="dxa"/>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eastAsia="zh-CN" w:bidi="ar-SA"/>
              </w:rPr>
            </w:pPr>
            <w:r>
              <w:rPr>
                <w:rFonts w:hint="eastAsia" w:cs="Times New Roman"/>
                <w:color w:val="auto"/>
                <w:sz w:val="21"/>
                <w:szCs w:val="21"/>
                <w:lang w:val="en-US" w:eastAsia="zh-CN" w:bidi="ar-SA"/>
              </w:rPr>
              <w:t>颗粒物</w:t>
            </w:r>
          </w:p>
        </w:tc>
        <w:tc>
          <w:tcPr>
            <w:tcW w:w="2637" w:type="dxa"/>
            <w:tcBorders>
              <w:bottom w:val="single" w:color="auto" w:sz="4" w:space="0"/>
            </w:tcBorders>
            <w:noWrap w:val="0"/>
            <w:vAlign w:val="center"/>
          </w:tcPr>
          <w:p>
            <w:pPr>
              <w:spacing w:line="240" w:lineRule="auto"/>
              <w:jc w:val="center"/>
              <w:rPr>
                <w:color w:val="auto"/>
              </w:rPr>
            </w:pPr>
            <w:r>
              <w:rPr>
                <w:rFonts w:hint="eastAsia" w:ascii="Times New Roman" w:hAnsi="Times New Roman" w:eastAsia="宋体" w:cs="Times New Roman"/>
                <w:color w:val="auto"/>
                <w:sz w:val="21"/>
                <w:szCs w:val="21"/>
                <w:lang w:val="en-US" w:eastAsia="zh-CN" w:bidi="ar-SA"/>
              </w:rPr>
              <w:t>经2个半封闭式集气罩+1套袋式除尘器+15m高排气筒（DA001）</w:t>
            </w:r>
            <w:r>
              <w:rPr>
                <w:rFonts w:hint="default" w:ascii="Times New Roman" w:hAnsi="Times New Roman" w:eastAsia="宋体" w:cs="Times New Roman"/>
                <w:color w:val="auto"/>
                <w:sz w:val="21"/>
                <w:szCs w:val="21"/>
                <w:lang w:val="en-US" w:eastAsia="zh-CN" w:bidi="ar-SA"/>
              </w:rPr>
              <w:t>排放</w:t>
            </w:r>
          </w:p>
        </w:tc>
        <w:tc>
          <w:tcPr>
            <w:tcW w:w="2974" w:type="dxa"/>
            <w:noWrap w:val="0"/>
            <w:vAlign w:val="center"/>
          </w:tcPr>
          <w:p>
            <w:pPr>
              <w:spacing w:line="240" w:lineRule="auto"/>
              <w:jc w:val="center"/>
              <w:rPr>
                <w:color w:val="auto"/>
              </w:rPr>
            </w:pPr>
            <w:r>
              <w:rPr>
                <w:rFonts w:hint="eastAsia" w:ascii="Times New Roman" w:hAnsi="Times New Roman" w:eastAsia="宋体" w:cs="Times New Roman"/>
                <w:color w:val="auto"/>
                <w:sz w:val="21"/>
                <w:szCs w:val="21"/>
                <w:lang w:val="en-US" w:eastAsia="zh-CN" w:bidi="ar-SA"/>
              </w:rPr>
              <w:t>《合成树脂工业污染物排放标准》（GB31572-2015）中表5大气污染物特别排放标准（颗粒物：20mg/m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68" w:type="dxa"/>
            <w:vMerge w:val="continue"/>
            <w:noWrap w:val="0"/>
            <w:vAlign w:val="center"/>
          </w:tcPr>
          <w:p>
            <w:pPr>
              <w:rPr>
                <w:color w:val="auto"/>
              </w:rPr>
            </w:pPr>
          </w:p>
        </w:tc>
        <w:tc>
          <w:tcPr>
            <w:tcW w:w="1483" w:type="dxa"/>
            <w:noWrap w:val="0"/>
            <w:vAlign w:val="center"/>
          </w:tcPr>
          <w:p>
            <w:pPr>
              <w:spacing w:line="240" w:lineRule="auto"/>
              <w:jc w:val="center"/>
              <w:rPr>
                <w:rFonts w:hint="eastAsia" w:ascii="Times New Roman" w:hAnsi="Times New Roman" w:eastAsia="宋体" w:cs="Times New Roman"/>
                <w:color w:val="auto"/>
                <w:sz w:val="21"/>
                <w:szCs w:val="21"/>
                <w:lang w:eastAsia="zh-CN" w:bidi="ar-SA"/>
              </w:rPr>
            </w:pPr>
            <w:r>
              <w:rPr>
                <w:rFonts w:hint="eastAsia" w:ascii="Times New Roman" w:hAnsi="Times New Roman" w:eastAsia="宋体" w:cs="Times New Roman"/>
                <w:color w:val="auto"/>
                <w:sz w:val="21"/>
                <w:szCs w:val="21"/>
                <w:lang w:eastAsia="zh-CN" w:bidi="ar-SA"/>
              </w:rPr>
              <w:t>浸胶、缠绕、自然固化工序（</w:t>
            </w:r>
            <w:r>
              <w:rPr>
                <w:rFonts w:hint="eastAsia" w:ascii="Times New Roman" w:hAnsi="Times New Roman" w:eastAsia="宋体" w:cs="Times New Roman"/>
                <w:color w:val="auto"/>
                <w:sz w:val="21"/>
                <w:szCs w:val="21"/>
                <w:lang w:val="en-US" w:eastAsia="zh-CN" w:bidi="ar-SA"/>
              </w:rPr>
              <w:t>DA002</w:t>
            </w:r>
            <w:r>
              <w:rPr>
                <w:rFonts w:hint="eastAsia" w:ascii="Times New Roman" w:hAnsi="Times New Roman" w:eastAsia="宋体" w:cs="Times New Roman"/>
                <w:color w:val="auto"/>
                <w:sz w:val="21"/>
                <w:szCs w:val="21"/>
                <w:lang w:eastAsia="zh-CN" w:bidi="ar-SA"/>
              </w:rPr>
              <w:t>）</w:t>
            </w:r>
          </w:p>
        </w:tc>
        <w:tc>
          <w:tcPr>
            <w:tcW w:w="938" w:type="dxa"/>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imes New Roman"/>
                <w:color w:val="auto"/>
                <w:szCs w:val="21"/>
                <w:lang w:eastAsia="zh-CN" w:bidi="ar-SA"/>
              </w:rPr>
            </w:pPr>
            <w:r>
              <w:rPr>
                <w:rFonts w:hint="eastAsia" w:cs="Times New Roman"/>
                <w:color w:val="auto"/>
                <w:sz w:val="21"/>
                <w:szCs w:val="21"/>
                <w:vertAlign w:val="baseline"/>
                <w:lang w:val="en-US" w:eastAsia="zh-CN" w:bidi="ar-SA"/>
              </w:rPr>
              <w:t>非甲烷总烃（苯乙烯）、臭气浓度</w:t>
            </w:r>
          </w:p>
        </w:tc>
        <w:tc>
          <w:tcPr>
            <w:tcW w:w="2637"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经8个半封闭式集气罩+1套活性炭吸附脱附+催化燃烧装置+15m高排气筒（DA002）排放</w:t>
            </w:r>
          </w:p>
        </w:tc>
        <w:tc>
          <w:tcPr>
            <w:tcW w:w="2974" w:type="dxa"/>
            <w:noWrap w:val="0"/>
            <w:vAlign w:val="center"/>
          </w:tcPr>
          <w:p>
            <w:pPr>
              <w:adjustRightInd w:val="0"/>
              <w:snapToGrid w:val="0"/>
              <w:jc w:val="center"/>
              <w:rPr>
                <w:rFonts w:hint="eastAsia" w:ascii="Times New Roman" w:hAnsi="Times New Roman" w:eastAsia="宋体" w:cs="Times New Roman"/>
                <w:color w:val="auto"/>
                <w:szCs w:val="21"/>
                <w:lang w:eastAsia="zh-CN" w:bidi="ar-SA"/>
              </w:rPr>
            </w:pPr>
            <w:r>
              <w:rPr>
                <w:rFonts w:hint="eastAsia" w:ascii="Times New Roman" w:hAnsi="Times New Roman" w:eastAsia="宋体" w:cs="Times New Roman"/>
                <w:color w:val="auto"/>
                <w:sz w:val="21"/>
                <w:szCs w:val="21"/>
                <w:lang w:val="en-US" w:eastAsia="zh-CN" w:bidi="ar-SA"/>
              </w:rPr>
              <w:t>《合成树脂工业污染物排放标准》（GB31572-2015）中表5大气污染物特别排放标准（非甲烷总烃：60mg/m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vertAlign w:val="baseline"/>
                <w:lang w:val="en-US" w:eastAsia="zh-CN" w:bidi="ar-SA"/>
              </w:rPr>
              <w:t>，苯乙烯：20mg/m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vertAlign w:val="baseline"/>
                <w:lang w:val="en-US" w:eastAsia="zh-CN" w:bidi="ar-SA"/>
              </w:rPr>
              <w:t>，单位产品非甲烷总烃排放量：0.3kg/t产品</w:t>
            </w:r>
            <w:r>
              <w:rPr>
                <w:rFonts w:hint="eastAsia" w:ascii="Times New Roman" w:hAnsi="Times New Roman" w:eastAsia="宋体" w:cs="Times New Roman"/>
                <w:color w:val="auto"/>
                <w:sz w:val="21"/>
                <w:szCs w:val="21"/>
                <w:lang w:val="en-US" w:eastAsia="zh-CN" w:bidi="ar-SA"/>
              </w:rPr>
              <w:t>）、《恶臭污染物排放标准》（GB14554-93）中表2排放标准限值（苯乙烯：6.5kg/h，臭气浓度：2000无量纲）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68" w:type="dxa"/>
            <w:vMerge w:val="continue"/>
            <w:noWrap w:val="0"/>
            <w:vAlign w:val="center"/>
          </w:tcPr>
          <w:p>
            <w:pPr>
              <w:spacing w:line="240" w:lineRule="auto"/>
              <w:jc w:val="center"/>
              <w:rPr>
                <w:color w:val="auto"/>
              </w:rPr>
            </w:pPr>
          </w:p>
        </w:tc>
        <w:tc>
          <w:tcPr>
            <w:tcW w:w="1483" w:type="dxa"/>
            <w:noWrap w:val="0"/>
            <w:vAlign w:val="center"/>
          </w:tcPr>
          <w:p>
            <w:pPr>
              <w:spacing w:line="240" w:lineRule="auto"/>
              <w:jc w:val="center"/>
              <w:rPr>
                <w:rFonts w:hint="eastAsia" w:cs="Times New Roman"/>
                <w:color w:val="auto"/>
                <w:szCs w:val="21"/>
                <w:lang w:eastAsia="zh-CN" w:bidi="ar-SA"/>
              </w:rPr>
            </w:pPr>
            <w:r>
              <w:rPr>
                <w:rFonts w:hint="eastAsia" w:cs="Times New Roman"/>
                <w:color w:val="auto"/>
                <w:sz w:val="21"/>
                <w:szCs w:val="21"/>
                <w:lang w:eastAsia="zh-CN" w:bidi="ar-SA"/>
              </w:rPr>
              <w:t>无组织（厂界及厂区）</w:t>
            </w:r>
          </w:p>
        </w:tc>
        <w:tc>
          <w:tcPr>
            <w:tcW w:w="938" w:type="dxa"/>
            <w:tcBorders>
              <w:top w:val="single" w:color="auto" w:sz="4" w:space="0"/>
              <w:bottom w:val="single" w:color="auto" w:sz="4" w:space="0"/>
            </w:tcBorders>
            <w:noWrap w:val="0"/>
            <w:vAlign w:val="center"/>
          </w:tcPr>
          <w:p>
            <w:pPr>
              <w:adjustRightInd w:val="0"/>
              <w:snapToGrid w:val="0"/>
              <w:jc w:val="center"/>
              <w:rPr>
                <w:rFonts w:hint="eastAsia" w:cs="Times New Roman"/>
                <w:color w:val="auto"/>
                <w:szCs w:val="21"/>
                <w:lang w:eastAsia="zh-CN" w:bidi="ar-SA"/>
              </w:rPr>
            </w:pPr>
            <w:r>
              <w:rPr>
                <w:rFonts w:hint="eastAsia" w:cs="Times New Roman"/>
                <w:color w:val="auto"/>
                <w:sz w:val="21"/>
                <w:szCs w:val="21"/>
                <w:vertAlign w:val="baseline"/>
                <w:lang w:val="en-US" w:eastAsia="zh-CN" w:bidi="ar-SA"/>
              </w:rPr>
              <w:t>非甲烷总烃（苯乙烯）、臭气浓度</w:t>
            </w:r>
          </w:p>
        </w:tc>
        <w:tc>
          <w:tcPr>
            <w:tcW w:w="2637" w:type="dxa"/>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加强废气收集的设备的维护和管理，尽量减少无组织废气的排放，并在车间内设置排气扇，加强车间通风换气</w:t>
            </w:r>
            <w:r>
              <w:rPr>
                <w:rFonts w:hint="eastAsia" w:ascii="Times New Roman" w:hAnsi="Times New Roman" w:eastAsia="宋体" w:cs="Times New Roman"/>
                <w:color w:val="auto"/>
                <w:sz w:val="21"/>
                <w:szCs w:val="21"/>
                <w:lang w:val="en-US" w:eastAsia="zh-CN" w:bidi="ar-SA"/>
              </w:rPr>
              <w:t>。</w:t>
            </w:r>
          </w:p>
        </w:tc>
        <w:tc>
          <w:tcPr>
            <w:tcW w:w="297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无组织排放满足《恶臭污染物排放标准》（GB14554-93）表1二级标准（苯乙烯：5.0mg/m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vertAlign w:val="baseline"/>
                <w:lang w:val="en-US" w:eastAsia="zh-CN" w:bidi="ar-SA"/>
              </w:rPr>
              <w:t>，臭气浓度：20无量纲</w:t>
            </w:r>
            <w:r>
              <w:rPr>
                <w:rFonts w:hint="eastAsia" w:ascii="Times New Roman" w:hAnsi="Times New Roman" w:eastAsia="宋体" w:cs="Times New Roman"/>
                <w:color w:val="auto"/>
                <w:sz w:val="21"/>
                <w:szCs w:val="21"/>
                <w:lang w:val="en-US" w:eastAsia="zh-CN" w:bidi="ar-SA"/>
              </w:rPr>
              <w:t>）；非甲烷总烃厂界外无组织排放满足《合成树脂工业污染物排放标准》（GB31572-2015）中表9中限值（4.0mg/m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）；厂界内无组织排放满足《挥发性有机物无组织排放控制标准》（GB37822-2019）表A.1特别排放限值要求（监控点处1h平均值浓度6mg/m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；监控点处任意一次浓度值20mg/m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768" w:type="dxa"/>
            <w:vMerge w:val="continue"/>
            <w:noWrap w:val="0"/>
            <w:vAlign w:val="center"/>
          </w:tcPr>
          <w:p>
            <w:pPr>
              <w:spacing w:line="240" w:lineRule="auto"/>
              <w:jc w:val="center"/>
              <w:rPr>
                <w:color w:val="auto"/>
              </w:rPr>
            </w:pPr>
          </w:p>
        </w:tc>
        <w:tc>
          <w:tcPr>
            <w:tcW w:w="1483" w:type="dxa"/>
            <w:noWrap w:val="0"/>
            <w:vAlign w:val="center"/>
          </w:tcPr>
          <w:p>
            <w:pPr>
              <w:spacing w:line="240" w:lineRule="auto"/>
              <w:jc w:val="center"/>
              <w:rPr>
                <w:rFonts w:hint="eastAsia" w:cs="Times New Roman"/>
                <w:color w:val="auto"/>
                <w:szCs w:val="21"/>
                <w:lang w:eastAsia="zh-CN" w:bidi="ar-SA"/>
              </w:rPr>
            </w:pPr>
            <w:r>
              <w:rPr>
                <w:rFonts w:hint="eastAsia" w:cs="Times New Roman"/>
                <w:color w:val="auto"/>
                <w:sz w:val="21"/>
                <w:szCs w:val="21"/>
                <w:lang w:eastAsia="zh-CN" w:bidi="ar-SA"/>
              </w:rPr>
              <w:t>无组织厂界</w:t>
            </w:r>
          </w:p>
        </w:tc>
        <w:tc>
          <w:tcPr>
            <w:tcW w:w="938" w:type="dxa"/>
            <w:tcBorders>
              <w:top w:val="single" w:color="auto" w:sz="4" w:space="0"/>
              <w:bottom w:val="single" w:color="auto" w:sz="4" w:space="0"/>
            </w:tcBorders>
            <w:noWrap w:val="0"/>
            <w:vAlign w:val="center"/>
          </w:tcPr>
          <w:p>
            <w:pPr>
              <w:adjustRightInd w:val="0"/>
              <w:snapToGrid w:val="0"/>
              <w:jc w:val="center"/>
              <w:rPr>
                <w:rFonts w:hint="eastAsia" w:cs="Times New Roman"/>
                <w:color w:val="auto"/>
                <w:szCs w:val="21"/>
                <w:lang w:eastAsia="zh-CN" w:bidi="ar-SA"/>
              </w:rPr>
            </w:pPr>
            <w:r>
              <w:rPr>
                <w:rFonts w:hint="eastAsia" w:cs="Times New Roman"/>
                <w:color w:val="auto"/>
                <w:szCs w:val="21"/>
                <w:lang w:eastAsia="zh-CN" w:bidi="ar-SA"/>
              </w:rPr>
              <w:t>颗粒物</w:t>
            </w:r>
          </w:p>
        </w:tc>
        <w:tc>
          <w:tcPr>
            <w:tcW w:w="2637" w:type="dxa"/>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车间日常封闭，采用机械排风扇对车间加强车间内通风，大部分粉尘被阻挡沉降于车间内，无组织粉尘外排量较小</w:t>
            </w:r>
            <w:r>
              <w:rPr>
                <w:rFonts w:hint="eastAsia" w:ascii="Times New Roman" w:hAnsi="Times New Roman" w:eastAsia="宋体" w:cs="Times New Roman"/>
                <w:color w:val="auto"/>
                <w:sz w:val="21"/>
                <w:szCs w:val="21"/>
                <w:lang w:val="en-US" w:eastAsia="zh-CN" w:bidi="ar-SA"/>
              </w:rPr>
              <w:t>。</w:t>
            </w:r>
          </w:p>
        </w:tc>
        <w:tc>
          <w:tcPr>
            <w:tcW w:w="297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《合成树脂工业污染物排放标准》（GB31572-2015）中表9企业边界大气污染物浓度限值（颗粒物：1.0mg/m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68" w:type="dxa"/>
            <w:noWrap w:val="0"/>
            <w:vAlign w:val="center"/>
          </w:tcPr>
          <w:p>
            <w:pPr>
              <w:adjustRightInd w:val="0"/>
              <w:snapToGrid w:val="0"/>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地表水环境</w:t>
            </w:r>
          </w:p>
        </w:tc>
        <w:tc>
          <w:tcPr>
            <w:tcW w:w="1483" w:type="dxa"/>
            <w:noWrap w:val="0"/>
            <w:vAlign w:val="center"/>
          </w:tcPr>
          <w:p>
            <w:pPr>
              <w:adjustRightInd w:val="0"/>
              <w:snapToGrid w:val="0"/>
              <w:jc w:val="center"/>
              <w:rPr>
                <w:rFonts w:hint="default" w:ascii="Times New Roman" w:hAnsi="Times New Roman" w:eastAsia="宋体" w:cs="Times New Roman"/>
                <w:color w:val="auto"/>
                <w:szCs w:val="21"/>
                <w:lang w:val="en-US" w:eastAsia="zh-CN" w:bidi="ar-SA"/>
              </w:rPr>
            </w:pPr>
            <w:r>
              <w:rPr>
                <w:rFonts w:hint="default" w:ascii="Times New Roman" w:hAnsi="Times New Roman" w:cs="Times New Roman"/>
                <w:color w:val="auto"/>
                <w:szCs w:val="21"/>
                <w:lang w:eastAsia="zh-CN" w:bidi="ar-SA"/>
              </w:rPr>
              <w:t>生活污水</w:t>
            </w:r>
          </w:p>
        </w:tc>
        <w:tc>
          <w:tcPr>
            <w:tcW w:w="938" w:type="dxa"/>
            <w:noWrap w:val="0"/>
            <w:vAlign w:val="center"/>
          </w:tcPr>
          <w:p>
            <w:pPr>
              <w:adjustRightInd w:val="0"/>
              <w:snapToGrid w:val="0"/>
              <w:jc w:val="center"/>
              <w:rPr>
                <w:rFonts w:hint="default" w:ascii="Times New Roman" w:hAnsi="Times New Roman" w:eastAsia="宋体" w:cs="Times New Roman"/>
                <w:color w:val="auto"/>
                <w:szCs w:val="21"/>
                <w:lang w:val="en-US" w:eastAsia="zh-CN" w:bidi="ar-SA"/>
              </w:rPr>
            </w:pPr>
            <w:r>
              <w:rPr>
                <w:rFonts w:hint="eastAsia" w:ascii="Times New Roman" w:hAnsi="Times New Roman" w:cs="Times New Roman"/>
                <w:color w:val="auto"/>
                <w:szCs w:val="21"/>
                <w:lang w:val="en-US" w:eastAsia="zh-CN" w:bidi="ar-SA"/>
              </w:rPr>
              <w:t>CODcr、SS、NH</w:t>
            </w:r>
            <w:r>
              <w:rPr>
                <w:rFonts w:hint="eastAsia" w:ascii="Times New Roman" w:hAnsi="Times New Roman" w:cs="Times New Roman"/>
                <w:color w:val="auto"/>
                <w:szCs w:val="21"/>
                <w:vertAlign w:val="subscript"/>
                <w:lang w:val="en-US" w:eastAsia="zh-CN" w:bidi="ar-SA"/>
              </w:rPr>
              <w:t>3</w:t>
            </w:r>
            <w:r>
              <w:rPr>
                <w:rFonts w:hint="eastAsia" w:ascii="Times New Roman" w:hAnsi="Times New Roman" w:cs="Times New Roman"/>
                <w:color w:val="auto"/>
                <w:szCs w:val="21"/>
                <w:lang w:val="en-US" w:eastAsia="zh-CN" w:bidi="ar-SA"/>
              </w:rPr>
              <w:t>-N、BOD</w:t>
            </w:r>
            <w:r>
              <w:rPr>
                <w:rFonts w:hint="eastAsia" w:ascii="Times New Roman" w:hAnsi="Times New Roman" w:cs="Times New Roman"/>
                <w:color w:val="auto"/>
                <w:szCs w:val="21"/>
                <w:vertAlign w:val="subscript"/>
                <w:lang w:val="en-US" w:eastAsia="zh-CN" w:bidi="ar-SA"/>
              </w:rPr>
              <w:t>5</w:t>
            </w:r>
          </w:p>
        </w:tc>
        <w:tc>
          <w:tcPr>
            <w:tcW w:w="2637" w:type="dxa"/>
            <w:noWrap w:val="0"/>
            <w:vAlign w:val="center"/>
          </w:tcPr>
          <w:p>
            <w:pPr>
              <w:spacing w:line="240" w:lineRule="auto"/>
              <w:jc w:val="center"/>
              <w:rPr>
                <w:rFonts w:hint="eastAsia"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val="en-US" w:eastAsia="zh-CN" w:bidi="ar-SA"/>
              </w:rPr>
              <w:t>经排水管网排入胡杨河经济技术开发区南园区污水处理厂处理。</w:t>
            </w:r>
          </w:p>
        </w:tc>
        <w:tc>
          <w:tcPr>
            <w:tcW w:w="2974" w:type="dxa"/>
            <w:noWrap w:val="0"/>
            <w:vAlign w:val="center"/>
          </w:tcPr>
          <w:p>
            <w:pPr>
              <w:adjustRightInd w:val="0"/>
              <w:snapToGrid w:val="0"/>
              <w:jc w:val="center"/>
              <w:rPr>
                <w:rFonts w:hint="eastAsia" w:ascii="Times New Roman" w:hAnsi="Times New Roman" w:eastAsia="宋体" w:cs="Times New Roman"/>
                <w:color w:val="auto"/>
                <w:szCs w:val="21"/>
                <w:lang w:val="en-US" w:eastAsia="zh-CN" w:bidi="ar-SA"/>
              </w:rPr>
            </w:pPr>
            <w:r>
              <w:rPr>
                <w:rFonts w:hint="eastAsia" w:ascii="Times New Roman" w:hAnsi="Times New Roman" w:eastAsia="宋体" w:cs="Times New Roman"/>
                <w:color w:val="auto"/>
                <w:szCs w:val="21"/>
                <w:lang w:eastAsia="zh-CN" w:bidi="ar-SA"/>
              </w:rPr>
              <w:t>《污水综合排放标准》（GB8978-1996）表4中三级标准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8" w:type="dxa"/>
            <w:noWrap w:val="0"/>
            <w:vAlign w:val="center"/>
          </w:tcPr>
          <w:p>
            <w:pPr>
              <w:adjustRightInd w:val="0"/>
              <w:snapToGrid w:val="0"/>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声环境</w:t>
            </w:r>
          </w:p>
        </w:tc>
        <w:tc>
          <w:tcPr>
            <w:tcW w:w="1483" w:type="dxa"/>
            <w:noWrap w:val="0"/>
            <w:vAlign w:val="center"/>
          </w:tcPr>
          <w:p>
            <w:pPr>
              <w:adjustRightInd w:val="0"/>
              <w:snapToGrid w:val="0"/>
              <w:jc w:val="center"/>
              <w:rPr>
                <w:rFonts w:hint="eastAsia" w:ascii="Times New Roman" w:hAnsi="Times New Roman" w:eastAsia="宋体" w:cs="Times New Roman"/>
                <w:color w:val="auto"/>
                <w:szCs w:val="21"/>
                <w:lang w:eastAsia="zh-CN" w:bidi="ar-SA"/>
              </w:rPr>
            </w:pPr>
            <w:r>
              <w:rPr>
                <w:rFonts w:hint="eastAsia" w:ascii="Times New Roman" w:hAnsi="Times New Roman" w:cs="Times New Roman"/>
                <w:color w:val="auto"/>
                <w:szCs w:val="21"/>
                <w:lang w:eastAsia="zh-CN" w:bidi="ar-SA"/>
              </w:rPr>
              <w:t>生产工序</w:t>
            </w:r>
          </w:p>
        </w:tc>
        <w:tc>
          <w:tcPr>
            <w:tcW w:w="938" w:type="dxa"/>
            <w:noWrap w:val="0"/>
            <w:vAlign w:val="center"/>
          </w:tcPr>
          <w:p>
            <w:pPr>
              <w:adjustRightInd w:val="0"/>
              <w:snapToGrid w:val="0"/>
              <w:jc w:val="center"/>
              <w:rPr>
                <w:rFonts w:hint="eastAsia" w:ascii="Times New Roman" w:hAnsi="Times New Roman" w:eastAsia="宋体" w:cs="Times New Roman"/>
                <w:color w:val="auto"/>
                <w:szCs w:val="21"/>
                <w:lang w:eastAsia="zh-CN" w:bidi="ar-SA"/>
              </w:rPr>
            </w:pPr>
            <w:r>
              <w:rPr>
                <w:rFonts w:hint="eastAsia" w:ascii="Times New Roman" w:hAnsi="Times New Roman" w:cs="Times New Roman"/>
                <w:color w:val="auto"/>
                <w:szCs w:val="21"/>
                <w:lang w:eastAsia="zh-CN" w:bidi="ar-SA"/>
              </w:rPr>
              <w:t>噪声</w:t>
            </w:r>
          </w:p>
        </w:tc>
        <w:tc>
          <w:tcPr>
            <w:tcW w:w="2637" w:type="dxa"/>
            <w:noWrap w:val="0"/>
            <w:vAlign w:val="center"/>
          </w:tcPr>
          <w:p>
            <w:pPr>
              <w:spacing w:line="240" w:lineRule="auto"/>
              <w:jc w:val="center"/>
              <w:rPr>
                <w:rFonts w:hint="default" w:ascii="Times New Roman" w:hAnsi="Times New Roman" w:cs="Times New Roman"/>
                <w:color w:val="auto"/>
                <w:szCs w:val="21"/>
                <w:lang w:bidi="ar-SA"/>
              </w:rPr>
            </w:pPr>
            <w:r>
              <w:rPr>
                <w:rFonts w:hint="default" w:ascii="Times New Roman" w:hAnsi="Times New Roman" w:eastAsia="宋体" w:cs="Times New Roman"/>
                <w:color w:val="auto"/>
                <w:sz w:val="21"/>
                <w:szCs w:val="21"/>
                <w:lang w:val="en-US" w:eastAsia="zh-CN" w:bidi="ar-SA"/>
              </w:rPr>
              <w:t>选购低噪声环保设备；采用橡胶伸缩接头；加强日常维护；厂房隔噪</w:t>
            </w:r>
            <w:r>
              <w:rPr>
                <w:rFonts w:hint="eastAsia" w:cs="Times New Roman"/>
                <w:color w:val="auto"/>
                <w:sz w:val="21"/>
                <w:szCs w:val="21"/>
                <w:lang w:val="en-US" w:eastAsia="zh-CN" w:bidi="ar-SA"/>
              </w:rPr>
              <w:t>。</w:t>
            </w:r>
          </w:p>
        </w:tc>
        <w:tc>
          <w:tcPr>
            <w:tcW w:w="2974" w:type="dxa"/>
            <w:noWrap w:val="0"/>
            <w:vAlign w:val="center"/>
          </w:tcPr>
          <w:p>
            <w:pPr>
              <w:spacing w:line="240" w:lineRule="auto"/>
              <w:jc w:val="center"/>
              <w:rPr>
                <w:rFonts w:hint="eastAsia" w:ascii="Times New Roman" w:hAnsi="Times New Roman" w:eastAsia="宋体" w:cs="Times New Roman"/>
                <w:color w:val="auto"/>
                <w:szCs w:val="21"/>
                <w:lang w:eastAsia="zh-CN" w:bidi="ar-SA"/>
              </w:rPr>
            </w:pPr>
            <w:r>
              <w:rPr>
                <w:rFonts w:hint="default" w:ascii="Times New Roman" w:hAnsi="Times New Roman" w:cs="Times New Roman"/>
                <w:color w:val="auto"/>
                <w:sz w:val="21"/>
                <w:szCs w:val="21"/>
                <w:lang w:bidi="ar-SA"/>
              </w:rPr>
              <w:t>《工业企业厂界环境噪声排放标准》（GB12348-2008）中的</w:t>
            </w:r>
            <w:r>
              <w:rPr>
                <w:rFonts w:hint="eastAsia" w:ascii="Times New Roman" w:hAnsi="Times New Roman" w:cs="Times New Roman"/>
                <w:color w:val="auto"/>
                <w:sz w:val="21"/>
                <w:szCs w:val="21"/>
                <w:lang w:val="en-US" w:eastAsia="zh-CN" w:bidi="ar-SA"/>
              </w:rPr>
              <w:t>3</w:t>
            </w:r>
            <w:r>
              <w:rPr>
                <w:rFonts w:hint="default" w:ascii="Times New Roman" w:hAnsi="Times New Roman" w:cs="Times New Roman"/>
                <w:color w:val="auto"/>
                <w:sz w:val="21"/>
                <w:szCs w:val="21"/>
                <w:lang w:bidi="ar-SA"/>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8" w:type="dxa"/>
            <w:noWrap w:val="0"/>
            <w:vAlign w:val="center"/>
          </w:tcPr>
          <w:p>
            <w:pPr>
              <w:adjustRightInd w:val="0"/>
              <w:snapToGrid w:val="0"/>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电磁辐射</w:t>
            </w:r>
          </w:p>
        </w:tc>
        <w:tc>
          <w:tcPr>
            <w:tcW w:w="1483" w:type="dxa"/>
            <w:tcBorders>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val="en-US" w:eastAsia="zh-CN" w:bidi="ar-SA"/>
              </w:rPr>
            </w:pPr>
            <w:r>
              <w:rPr>
                <w:rFonts w:hint="eastAsia" w:ascii="Times New Roman" w:hAnsi="Times New Roman" w:cs="Times New Roman"/>
                <w:color w:val="auto"/>
                <w:szCs w:val="21"/>
                <w:lang w:val="en-US" w:eastAsia="zh-CN" w:bidi="ar-SA"/>
              </w:rPr>
              <w:t>/</w:t>
            </w:r>
          </w:p>
        </w:tc>
        <w:tc>
          <w:tcPr>
            <w:tcW w:w="938" w:type="dxa"/>
            <w:tcBorders>
              <w:left w:val="single" w:color="000000" w:sz="4" w:space="0"/>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val="en-US" w:eastAsia="zh-CN" w:bidi="ar-SA"/>
              </w:rPr>
            </w:pPr>
            <w:r>
              <w:rPr>
                <w:rFonts w:hint="eastAsia" w:ascii="Times New Roman" w:hAnsi="Times New Roman" w:cs="Times New Roman"/>
                <w:color w:val="auto"/>
                <w:szCs w:val="21"/>
                <w:lang w:val="en-US" w:eastAsia="zh-CN" w:bidi="ar-SA"/>
              </w:rPr>
              <w:t>/</w:t>
            </w:r>
          </w:p>
        </w:tc>
        <w:tc>
          <w:tcPr>
            <w:tcW w:w="2637" w:type="dxa"/>
            <w:tcBorders>
              <w:left w:val="single" w:color="000000" w:sz="4" w:space="0"/>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val="en-US" w:eastAsia="zh-CN" w:bidi="ar-SA"/>
              </w:rPr>
            </w:pPr>
            <w:r>
              <w:rPr>
                <w:rFonts w:hint="eastAsia" w:ascii="Times New Roman" w:hAnsi="Times New Roman" w:cs="Times New Roman"/>
                <w:color w:val="auto"/>
                <w:szCs w:val="21"/>
                <w:lang w:val="en-US" w:eastAsia="zh-CN" w:bidi="ar-SA"/>
              </w:rPr>
              <w:t>/</w:t>
            </w:r>
          </w:p>
        </w:tc>
        <w:tc>
          <w:tcPr>
            <w:tcW w:w="2974" w:type="dxa"/>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val="en-US" w:eastAsia="zh-CN" w:bidi="ar-SA"/>
              </w:rPr>
            </w:pPr>
            <w:r>
              <w:rPr>
                <w:rFonts w:hint="eastAsia" w:ascii="Times New Roman" w:hAnsi="Times New Roman" w:cs="Times New Roman"/>
                <w:color w:val="auto"/>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68" w:type="dxa"/>
            <w:vMerge w:val="restart"/>
            <w:noWrap w:val="0"/>
            <w:vAlign w:val="center"/>
          </w:tcPr>
          <w:p>
            <w:pPr>
              <w:adjustRightInd w:val="0"/>
              <w:snapToGrid w:val="0"/>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固体废物</w:t>
            </w:r>
          </w:p>
        </w:tc>
        <w:tc>
          <w:tcPr>
            <w:tcW w:w="2421" w:type="dxa"/>
            <w:gridSpan w:val="2"/>
            <w:tcBorders>
              <w:bottom w:val="single" w:color="000000" w:sz="4" w:space="0"/>
              <w:right w:val="single" w:color="000000" w:sz="4" w:space="0"/>
            </w:tcBorders>
            <w:noWrap w:val="0"/>
            <w:vAlign w:val="center"/>
          </w:tcPr>
          <w:p>
            <w:pPr>
              <w:spacing w:line="240" w:lineRule="auto"/>
              <w:jc w:val="center"/>
              <w:rPr>
                <w:rFonts w:hint="default" w:ascii="Times New Roman" w:hAnsi="Times New Roman" w:cs="Times New Roman"/>
                <w:color w:val="auto"/>
                <w:szCs w:val="21"/>
                <w:lang w:bidi="ar-SA"/>
              </w:rPr>
            </w:pPr>
            <w:r>
              <w:rPr>
                <w:rFonts w:hint="default" w:ascii="Times New Roman" w:hAnsi="Times New Roman" w:cs="Times New Roman"/>
                <w:color w:val="auto"/>
                <w:sz w:val="21"/>
                <w:szCs w:val="21"/>
                <w:lang w:bidi="ar-SA"/>
              </w:rPr>
              <w:t>生活垃圾</w:t>
            </w:r>
          </w:p>
        </w:tc>
        <w:tc>
          <w:tcPr>
            <w:tcW w:w="2637" w:type="dxa"/>
            <w:tcBorders>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cs="Times New Roman"/>
                <w:color w:val="auto"/>
                <w:szCs w:val="21"/>
                <w:lang w:bidi="ar-SA"/>
              </w:rPr>
            </w:pPr>
            <w:r>
              <w:rPr>
                <w:rFonts w:hint="default" w:ascii="Times New Roman" w:hAnsi="Times New Roman" w:cs="Times New Roman"/>
                <w:color w:val="auto"/>
                <w:sz w:val="21"/>
                <w:szCs w:val="21"/>
                <w:lang w:bidi="ar-SA"/>
              </w:rPr>
              <w:t>垃圾桶若干</w:t>
            </w:r>
          </w:p>
        </w:tc>
        <w:tc>
          <w:tcPr>
            <w:tcW w:w="2974" w:type="dxa"/>
            <w:tcBorders>
              <w:left w:val="single" w:color="000000" w:sz="4" w:space="0"/>
              <w:bottom w:val="single" w:color="000000" w:sz="4" w:space="0"/>
            </w:tcBorders>
            <w:noWrap w:val="0"/>
            <w:vAlign w:val="center"/>
          </w:tcPr>
          <w:p>
            <w:pPr>
              <w:spacing w:line="240" w:lineRule="auto"/>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收集后交由当地环卫部门处理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8" w:type="dxa"/>
            <w:vMerge w:val="continue"/>
            <w:noWrap w:val="0"/>
            <w:vAlign w:val="center"/>
          </w:tcPr>
          <w:p>
            <w:pPr>
              <w:rPr>
                <w:color w:val="auto"/>
              </w:rPr>
            </w:pPr>
          </w:p>
        </w:tc>
        <w:tc>
          <w:tcPr>
            <w:tcW w:w="2421" w:type="dxa"/>
            <w:gridSpan w:val="2"/>
            <w:tcBorders>
              <w:top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cs="Times New Roman"/>
                <w:color w:val="auto"/>
                <w:szCs w:val="21"/>
                <w:lang w:bidi="ar-SA"/>
              </w:rPr>
            </w:pPr>
            <w:r>
              <w:rPr>
                <w:rFonts w:hint="eastAsia" w:cs="Times New Roman"/>
                <w:color w:val="auto"/>
                <w:sz w:val="21"/>
                <w:szCs w:val="21"/>
                <w:lang w:val="en-US" w:eastAsia="zh-CN" w:bidi="ar-SA"/>
              </w:rPr>
              <w:t>一般</w:t>
            </w:r>
            <w:r>
              <w:rPr>
                <w:rFonts w:hint="eastAsia" w:ascii="Times New Roman" w:hAnsi="Times New Roman" w:cs="Times New Roman"/>
                <w:color w:val="auto"/>
                <w:sz w:val="21"/>
                <w:szCs w:val="21"/>
                <w:lang w:val="en-US" w:eastAsia="zh-CN" w:bidi="ar-SA"/>
              </w:rPr>
              <w:t>固废</w:t>
            </w:r>
          </w:p>
        </w:tc>
        <w:tc>
          <w:tcPr>
            <w:tcW w:w="263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default" w:ascii="Times New Roman" w:hAnsi="Times New Roman" w:eastAsia="宋体" w:cs="Times New Roman"/>
                <w:color w:val="auto"/>
                <w:szCs w:val="21"/>
                <w:lang w:val="en-US" w:eastAsia="zh-CN" w:bidi="ar-SA"/>
              </w:rPr>
            </w:pPr>
            <w:r>
              <w:rPr>
                <w:rFonts w:hint="eastAsia" w:cs="Times New Roman"/>
                <w:color w:val="auto"/>
                <w:sz w:val="21"/>
                <w:szCs w:val="21"/>
                <w:lang w:val="en-US" w:eastAsia="zh-CN" w:bidi="ar-SA"/>
              </w:rPr>
              <w:t>设置一般</w:t>
            </w:r>
            <w:r>
              <w:rPr>
                <w:rFonts w:hint="default" w:ascii="Times New Roman" w:hAnsi="Times New Roman" w:eastAsia="宋体" w:cs="Times New Roman"/>
                <w:color w:val="auto"/>
                <w:sz w:val="21"/>
                <w:szCs w:val="21"/>
                <w:lang w:val="en-US" w:eastAsia="zh-CN" w:bidi="ar-SA"/>
              </w:rPr>
              <w:t>固废</w:t>
            </w:r>
            <w:r>
              <w:rPr>
                <w:rFonts w:hint="eastAsia" w:cs="Times New Roman"/>
                <w:color w:val="auto"/>
                <w:sz w:val="21"/>
                <w:szCs w:val="21"/>
                <w:lang w:val="en-US" w:eastAsia="zh-CN" w:bidi="ar-SA"/>
              </w:rPr>
              <w:t>暂存间</w:t>
            </w:r>
            <w:r>
              <w:rPr>
                <w:rFonts w:hint="default" w:ascii="Times New Roman" w:hAnsi="Times New Roman" w:eastAsia="宋体" w:cs="Times New Roman"/>
                <w:color w:val="auto"/>
                <w:sz w:val="21"/>
                <w:szCs w:val="21"/>
                <w:lang w:val="en-US" w:eastAsia="zh-CN" w:bidi="ar-SA"/>
              </w:rPr>
              <w:t>，下脚料、不合格产品、除尘灰、废包装材料统一收集分类后外售综合利用</w:t>
            </w:r>
            <w:r>
              <w:rPr>
                <w:rFonts w:hint="eastAsia" w:cs="Times New Roman"/>
                <w:color w:val="auto"/>
                <w:sz w:val="21"/>
                <w:szCs w:val="21"/>
                <w:lang w:val="en-US" w:eastAsia="zh-CN" w:bidi="ar-SA"/>
              </w:rPr>
              <w:t>。</w:t>
            </w:r>
          </w:p>
        </w:tc>
        <w:tc>
          <w:tcPr>
            <w:tcW w:w="2974" w:type="dxa"/>
            <w:tcBorders>
              <w:top w:val="single" w:color="000000" w:sz="4" w:space="0"/>
              <w:left w:val="single" w:color="000000" w:sz="4" w:space="0"/>
              <w:bottom w:val="single" w:color="000000" w:sz="4" w:space="0"/>
            </w:tcBorders>
            <w:noWrap w:val="0"/>
            <w:vAlign w:val="center"/>
          </w:tcPr>
          <w:p>
            <w:pPr>
              <w:spacing w:line="240" w:lineRule="auto"/>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8" w:type="dxa"/>
            <w:vMerge w:val="continue"/>
            <w:noWrap w:val="0"/>
            <w:vAlign w:val="center"/>
          </w:tcPr>
          <w:p>
            <w:pPr>
              <w:rPr>
                <w:color w:val="auto"/>
              </w:rPr>
            </w:pPr>
          </w:p>
        </w:tc>
        <w:tc>
          <w:tcPr>
            <w:tcW w:w="2421" w:type="dxa"/>
            <w:gridSpan w:val="2"/>
            <w:tcBorders>
              <w:top w:val="single" w:color="000000" w:sz="4" w:space="0"/>
              <w:bottom w:val="single" w:color="000000" w:sz="4" w:space="0"/>
              <w:right w:val="single" w:color="000000" w:sz="4" w:space="0"/>
            </w:tcBorders>
            <w:noWrap w:val="0"/>
            <w:vAlign w:val="center"/>
          </w:tcPr>
          <w:p>
            <w:pPr>
              <w:spacing w:line="240" w:lineRule="auto"/>
              <w:jc w:val="center"/>
              <w:rPr>
                <w:rFonts w:hint="eastAsia" w:cs="Times New Roman"/>
                <w:color w:val="auto"/>
                <w:sz w:val="21"/>
                <w:szCs w:val="21"/>
                <w:lang w:val="en-US" w:eastAsia="zh-CN" w:bidi="ar-SA"/>
              </w:rPr>
            </w:pPr>
            <w:r>
              <w:rPr>
                <w:rFonts w:hint="eastAsia" w:cs="Times New Roman"/>
                <w:color w:val="auto"/>
                <w:sz w:val="21"/>
                <w:szCs w:val="21"/>
                <w:lang w:val="en-US" w:eastAsia="zh-CN" w:bidi="ar-SA"/>
              </w:rPr>
              <w:t>危险废物</w:t>
            </w:r>
          </w:p>
        </w:tc>
        <w:tc>
          <w:tcPr>
            <w:tcW w:w="263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eastAsia="宋体" w:cs="Times New Roman"/>
                <w:color w:val="auto"/>
                <w:sz w:val="21"/>
                <w:szCs w:val="21"/>
                <w:lang w:val="en-US" w:eastAsia="zh-CN" w:bidi="ar-SA"/>
              </w:rPr>
            </w:pPr>
            <w:r>
              <w:rPr>
                <w:rFonts w:hint="eastAsia" w:cs="Times New Roman"/>
                <w:color w:val="auto"/>
                <w:sz w:val="21"/>
                <w:szCs w:val="21"/>
                <w:lang w:val="en-US" w:eastAsia="zh-CN" w:bidi="ar-SA"/>
              </w:rPr>
              <w:t>设置危险废物暂存间，废催化剂厂家回收；废树脂桶交回厂商循环利用；废活性炭、废促进剂桶、废固化剂桶等危险废物暂存在危险废物暂存间（建筑面积10m</w:t>
            </w:r>
            <w:r>
              <w:rPr>
                <w:rFonts w:hint="eastAsia" w:cs="Times New Roman"/>
                <w:color w:val="auto"/>
                <w:sz w:val="21"/>
                <w:szCs w:val="21"/>
                <w:vertAlign w:val="superscript"/>
                <w:lang w:val="en-US" w:eastAsia="zh-CN" w:bidi="ar-SA"/>
              </w:rPr>
              <w:t>2</w:t>
            </w:r>
            <w:r>
              <w:rPr>
                <w:rFonts w:hint="eastAsia" w:cs="Times New Roman"/>
                <w:color w:val="auto"/>
                <w:sz w:val="21"/>
                <w:szCs w:val="21"/>
                <w:lang w:val="en-US" w:eastAsia="zh-CN" w:bidi="ar-SA"/>
              </w:rPr>
              <w:t>），定期交由有资质的单位处置</w:t>
            </w:r>
            <w:r>
              <w:rPr>
                <w:rFonts w:hint="eastAsia" w:ascii="Times New Roman" w:hAnsi="Times New Roman" w:cs="Times New Roman"/>
                <w:color w:val="auto"/>
                <w:szCs w:val="21"/>
                <w:highlight w:val="none"/>
                <w:lang w:eastAsia="zh-CN" w:bidi="ar-SA"/>
              </w:rPr>
              <w:t>。</w:t>
            </w:r>
          </w:p>
        </w:tc>
        <w:tc>
          <w:tcPr>
            <w:tcW w:w="2974" w:type="dxa"/>
            <w:tcBorders>
              <w:top w:val="single" w:color="000000" w:sz="4" w:space="0"/>
              <w:left w:val="single" w:color="000000" w:sz="4" w:space="0"/>
              <w:bottom w:val="single" w:color="000000" w:sz="4" w:space="0"/>
            </w:tcBorders>
            <w:noWrap w:val="0"/>
            <w:vAlign w:val="center"/>
          </w:tcPr>
          <w:p>
            <w:pPr>
              <w:spacing w:line="240" w:lineRule="auto"/>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68" w:type="dxa"/>
            <w:noWrap w:val="0"/>
            <w:vAlign w:val="center"/>
          </w:tcPr>
          <w:p>
            <w:pPr>
              <w:adjustRightInd w:val="0"/>
              <w:snapToGrid w:val="0"/>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土壤及地下水污染防治措施</w:t>
            </w:r>
          </w:p>
        </w:tc>
        <w:tc>
          <w:tcPr>
            <w:tcW w:w="8032" w:type="dxa"/>
            <w:gridSpan w:val="4"/>
            <w:noWrap w:val="0"/>
            <w:vAlign w:val="center"/>
          </w:tcPr>
          <w:p>
            <w:pPr>
              <w:adjustRightInd w:val="0"/>
              <w:snapToGrid w:val="0"/>
              <w:jc w:val="center"/>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szCs w:val="21"/>
                <w:lang w:val="en-US" w:eastAsia="zh-CN" w:bidi="ar-SA"/>
              </w:rPr>
              <w:t>开展源头控制及分区防渗措施</w:t>
            </w:r>
            <w:r>
              <w:rPr>
                <w:rFonts w:hint="eastAsia" w:cs="Times New Roman"/>
                <w:color w:val="auto"/>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68" w:type="dxa"/>
            <w:noWrap w:val="0"/>
            <w:vAlign w:val="center"/>
          </w:tcPr>
          <w:p>
            <w:pPr>
              <w:adjustRightInd w:val="0"/>
              <w:snapToGrid w:val="0"/>
              <w:jc w:val="center"/>
              <w:rPr>
                <w:rFonts w:hint="default" w:ascii="Times New Roman" w:hAnsi="Times New Roman" w:cs="Times New Roman"/>
                <w:color w:val="auto"/>
                <w:szCs w:val="21"/>
                <w:lang w:bidi="ar-SA"/>
              </w:rPr>
            </w:pPr>
            <w:r>
              <w:rPr>
                <w:rFonts w:hint="default" w:ascii="Times New Roman" w:hAnsi="Times New Roman" w:cs="Times New Roman"/>
                <w:color w:val="auto"/>
                <w:szCs w:val="21"/>
                <w:lang w:bidi="ar-SA"/>
              </w:rPr>
              <w:t>生态保护措施</w:t>
            </w:r>
          </w:p>
        </w:tc>
        <w:tc>
          <w:tcPr>
            <w:tcW w:w="8032" w:type="dxa"/>
            <w:gridSpan w:val="4"/>
            <w:noWrap w:val="0"/>
            <w:vAlign w:val="center"/>
          </w:tcPr>
          <w:p>
            <w:pPr>
              <w:adjustRightInd w:val="0"/>
              <w:snapToGrid w:val="0"/>
              <w:jc w:val="center"/>
              <w:rPr>
                <w:rFonts w:hint="default" w:ascii="Times New Roman" w:hAnsi="Times New Roman" w:eastAsia="宋体" w:cs="Times New Roman"/>
                <w:color w:val="auto"/>
                <w:szCs w:val="21"/>
                <w:lang w:val="en-US" w:eastAsia="zh-CN" w:bidi="ar-SA"/>
              </w:rPr>
            </w:pPr>
            <w:r>
              <w:rPr>
                <w:rFonts w:hint="eastAsia" w:cs="Times New Roman"/>
                <w:color w:val="auto"/>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68" w:type="dxa"/>
            <w:noWrap w:val="0"/>
            <w:vAlign w:val="center"/>
          </w:tcPr>
          <w:p>
            <w:pPr>
              <w:adjustRightInd w:val="0"/>
              <w:snapToGrid w:val="0"/>
              <w:jc w:val="center"/>
              <w:rPr>
                <w:rFonts w:hint="default" w:ascii="Times New Roman" w:hAnsi="Times New Roman" w:cs="Times New Roman"/>
                <w:color w:val="auto"/>
                <w:spacing w:val="-8"/>
                <w:szCs w:val="21"/>
                <w:lang w:bidi="ar-SA"/>
              </w:rPr>
            </w:pPr>
            <w:r>
              <w:rPr>
                <w:rFonts w:hint="default" w:ascii="Times New Roman" w:hAnsi="Times New Roman" w:cs="Times New Roman"/>
                <w:color w:val="auto"/>
                <w:spacing w:val="-8"/>
                <w:szCs w:val="21"/>
                <w:lang w:bidi="ar-SA"/>
              </w:rPr>
              <w:t>环境风险</w:t>
            </w:r>
          </w:p>
          <w:p>
            <w:pPr>
              <w:adjustRightInd w:val="0"/>
              <w:snapToGrid w:val="0"/>
              <w:jc w:val="center"/>
              <w:rPr>
                <w:rFonts w:hint="default" w:ascii="Times New Roman" w:hAnsi="Times New Roman" w:cs="Times New Roman"/>
                <w:color w:val="auto"/>
                <w:spacing w:val="-8"/>
                <w:szCs w:val="21"/>
                <w:lang w:bidi="ar-SA"/>
              </w:rPr>
            </w:pPr>
            <w:r>
              <w:rPr>
                <w:rFonts w:hint="default" w:ascii="Times New Roman" w:hAnsi="Times New Roman" w:cs="Times New Roman"/>
                <w:color w:val="auto"/>
                <w:spacing w:val="-8"/>
                <w:szCs w:val="21"/>
                <w:lang w:bidi="ar-SA"/>
              </w:rPr>
              <w:t>防范措施</w:t>
            </w:r>
          </w:p>
        </w:tc>
        <w:tc>
          <w:tcPr>
            <w:tcW w:w="8032" w:type="dxa"/>
            <w:gridSpan w:val="4"/>
            <w:noWrap w:val="0"/>
            <w:vAlign w:val="center"/>
          </w:tcPr>
          <w:p>
            <w:pPr>
              <w:adjustRightInd w:val="0"/>
              <w:snapToGrid w:val="0"/>
              <w:jc w:val="both"/>
              <w:rPr>
                <w:rFonts w:hint="eastAsia" w:ascii="Times New Roman" w:hAnsi="Times New Roman" w:eastAsia="宋体" w:cs="Times New Roman"/>
                <w:color w:val="auto"/>
                <w:szCs w:val="21"/>
                <w:lang w:val="en-US" w:eastAsia="zh-CN" w:bidi="ar-SA"/>
              </w:rPr>
            </w:pPr>
            <w:r>
              <w:rPr>
                <w:rFonts w:hint="default"/>
                <w:color w:val="auto"/>
                <w:lang w:val="en-US" w:eastAsia="zh-CN"/>
              </w:rPr>
              <w:t>企业建成后应严格按照本报告提出的各项措施，针对企业的具体建设情况尽快编制突发性环境应急预案。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68" w:type="dxa"/>
            <w:noWrap w:val="0"/>
            <w:vAlign w:val="center"/>
          </w:tcPr>
          <w:p>
            <w:pPr>
              <w:adjustRightInd w:val="0"/>
              <w:snapToGrid w:val="0"/>
              <w:jc w:val="center"/>
              <w:rPr>
                <w:rFonts w:hint="default" w:ascii="Times New Roman" w:hAnsi="Times New Roman" w:cs="Times New Roman"/>
                <w:color w:val="auto"/>
                <w:spacing w:val="-8"/>
                <w:szCs w:val="21"/>
                <w:lang w:bidi="ar-SA"/>
              </w:rPr>
            </w:pPr>
            <w:r>
              <w:rPr>
                <w:rFonts w:hint="default" w:ascii="Times New Roman" w:hAnsi="Times New Roman" w:cs="Times New Roman"/>
                <w:color w:val="auto"/>
                <w:spacing w:val="-8"/>
                <w:szCs w:val="21"/>
                <w:lang w:bidi="ar-SA"/>
              </w:rPr>
              <w:t>其他环境</w:t>
            </w:r>
          </w:p>
          <w:p>
            <w:pPr>
              <w:adjustRightInd w:val="0"/>
              <w:snapToGrid w:val="0"/>
              <w:jc w:val="center"/>
              <w:rPr>
                <w:rFonts w:hint="default" w:ascii="Times New Roman" w:hAnsi="Times New Roman" w:cs="Times New Roman"/>
                <w:color w:val="auto"/>
                <w:spacing w:val="-8"/>
                <w:szCs w:val="21"/>
                <w:lang w:bidi="ar-SA"/>
              </w:rPr>
            </w:pPr>
            <w:r>
              <w:rPr>
                <w:rFonts w:hint="default" w:ascii="Times New Roman" w:hAnsi="Times New Roman" w:cs="Times New Roman"/>
                <w:color w:val="auto"/>
                <w:spacing w:val="-8"/>
                <w:szCs w:val="21"/>
                <w:lang w:bidi="ar-SA"/>
              </w:rPr>
              <w:t>管理要求</w:t>
            </w:r>
          </w:p>
        </w:tc>
        <w:tc>
          <w:tcPr>
            <w:tcW w:w="8032" w:type="dxa"/>
            <w:gridSpan w:val="4"/>
            <w:noWrap w:val="0"/>
            <w:vAlign w:val="top"/>
          </w:tcPr>
          <w:p>
            <w:pPr>
              <w:adjustRightInd w:val="0"/>
              <w:snapToGrid w:val="0"/>
              <w:jc w:val="both"/>
              <w:rPr>
                <w:rFonts w:hint="eastAsia" w:ascii="Times New Roman" w:hAnsi="Times New Roman" w:eastAsia="宋体" w:cs="Times New Roman"/>
                <w:color w:val="auto"/>
                <w:szCs w:val="21"/>
                <w:lang w:val="en-US" w:eastAsia="zh-CN" w:bidi="ar-SA"/>
              </w:rPr>
            </w:pPr>
            <w:r>
              <w:rPr>
                <w:rFonts w:hint="eastAsia" w:ascii="Times New Roman" w:hAnsi="Times New Roman" w:eastAsia="宋体" w:cs="宋体"/>
                <w:color w:val="auto"/>
                <w:kern w:val="0"/>
                <w:sz w:val="21"/>
                <w:szCs w:val="21"/>
                <w:highlight w:val="none"/>
                <w:lang w:val="en-US" w:eastAsia="zh-CN" w:bidi="ar-SA"/>
              </w:rPr>
              <w:t>①组织贯彻国家及地方的有关环保方针、政策法令和条例；②制定并实施环境保护工作的长期规划及年度污染治理计划；③掌握内部污染物排放状况，编制内部环境状况报告；④协同有关环境保护主管部门组织落实</w:t>
            </w:r>
            <w:r>
              <w:rPr>
                <w:rFonts w:hint="eastAsia" w:cs="宋体"/>
                <w:color w:val="auto"/>
                <w:kern w:val="0"/>
                <w:sz w:val="21"/>
                <w:szCs w:val="21"/>
                <w:highlight w:val="none"/>
                <w:lang w:val="en-US" w:eastAsia="zh-CN" w:bidi="ar-SA"/>
              </w:rPr>
              <w:t>“</w:t>
            </w:r>
            <w:r>
              <w:rPr>
                <w:rFonts w:hint="eastAsia" w:ascii="Times New Roman" w:hAnsi="Times New Roman" w:eastAsia="宋体" w:cs="宋体"/>
                <w:color w:val="auto"/>
                <w:kern w:val="0"/>
                <w:sz w:val="21"/>
                <w:szCs w:val="21"/>
                <w:highlight w:val="none"/>
                <w:lang w:val="en-US" w:eastAsia="zh-CN" w:bidi="ar-SA"/>
              </w:rPr>
              <w:t>三同时</w:t>
            </w:r>
            <w:r>
              <w:rPr>
                <w:rFonts w:hint="eastAsia" w:cs="宋体"/>
                <w:color w:val="auto"/>
                <w:kern w:val="0"/>
                <w:sz w:val="21"/>
                <w:szCs w:val="21"/>
                <w:highlight w:val="none"/>
                <w:lang w:val="en-US" w:eastAsia="zh-CN" w:bidi="ar-SA"/>
              </w:rPr>
              <w:t>”</w:t>
            </w:r>
            <w:r>
              <w:rPr>
                <w:rFonts w:hint="eastAsia" w:ascii="Times New Roman" w:hAnsi="Times New Roman" w:eastAsia="宋体" w:cs="宋体"/>
                <w:color w:val="auto"/>
                <w:kern w:val="0"/>
                <w:sz w:val="21"/>
                <w:szCs w:val="21"/>
                <w:highlight w:val="none"/>
                <w:lang w:val="en-US" w:eastAsia="zh-CN" w:bidi="ar-SA"/>
              </w:rPr>
              <w:t>，参与有关环保方案的审定及竣工验收；⑤组织环境监测，检查环境状况，并及时将环境监测信息向生态环境主管部门通报。</w:t>
            </w:r>
          </w:p>
        </w:tc>
      </w:tr>
    </w:tbl>
    <w:p>
      <w:pPr>
        <w:pStyle w:val="27"/>
        <w:jc w:val="center"/>
        <w:outlineLvl w:val="0"/>
        <w:rPr>
          <w:rFonts w:hint="eastAsia" w:ascii="黑体" w:eastAsia="黑体"/>
          <w:snapToGrid w:val="0"/>
          <w:color w:val="auto"/>
          <w:sz w:val="30"/>
          <w:szCs w:val="30"/>
        </w:rPr>
      </w:pPr>
      <w:r>
        <w:rPr>
          <w:snapToGrid w:val="0"/>
          <w:color w:val="auto"/>
        </w:rPr>
        <w:br w:type="page"/>
      </w:r>
      <w:r>
        <w:rPr>
          <w:rFonts w:hint="eastAsia" w:ascii="黑体" w:eastAsia="黑体" w:cs="黑体"/>
          <w:color w:val="auto"/>
          <w:kern w:val="2"/>
          <w:sz w:val="30"/>
          <w:szCs w:val="30"/>
          <w:lang w:val="en-US" w:eastAsia="zh-CN" w:bidi="ar-SA"/>
        </w:rPr>
        <w:t>六、结论</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widowControl/>
              <w:suppressLineNumbers w:val="0"/>
              <w:spacing w:line="360" w:lineRule="auto"/>
              <w:jc w:val="both"/>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1结论</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val="en-US" w:eastAsia="zh-CN" w:bidi="ar-SA"/>
              </w:rPr>
              <w:t>综合本报告中所作各项评价内容表明，本项目符合国家及地方产业政策，本项目位于胡杨河经济技术开发区南园区31#厂房</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符合当地总体规划、环保规划等相关规划要求。只要建设单位认真落实报告中提出的有关环保治理措施和环保建议，认真贯彻执行</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达标排放</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和</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三同时</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制度等环保要求，在切实做到污染物达标排放的前提下，并有效采取以上对策建议，从环评角度出发，建设该项目是可行的。</w:t>
            </w:r>
          </w:p>
          <w:p>
            <w:pPr>
              <w:pStyle w:val="16"/>
              <w:rPr>
                <w:rFonts w:hint="eastAsia"/>
                <w:color w:val="auto"/>
                <w:lang w:val="en-US" w:eastAsia="zh-CN"/>
              </w:rPr>
            </w:pPr>
          </w:p>
          <w:p>
            <w:pPr>
              <w:rPr>
                <w:rFonts w:hint="eastAsia"/>
                <w:color w:val="auto"/>
                <w:lang w:val="en-US" w:eastAsia="zh-CN"/>
              </w:rPr>
            </w:pPr>
          </w:p>
          <w:p>
            <w:pPr>
              <w:pStyle w:val="16"/>
              <w:rPr>
                <w:rFonts w:hint="eastAsia"/>
                <w:color w:val="auto"/>
                <w:lang w:val="en-US" w:eastAsia="zh-CN"/>
              </w:rPr>
            </w:pPr>
          </w:p>
          <w:p>
            <w:pPr>
              <w:rPr>
                <w:rFonts w:hint="eastAsia"/>
                <w:color w:val="auto"/>
                <w:lang w:val="en-US" w:eastAsia="zh-CN"/>
              </w:rPr>
            </w:pPr>
          </w:p>
        </w:tc>
      </w:tr>
    </w:tbl>
    <w:p>
      <w:pPr>
        <w:rPr>
          <w:rFonts w:hint="eastAsia"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7"/>
        <w:adjustRightInd w:val="0"/>
        <w:snapToGrid w:val="0"/>
        <w:spacing w:before="0" w:beforeAutospacing="0" w:after="0" w:afterAutospacing="0" w:line="648" w:lineRule="auto"/>
        <w:outlineLvl w:val="0"/>
        <w:rPr>
          <w:rFonts w:hint="eastAsia" w:ascii="黑体" w:eastAsia="黑体"/>
          <w:snapToGrid w:val="0"/>
          <w:color w:val="auto"/>
          <w:sz w:val="32"/>
          <w:szCs w:val="32"/>
        </w:rPr>
      </w:pPr>
      <w:r>
        <w:rPr>
          <w:rFonts w:hint="eastAsia" w:ascii="黑体" w:eastAsia="黑体"/>
          <w:snapToGrid w:val="0"/>
          <w:color w:val="auto"/>
          <w:sz w:val="32"/>
          <w:szCs w:val="32"/>
        </w:rPr>
        <w:t>附表</w:t>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eastAsia="方正小标宋_GBK"/>
          <w:snapToGrid w:val="0"/>
          <w:color w:val="auto"/>
          <w:sz w:val="38"/>
          <w:szCs w:val="38"/>
        </w:rPr>
      </w:pPr>
      <w:r>
        <w:rPr>
          <w:rFonts w:hint="eastAsia" w:ascii="方正小标宋_GBK" w:eastAsia="方正小标宋_GBK"/>
          <w:snapToGrid w:val="0"/>
          <w:color w:val="auto"/>
          <w:sz w:val="38"/>
          <w:szCs w:val="38"/>
        </w:rPr>
        <w:t>建设项目污染物排放量汇总表</w:t>
      </w:r>
    </w:p>
    <w:tbl>
      <w:tblPr>
        <w:tblStyle w:val="31"/>
        <w:tblW w:w="0" w:type="auto"/>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61"/>
        <w:gridCol w:w="11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45"/>
              <w:spacing w:before="10" w:beforeLines="0" w:after="10" w:afterLines="0" w:line="240" w:lineRule="auto"/>
              <w:jc w:val="right"/>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项目</w:t>
            </w:r>
          </w:p>
          <w:p>
            <w:pPr>
              <w:pStyle w:val="45"/>
              <w:spacing w:before="10" w:beforeLines="0" w:after="10" w:afterLines="0" w:line="240" w:lineRule="auto"/>
              <w:jc w:val="left"/>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分类</w:t>
            </w:r>
          </w:p>
        </w:tc>
        <w:tc>
          <w:tcPr>
            <w:tcW w:w="1417" w:type="dxa"/>
            <w:noWrap w:val="0"/>
            <w:tcMar>
              <w:left w:w="28" w:type="dxa"/>
              <w:right w:w="28" w:type="dxa"/>
            </w:tcMar>
            <w:vAlign w:val="center"/>
          </w:tcPr>
          <w:p>
            <w:pPr>
              <w:pStyle w:val="45"/>
              <w:spacing w:before="10" w:beforeLines="0" w:after="10" w:afterLines="0" w:line="240" w:lineRule="auto"/>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污染物名称</w:t>
            </w:r>
          </w:p>
        </w:tc>
        <w:tc>
          <w:tcPr>
            <w:tcW w:w="1701" w:type="dxa"/>
            <w:noWrap w:val="0"/>
            <w:tcMar>
              <w:left w:w="28" w:type="dxa"/>
              <w:right w:w="28" w:type="dxa"/>
            </w:tcMar>
            <w:vAlign w:val="center"/>
          </w:tcPr>
          <w:p>
            <w:pPr>
              <w:pStyle w:val="45"/>
              <w:spacing w:before="10" w:beforeLines="0" w:after="10" w:afterLines="0" w:line="240" w:lineRule="auto"/>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现有工程</w:t>
            </w:r>
          </w:p>
          <w:p>
            <w:pPr>
              <w:pStyle w:val="45"/>
              <w:spacing w:before="10" w:beforeLines="0" w:after="10" w:afterLines="0" w:line="240" w:lineRule="auto"/>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排放量（固体废物产生量）</w:t>
            </w:r>
            <w:r>
              <w:rPr>
                <w:rFonts w:hint="default" w:ascii="Times New Roman" w:hAnsi="Times New Roman" w:eastAsia="黑体" w:cs="Times New Roman"/>
                <w:snapToGrid w:val="0"/>
                <w:color w:val="auto"/>
                <w:spacing w:val="-6"/>
                <w:kern w:val="21"/>
                <w:szCs w:val="21"/>
                <w:lang w:bidi="ar-SA"/>
              </w:rPr>
              <w:fldChar w:fldCharType="begin"/>
            </w:r>
            <w:r>
              <w:rPr>
                <w:rFonts w:hint="default" w:ascii="Times New Roman" w:hAnsi="Times New Roman" w:eastAsia="黑体" w:cs="Times New Roman"/>
                <w:snapToGrid w:val="0"/>
                <w:color w:val="auto"/>
                <w:spacing w:val="-6"/>
                <w:kern w:val="21"/>
                <w:szCs w:val="21"/>
                <w:lang w:bidi="ar-SA"/>
              </w:rPr>
              <w:instrText xml:space="preserve"> = 1 \* GB3 \* MERGEFORMAT </w:instrText>
            </w:r>
            <w:r>
              <w:rPr>
                <w:rFonts w:hint="default" w:ascii="Times New Roman" w:hAnsi="Times New Roman" w:eastAsia="黑体" w:cs="Times New Roman"/>
                <w:snapToGrid w:val="0"/>
                <w:color w:val="auto"/>
                <w:spacing w:val="-6"/>
                <w:kern w:val="21"/>
                <w:szCs w:val="21"/>
                <w:lang w:bidi="ar-SA"/>
              </w:rPr>
              <w:fldChar w:fldCharType="separate"/>
            </w:r>
            <w:r>
              <w:rPr>
                <w:rFonts w:hint="default" w:ascii="Times New Roman" w:hAnsi="Times New Roman" w:eastAsia="黑体" w:cs="Times New Roman"/>
                <w:color w:val="auto"/>
                <w:kern w:val="2"/>
                <w:szCs w:val="21"/>
                <w:lang w:bidi="ar-SA"/>
              </w:rPr>
              <w:t>①</w:t>
            </w:r>
            <w:r>
              <w:rPr>
                <w:rFonts w:hint="default" w:ascii="Times New Roman" w:hAnsi="Times New Roman" w:eastAsia="黑体" w:cs="Times New Roman"/>
                <w:snapToGrid w:val="0"/>
                <w:color w:val="auto"/>
                <w:spacing w:val="-6"/>
                <w:kern w:val="21"/>
                <w:szCs w:val="21"/>
                <w:lang w:bidi="ar-SA"/>
              </w:rPr>
              <w:fldChar w:fldCharType="end"/>
            </w:r>
          </w:p>
        </w:tc>
        <w:tc>
          <w:tcPr>
            <w:tcW w:w="1276" w:type="dxa"/>
            <w:noWrap w:val="0"/>
            <w:tcMar>
              <w:left w:w="28" w:type="dxa"/>
              <w:right w:w="28" w:type="dxa"/>
            </w:tcMar>
            <w:vAlign w:val="center"/>
          </w:tcPr>
          <w:p>
            <w:pPr>
              <w:pStyle w:val="45"/>
              <w:spacing w:before="10" w:beforeLines="0" w:after="10" w:afterLines="0" w:line="240" w:lineRule="auto"/>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现有工程</w:t>
            </w:r>
          </w:p>
          <w:p>
            <w:pPr>
              <w:pStyle w:val="45"/>
              <w:spacing w:before="10" w:beforeLines="0" w:after="10" w:afterLines="0" w:line="240" w:lineRule="auto"/>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许可排放量</w:t>
            </w:r>
          </w:p>
          <w:p>
            <w:pPr>
              <w:pStyle w:val="45"/>
              <w:spacing w:before="10" w:beforeLines="0" w:after="10" w:afterLines="0"/>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fldChar w:fldCharType="begin"/>
            </w:r>
            <w:r>
              <w:rPr>
                <w:rFonts w:hint="default" w:ascii="Times New Roman" w:hAnsi="Times New Roman" w:eastAsia="黑体" w:cs="Times New Roman"/>
                <w:snapToGrid w:val="0"/>
                <w:color w:val="auto"/>
                <w:spacing w:val="-6"/>
                <w:kern w:val="21"/>
                <w:szCs w:val="21"/>
                <w:lang w:bidi="ar-SA"/>
              </w:rPr>
              <w:instrText xml:space="preserve"> = 2 \* GB3 \* MERGEFORMAT </w:instrText>
            </w:r>
            <w:r>
              <w:rPr>
                <w:rFonts w:hint="default" w:ascii="Times New Roman" w:hAnsi="Times New Roman" w:eastAsia="黑体" w:cs="Times New Roman"/>
                <w:snapToGrid w:val="0"/>
                <w:color w:val="auto"/>
                <w:spacing w:val="-6"/>
                <w:kern w:val="21"/>
                <w:szCs w:val="21"/>
                <w:lang w:bidi="ar-SA"/>
              </w:rPr>
              <w:fldChar w:fldCharType="separate"/>
            </w:r>
            <w:r>
              <w:rPr>
                <w:rFonts w:hint="default" w:ascii="Times New Roman" w:hAnsi="Times New Roman" w:eastAsia="黑体" w:cs="Times New Roman"/>
                <w:snapToGrid w:val="0"/>
                <w:color w:val="auto"/>
                <w:spacing w:val="-6"/>
                <w:kern w:val="21"/>
                <w:szCs w:val="21"/>
                <w:lang w:bidi="ar-SA"/>
              </w:rPr>
              <w:t>②</w:t>
            </w:r>
            <w:r>
              <w:rPr>
                <w:rFonts w:hint="default" w:ascii="Times New Roman" w:hAnsi="Times New Roman" w:eastAsia="黑体" w:cs="Times New Roman"/>
                <w:snapToGrid w:val="0"/>
                <w:color w:val="auto"/>
                <w:spacing w:val="-6"/>
                <w:kern w:val="21"/>
                <w:szCs w:val="21"/>
                <w:lang w:bidi="ar-SA"/>
              </w:rPr>
              <w:fldChar w:fldCharType="end"/>
            </w:r>
          </w:p>
        </w:tc>
        <w:tc>
          <w:tcPr>
            <w:tcW w:w="1701" w:type="dxa"/>
            <w:noWrap w:val="0"/>
            <w:tcMar>
              <w:left w:w="28" w:type="dxa"/>
              <w:right w:w="28" w:type="dxa"/>
            </w:tcMar>
            <w:vAlign w:val="center"/>
          </w:tcPr>
          <w:p>
            <w:pPr>
              <w:pStyle w:val="45"/>
              <w:spacing w:before="10" w:beforeLines="0" w:after="10" w:afterLines="0" w:line="240" w:lineRule="auto"/>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在建工程</w:t>
            </w:r>
          </w:p>
          <w:p>
            <w:pPr>
              <w:pStyle w:val="45"/>
              <w:spacing w:before="10" w:beforeLines="0" w:after="10" w:afterLines="0" w:line="240" w:lineRule="auto"/>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排放量（固体废物产生量）</w:t>
            </w:r>
            <w:r>
              <w:rPr>
                <w:rFonts w:hint="default" w:ascii="Times New Roman" w:hAnsi="Times New Roman" w:eastAsia="黑体" w:cs="Times New Roman"/>
                <w:snapToGrid w:val="0"/>
                <w:color w:val="auto"/>
                <w:spacing w:val="-6"/>
                <w:kern w:val="21"/>
                <w:szCs w:val="21"/>
                <w:lang w:bidi="ar-SA"/>
              </w:rPr>
              <w:fldChar w:fldCharType="begin"/>
            </w:r>
            <w:r>
              <w:rPr>
                <w:rFonts w:hint="default" w:ascii="Times New Roman" w:hAnsi="Times New Roman" w:eastAsia="黑体" w:cs="Times New Roman"/>
                <w:snapToGrid w:val="0"/>
                <w:color w:val="auto"/>
                <w:spacing w:val="-6"/>
                <w:kern w:val="21"/>
                <w:szCs w:val="21"/>
                <w:lang w:bidi="ar-SA"/>
              </w:rPr>
              <w:instrText xml:space="preserve"> = 3 \* GB3 \* MERGEFORMAT </w:instrText>
            </w:r>
            <w:r>
              <w:rPr>
                <w:rFonts w:hint="default" w:ascii="Times New Roman" w:hAnsi="Times New Roman" w:eastAsia="黑体" w:cs="Times New Roman"/>
                <w:snapToGrid w:val="0"/>
                <w:color w:val="auto"/>
                <w:spacing w:val="-6"/>
                <w:kern w:val="21"/>
                <w:szCs w:val="21"/>
                <w:lang w:bidi="ar-SA"/>
              </w:rPr>
              <w:fldChar w:fldCharType="separate"/>
            </w:r>
            <w:r>
              <w:rPr>
                <w:rFonts w:hint="default" w:ascii="Times New Roman" w:hAnsi="Times New Roman" w:eastAsia="黑体" w:cs="Times New Roman"/>
                <w:color w:val="auto"/>
                <w:kern w:val="2"/>
                <w:szCs w:val="21"/>
                <w:lang w:bidi="ar-SA"/>
              </w:rPr>
              <w:t>③</w:t>
            </w:r>
            <w:r>
              <w:rPr>
                <w:rFonts w:hint="default" w:ascii="Times New Roman" w:hAnsi="Times New Roman" w:eastAsia="黑体" w:cs="Times New Roman"/>
                <w:snapToGrid w:val="0"/>
                <w:color w:val="auto"/>
                <w:spacing w:val="-6"/>
                <w:kern w:val="21"/>
                <w:szCs w:val="21"/>
                <w:lang w:bidi="ar-SA"/>
              </w:rPr>
              <w:fldChar w:fldCharType="end"/>
            </w:r>
          </w:p>
        </w:tc>
        <w:tc>
          <w:tcPr>
            <w:tcW w:w="1559" w:type="dxa"/>
            <w:noWrap w:val="0"/>
            <w:tcMar>
              <w:left w:w="28" w:type="dxa"/>
              <w:right w:w="28" w:type="dxa"/>
            </w:tcMar>
            <w:vAlign w:val="center"/>
          </w:tcPr>
          <w:p>
            <w:pPr>
              <w:pStyle w:val="45"/>
              <w:spacing w:before="10" w:beforeLines="0" w:after="10" w:afterLines="0" w:line="240" w:lineRule="auto"/>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本项目</w:t>
            </w:r>
          </w:p>
          <w:p>
            <w:pPr>
              <w:pStyle w:val="45"/>
              <w:spacing w:before="10" w:beforeLines="0" w:after="10" w:afterLines="0" w:line="240" w:lineRule="auto"/>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排放量（固体废物产生量）</w:t>
            </w:r>
            <w:r>
              <w:rPr>
                <w:rFonts w:hint="default" w:ascii="Times New Roman" w:hAnsi="Times New Roman" w:eastAsia="黑体" w:cs="Times New Roman"/>
                <w:snapToGrid w:val="0"/>
                <w:color w:val="auto"/>
                <w:spacing w:val="-6"/>
                <w:kern w:val="21"/>
                <w:szCs w:val="21"/>
                <w:lang w:bidi="ar-SA"/>
              </w:rPr>
              <w:fldChar w:fldCharType="begin"/>
            </w:r>
            <w:r>
              <w:rPr>
                <w:rFonts w:hint="default" w:ascii="Times New Roman" w:hAnsi="Times New Roman" w:eastAsia="黑体" w:cs="Times New Roman"/>
                <w:snapToGrid w:val="0"/>
                <w:color w:val="auto"/>
                <w:spacing w:val="-6"/>
                <w:kern w:val="21"/>
                <w:szCs w:val="21"/>
                <w:lang w:bidi="ar-SA"/>
              </w:rPr>
              <w:instrText xml:space="preserve"> = 4 \* GB3 \* MERGEFORMAT </w:instrText>
            </w:r>
            <w:r>
              <w:rPr>
                <w:rFonts w:hint="default" w:ascii="Times New Roman" w:hAnsi="Times New Roman" w:eastAsia="黑体" w:cs="Times New Roman"/>
                <w:snapToGrid w:val="0"/>
                <w:color w:val="auto"/>
                <w:spacing w:val="-6"/>
                <w:kern w:val="21"/>
                <w:szCs w:val="21"/>
                <w:lang w:bidi="ar-SA"/>
              </w:rPr>
              <w:fldChar w:fldCharType="separate"/>
            </w:r>
            <w:r>
              <w:rPr>
                <w:rFonts w:hint="default" w:ascii="Times New Roman" w:hAnsi="Times New Roman" w:eastAsia="黑体" w:cs="Times New Roman"/>
                <w:color w:val="auto"/>
                <w:kern w:val="2"/>
                <w:szCs w:val="21"/>
                <w:lang w:bidi="ar-SA"/>
              </w:rPr>
              <w:t>④</w:t>
            </w:r>
            <w:r>
              <w:rPr>
                <w:rFonts w:hint="default" w:ascii="Times New Roman" w:hAnsi="Times New Roman" w:eastAsia="黑体" w:cs="Times New Roman"/>
                <w:snapToGrid w:val="0"/>
                <w:color w:val="auto"/>
                <w:spacing w:val="-6"/>
                <w:kern w:val="21"/>
                <w:szCs w:val="21"/>
                <w:lang w:bidi="ar-SA"/>
              </w:rPr>
              <w:fldChar w:fldCharType="end"/>
            </w:r>
          </w:p>
        </w:tc>
        <w:tc>
          <w:tcPr>
            <w:tcW w:w="1761" w:type="dxa"/>
            <w:noWrap w:val="0"/>
            <w:tcMar>
              <w:left w:w="28" w:type="dxa"/>
              <w:right w:w="28" w:type="dxa"/>
            </w:tcMar>
            <w:vAlign w:val="center"/>
          </w:tcPr>
          <w:p>
            <w:pPr>
              <w:pStyle w:val="45"/>
              <w:spacing w:before="10" w:beforeLines="0" w:after="10" w:afterLines="0" w:line="240" w:lineRule="auto"/>
              <w:rPr>
                <w:rFonts w:hint="default" w:ascii="Times New Roman" w:hAnsi="Times New Roman" w:eastAsia="黑体" w:cs="Times New Roman"/>
                <w:snapToGrid w:val="0"/>
                <w:color w:val="auto"/>
                <w:spacing w:val="-16"/>
                <w:kern w:val="21"/>
                <w:szCs w:val="21"/>
                <w:lang w:bidi="ar-SA"/>
              </w:rPr>
            </w:pPr>
            <w:r>
              <w:rPr>
                <w:rFonts w:hint="default" w:ascii="Times New Roman" w:hAnsi="Times New Roman" w:eastAsia="黑体" w:cs="Times New Roman"/>
                <w:snapToGrid w:val="0"/>
                <w:color w:val="auto"/>
                <w:spacing w:val="-16"/>
                <w:kern w:val="21"/>
                <w:szCs w:val="21"/>
                <w:lang w:bidi="ar-SA"/>
              </w:rPr>
              <w:t>以新带老削减量</w:t>
            </w:r>
          </w:p>
          <w:p>
            <w:pPr>
              <w:pStyle w:val="45"/>
              <w:spacing w:before="10" w:beforeLines="0" w:after="10" w:afterLines="0" w:line="240" w:lineRule="auto"/>
              <w:rPr>
                <w:rFonts w:hint="default" w:ascii="Times New Roman" w:hAnsi="Times New Roman" w:eastAsia="黑体" w:cs="Times New Roman"/>
                <w:snapToGrid w:val="0"/>
                <w:color w:val="auto"/>
                <w:spacing w:val="-16"/>
                <w:kern w:val="21"/>
                <w:szCs w:val="21"/>
                <w:lang w:bidi="ar-SA"/>
              </w:rPr>
            </w:pPr>
            <w:r>
              <w:rPr>
                <w:rFonts w:hint="default" w:ascii="Times New Roman" w:hAnsi="Times New Roman" w:eastAsia="黑体" w:cs="Times New Roman"/>
                <w:snapToGrid w:val="0"/>
                <w:color w:val="auto"/>
                <w:spacing w:val="-16"/>
                <w:kern w:val="21"/>
                <w:szCs w:val="21"/>
                <w:lang w:bidi="ar-SA"/>
              </w:rPr>
              <w:t>（新建项目不填）</w:t>
            </w:r>
            <w:r>
              <w:rPr>
                <w:rFonts w:hint="default" w:ascii="Times New Roman" w:hAnsi="Times New Roman" w:eastAsia="黑体" w:cs="Times New Roman"/>
                <w:snapToGrid w:val="0"/>
                <w:color w:val="auto"/>
                <w:spacing w:val="-16"/>
                <w:kern w:val="21"/>
                <w:szCs w:val="21"/>
                <w:lang w:bidi="ar-SA"/>
              </w:rPr>
              <w:fldChar w:fldCharType="begin"/>
            </w:r>
            <w:r>
              <w:rPr>
                <w:rFonts w:hint="default" w:ascii="Times New Roman" w:hAnsi="Times New Roman" w:eastAsia="黑体" w:cs="Times New Roman"/>
                <w:snapToGrid w:val="0"/>
                <w:color w:val="auto"/>
                <w:spacing w:val="-16"/>
                <w:kern w:val="21"/>
                <w:szCs w:val="21"/>
                <w:lang w:bidi="ar-SA"/>
              </w:rPr>
              <w:instrText xml:space="preserve"> = 5 \* GB3 \* MERGEFORMAT </w:instrText>
            </w:r>
            <w:r>
              <w:rPr>
                <w:rFonts w:hint="default" w:ascii="Times New Roman" w:hAnsi="Times New Roman" w:eastAsia="黑体" w:cs="Times New Roman"/>
                <w:snapToGrid w:val="0"/>
                <w:color w:val="auto"/>
                <w:spacing w:val="-16"/>
                <w:kern w:val="21"/>
                <w:szCs w:val="21"/>
                <w:lang w:bidi="ar-SA"/>
              </w:rPr>
              <w:fldChar w:fldCharType="separate"/>
            </w:r>
            <w:r>
              <w:rPr>
                <w:rFonts w:hint="default" w:ascii="Times New Roman" w:hAnsi="Times New Roman" w:eastAsia="黑体" w:cs="Times New Roman"/>
                <w:color w:val="auto"/>
                <w:kern w:val="2"/>
                <w:szCs w:val="21"/>
                <w:lang w:bidi="ar-SA"/>
              </w:rPr>
              <w:t>⑤</w:t>
            </w:r>
            <w:r>
              <w:rPr>
                <w:rFonts w:hint="default" w:ascii="Times New Roman" w:hAnsi="Times New Roman" w:eastAsia="黑体" w:cs="Times New Roman"/>
                <w:snapToGrid w:val="0"/>
                <w:color w:val="auto"/>
                <w:spacing w:val="-16"/>
                <w:kern w:val="21"/>
                <w:szCs w:val="21"/>
                <w:lang w:bidi="ar-SA"/>
              </w:rPr>
              <w:fldChar w:fldCharType="end"/>
            </w:r>
          </w:p>
        </w:tc>
        <w:tc>
          <w:tcPr>
            <w:tcW w:w="1661" w:type="dxa"/>
            <w:noWrap w:val="0"/>
            <w:tcMar>
              <w:left w:w="28" w:type="dxa"/>
              <w:right w:w="28" w:type="dxa"/>
            </w:tcMar>
            <w:vAlign w:val="center"/>
          </w:tcPr>
          <w:p>
            <w:pPr>
              <w:pStyle w:val="45"/>
              <w:spacing w:before="10" w:beforeLines="0" w:after="10" w:afterLines="0" w:line="240" w:lineRule="auto"/>
              <w:rPr>
                <w:rFonts w:hint="default" w:ascii="Times New Roman" w:hAnsi="Times New Roman" w:eastAsia="黑体" w:cs="Times New Roman"/>
                <w:snapToGrid w:val="0"/>
                <w:color w:val="auto"/>
                <w:spacing w:val="-16"/>
                <w:kern w:val="21"/>
                <w:szCs w:val="21"/>
                <w:lang w:bidi="ar-SA"/>
              </w:rPr>
            </w:pPr>
            <w:r>
              <w:rPr>
                <w:rFonts w:hint="default" w:ascii="Times New Roman" w:hAnsi="Times New Roman" w:eastAsia="黑体" w:cs="Times New Roman"/>
                <w:snapToGrid w:val="0"/>
                <w:color w:val="auto"/>
                <w:spacing w:val="-16"/>
                <w:kern w:val="21"/>
                <w:szCs w:val="21"/>
                <w:lang w:bidi="ar-SA"/>
              </w:rPr>
              <w:t>本项目建成后</w:t>
            </w:r>
          </w:p>
          <w:p>
            <w:pPr>
              <w:pStyle w:val="45"/>
              <w:spacing w:before="10" w:beforeLines="0" w:after="10" w:afterLines="0" w:line="240" w:lineRule="auto"/>
              <w:rPr>
                <w:rFonts w:hint="default" w:ascii="Times New Roman" w:hAnsi="Times New Roman" w:eastAsia="黑体" w:cs="Times New Roman"/>
                <w:snapToGrid w:val="0"/>
                <w:color w:val="auto"/>
                <w:spacing w:val="-16"/>
                <w:kern w:val="21"/>
                <w:szCs w:val="21"/>
                <w:lang w:bidi="ar-SA"/>
              </w:rPr>
            </w:pPr>
            <w:r>
              <w:rPr>
                <w:rFonts w:hint="default" w:ascii="Times New Roman" w:hAnsi="Times New Roman" w:eastAsia="黑体" w:cs="Times New Roman"/>
                <w:snapToGrid w:val="0"/>
                <w:color w:val="auto"/>
                <w:spacing w:val="-16"/>
                <w:kern w:val="21"/>
                <w:szCs w:val="21"/>
                <w:lang w:bidi="ar-SA"/>
              </w:rPr>
              <w:t>全厂排放量（固体废物产生量）</w:t>
            </w:r>
            <w:r>
              <w:rPr>
                <w:rFonts w:hint="default" w:ascii="Times New Roman" w:hAnsi="Times New Roman" w:eastAsia="黑体" w:cs="Times New Roman"/>
                <w:snapToGrid w:val="0"/>
                <w:color w:val="auto"/>
                <w:spacing w:val="-16"/>
                <w:kern w:val="21"/>
                <w:szCs w:val="21"/>
                <w:lang w:bidi="ar-SA"/>
              </w:rPr>
              <w:fldChar w:fldCharType="begin"/>
            </w:r>
            <w:r>
              <w:rPr>
                <w:rFonts w:hint="default" w:ascii="Times New Roman" w:hAnsi="Times New Roman" w:eastAsia="黑体" w:cs="Times New Roman"/>
                <w:snapToGrid w:val="0"/>
                <w:color w:val="auto"/>
                <w:spacing w:val="-16"/>
                <w:kern w:val="21"/>
                <w:szCs w:val="21"/>
                <w:lang w:bidi="ar-SA"/>
              </w:rPr>
              <w:instrText xml:space="preserve"> = 6 \* GB3 \* MERGEFORMAT </w:instrText>
            </w:r>
            <w:r>
              <w:rPr>
                <w:rFonts w:hint="default" w:ascii="Times New Roman" w:hAnsi="Times New Roman" w:eastAsia="黑体" w:cs="Times New Roman"/>
                <w:snapToGrid w:val="0"/>
                <w:color w:val="auto"/>
                <w:spacing w:val="-16"/>
                <w:kern w:val="21"/>
                <w:szCs w:val="21"/>
                <w:lang w:bidi="ar-SA"/>
              </w:rPr>
              <w:fldChar w:fldCharType="separate"/>
            </w:r>
            <w:r>
              <w:rPr>
                <w:rFonts w:hint="default" w:ascii="Times New Roman" w:hAnsi="Times New Roman" w:eastAsia="黑体" w:cs="Times New Roman"/>
                <w:color w:val="auto"/>
                <w:kern w:val="2"/>
                <w:szCs w:val="21"/>
                <w:lang w:bidi="ar-SA"/>
              </w:rPr>
              <w:t>⑥</w:t>
            </w:r>
            <w:r>
              <w:rPr>
                <w:rFonts w:hint="default" w:ascii="Times New Roman" w:hAnsi="Times New Roman" w:eastAsia="黑体" w:cs="Times New Roman"/>
                <w:snapToGrid w:val="0"/>
                <w:color w:val="auto"/>
                <w:spacing w:val="-16"/>
                <w:kern w:val="21"/>
                <w:szCs w:val="21"/>
                <w:lang w:bidi="ar-SA"/>
              </w:rPr>
              <w:fldChar w:fldCharType="end"/>
            </w:r>
          </w:p>
        </w:tc>
        <w:tc>
          <w:tcPr>
            <w:tcW w:w="1124" w:type="dxa"/>
            <w:noWrap w:val="0"/>
            <w:tcMar>
              <w:left w:w="28" w:type="dxa"/>
              <w:right w:w="28" w:type="dxa"/>
            </w:tcMar>
            <w:vAlign w:val="center"/>
          </w:tcPr>
          <w:p>
            <w:pPr>
              <w:pStyle w:val="45"/>
              <w:spacing w:before="10" w:beforeLines="0" w:after="10" w:afterLines="0" w:line="240" w:lineRule="auto"/>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t>变化量</w:t>
            </w:r>
          </w:p>
          <w:p>
            <w:pPr>
              <w:pStyle w:val="45"/>
              <w:spacing w:before="10" w:beforeLines="0" w:after="10" w:afterLines="0" w:line="240" w:lineRule="auto"/>
              <w:rPr>
                <w:rFonts w:hint="default" w:ascii="Times New Roman" w:hAnsi="Times New Roman" w:eastAsia="黑体" w:cs="Times New Roman"/>
                <w:snapToGrid w:val="0"/>
                <w:color w:val="auto"/>
                <w:spacing w:val="-6"/>
                <w:kern w:val="21"/>
                <w:szCs w:val="21"/>
                <w:lang w:bidi="ar-SA"/>
              </w:rPr>
            </w:pPr>
            <w:r>
              <w:rPr>
                <w:rFonts w:hint="default" w:ascii="Times New Roman" w:hAnsi="Times New Roman" w:eastAsia="黑体" w:cs="Times New Roman"/>
                <w:snapToGrid w:val="0"/>
                <w:color w:val="auto"/>
                <w:spacing w:val="-6"/>
                <w:kern w:val="21"/>
                <w:szCs w:val="21"/>
                <w:lang w:bidi="ar-SA"/>
              </w:rPr>
              <w:fldChar w:fldCharType="begin"/>
            </w:r>
            <w:r>
              <w:rPr>
                <w:rFonts w:hint="default" w:ascii="Times New Roman" w:hAnsi="Times New Roman" w:eastAsia="黑体" w:cs="Times New Roman"/>
                <w:snapToGrid w:val="0"/>
                <w:color w:val="auto"/>
                <w:spacing w:val="-6"/>
                <w:kern w:val="21"/>
                <w:szCs w:val="21"/>
                <w:lang w:bidi="ar-SA"/>
              </w:rPr>
              <w:instrText xml:space="preserve"> = 7 \* GB3 \* MERGEFORMAT </w:instrText>
            </w:r>
            <w:r>
              <w:rPr>
                <w:rFonts w:hint="default" w:ascii="Times New Roman" w:hAnsi="Times New Roman" w:eastAsia="黑体" w:cs="Times New Roman"/>
                <w:snapToGrid w:val="0"/>
                <w:color w:val="auto"/>
                <w:spacing w:val="-6"/>
                <w:kern w:val="21"/>
                <w:szCs w:val="21"/>
                <w:lang w:bidi="ar-SA"/>
              </w:rPr>
              <w:fldChar w:fldCharType="separate"/>
            </w:r>
            <w:r>
              <w:rPr>
                <w:rFonts w:hint="default" w:ascii="Times New Roman" w:hAnsi="Times New Roman" w:eastAsia="黑体" w:cs="Times New Roman"/>
                <w:color w:val="auto"/>
                <w:kern w:val="2"/>
                <w:szCs w:val="21"/>
                <w:lang w:bidi="ar-SA"/>
              </w:rPr>
              <w:t>⑦</w:t>
            </w:r>
            <w:r>
              <w:rPr>
                <w:rFonts w:hint="default" w:ascii="Times New Roman" w:hAnsi="Times New Roman" w:eastAsia="黑体" w:cs="Times New Roman"/>
                <w:snapToGrid w:val="0"/>
                <w:color w:val="auto"/>
                <w:spacing w:val="-6"/>
                <w:kern w:val="21"/>
                <w:szCs w:val="21"/>
                <w:lang w:bidi="ar-SA"/>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88" w:type="dxa"/>
            <w:vMerge w:val="restart"/>
            <w:noWrap w:val="0"/>
            <w:vAlign w:val="center"/>
          </w:tcPr>
          <w:p>
            <w:pPr>
              <w:pStyle w:val="45"/>
              <w:spacing w:before="10" w:beforeLines="0" w:after="10" w:afterLines="0" w:line="240" w:lineRule="auto"/>
              <w:jc w:val="center"/>
              <w:rPr>
                <w:rFonts w:hint="default" w:ascii="Times New Roman" w:hAnsi="Times New Roman" w:cs="Times New Roman"/>
                <w:snapToGrid w:val="0"/>
                <w:color w:val="auto"/>
                <w:kern w:val="21"/>
                <w:szCs w:val="21"/>
                <w:lang w:bidi="ar-SA"/>
              </w:rPr>
            </w:pPr>
            <w:r>
              <w:rPr>
                <w:rFonts w:hint="default" w:ascii="Times New Roman" w:hAnsi="Times New Roman" w:cs="Times New Roman"/>
                <w:snapToGrid w:val="0"/>
                <w:color w:val="auto"/>
                <w:kern w:val="21"/>
                <w:szCs w:val="21"/>
                <w:lang w:bidi="ar-SA"/>
              </w:rPr>
              <w:t>废气</w:t>
            </w:r>
          </w:p>
        </w:tc>
        <w:tc>
          <w:tcPr>
            <w:tcW w:w="1417" w:type="dxa"/>
            <w:noWrap w:val="0"/>
            <w:vAlign w:val="center"/>
          </w:tcPr>
          <w:p>
            <w:pPr>
              <w:pStyle w:val="45"/>
              <w:spacing w:before="10" w:beforeLines="0" w:after="10" w:afterLines="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cs="Times New Roman"/>
                <w:snapToGrid w:val="0"/>
                <w:color w:val="auto"/>
                <w:kern w:val="21"/>
                <w:szCs w:val="21"/>
                <w:lang w:val="en-US" w:eastAsia="zh-CN" w:bidi="ar-SA"/>
              </w:rPr>
              <w:t>颗粒物</w:t>
            </w:r>
          </w:p>
        </w:tc>
        <w:tc>
          <w:tcPr>
            <w:tcW w:w="1701" w:type="dxa"/>
            <w:noWrap w:val="0"/>
            <w:vAlign w:val="center"/>
          </w:tcPr>
          <w:p>
            <w:pPr>
              <w:spacing w:after="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276" w:type="dxa"/>
            <w:noWrap w:val="0"/>
            <w:vAlign w:val="center"/>
          </w:tcPr>
          <w:p>
            <w:pPr>
              <w:spacing w:after="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701" w:type="dxa"/>
            <w:noWrap w:val="0"/>
            <w:vAlign w:val="center"/>
          </w:tcPr>
          <w:p>
            <w:pPr>
              <w:spacing w:after="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559" w:type="dxa"/>
            <w:noWrap w:val="0"/>
            <w:vAlign w:val="center"/>
          </w:tcPr>
          <w:p>
            <w:pPr>
              <w:spacing w:after="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cs="Times New Roman"/>
                <w:snapToGrid w:val="0"/>
                <w:color w:val="auto"/>
                <w:kern w:val="21"/>
                <w:szCs w:val="21"/>
                <w:lang w:val="en-US" w:eastAsia="zh-CN" w:bidi="ar-SA"/>
              </w:rPr>
              <w:t>0.784</w:t>
            </w:r>
          </w:p>
        </w:tc>
        <w:tc>
          <w:tcPr>
            <w:tcW w:w="1761" w:type="dxa"/>
            <w:noWrap w:val="0"/>
            <w:vAlign w:val="center"/>
          </w:tcPr>
          <w:p>
            <w:pPr>
              <w:spacing w:before="10" w:beforeLines="0" w:after="10" w:afterLines="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661" w:type="dxa"/>
            <w:noWrap w:val="0"/>
            <w:vAlign w:val="center"/>
          </w:tcPr>
          <w:p>
            <w:pPr>
              <w:spacing w:after="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cs="Times New Roman"/>
                <w:snapToGrid w:val="0"/>
                <w:color w:val="auto"/>
                <w:kern w:val="21"/>
                <w:szCs w:val="21"/>
                <w:lang w:val="en-US" w:eastAsia="zh-CN" w:bidi="ar-SA"/>
              </w:rPr>
              <w:t>0.784</w:t>
            </w:r>
          </w:p>
        </w:tc>
        <w:tc>
          <w:tcPr>
            <w:tcW w:w="1124" w:type="dxa"/>
            <w:noWrap w:val="0"/>
            <w:vAlign w:val="center"/>
          </w:tcPr>
          <w:p>
            <w:pPr>
              <w:spacing w:after="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88" w:type="dxa"/>
            <w:vMerge w:val="continue"/>
            <w:noWrap w:val="0"/>
            <w:vAlign w:val="center"/>
          </w:tcPr>
          <w:p>
            <w:pPr>
              <w:pStyle w:val="45"/>
              <w:spacing w:before="10" w:beforeLines="0" w:after="10" w:afterLines="0" w:line="240" w:lineRule="auto"/>
              <w:jc w:val="center"/>
              <w:rPr>
                <w:rFonts w:hint="default" w:ascii="Times New Roman" w:hAnsi="Times New Roman" w:cs="Times New Roman"/>
                <w:snapToGrid w:val="0"/>
                <w:color w:val="auto"/>
                <w:kern w:val="21"/>
                <w:szCs w:val="21"/>
                <w:lang w:bidi="ar-SA"/>
              </w:rPr>
            </w:pPr>
          </w:p>
        </w:tc>
        <w:tc>
          <w:tcPr>
            <w:tcW w:w="1417"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1701" w:type="dxa"/>
            <w:noWrap w:val="0"/>
            <w:vAlign w:val="center"/>
          </w:tcPr>
          <w:p>
            <w:pPr>
              <w:spacing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276" w:type="dxa"/>
            <w:noWrap w:val="0"/>
            <w:vAlign w:val="center"/>
          </w:tcPr>
          <w:p>
            <w:pPr>
              <w:spacing w:after="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701" w:type="dxa"/>
            <w:noWrap w:val="0"/>
            <w:vAlign w:val="center"/>
          </w:tcPr>
          <w:p>
            <w:pPr>
              <w:spacing w:after="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55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0.442</w:t>
            </w:r>
          </w:p>
        </w:tc>
        <w:tc>
          <w:tcPr>
            <w:tcW w:w="1761" w:type="dxa"/>
            <w:noWrap w:val="0"/>
            <w:vAlign w:val="center"/>
          </w:tcPr>
          <w:p>
            <w:pPr>
              <w:spacing w:before="10" w:beforeLines="0" w:after="10" w:afterLines="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661"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0.442</w:t>
            </w:r>
          </w:p>
        </w:tc>
        <w:tc>
          <w:tcPr>
            <w:tcW w:w="1124" w:type="dxa"/>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588" w:type="dxa"/>
            <w:vMerge w:val="restart"/>
            <w:noWrap w:val="0"/>
            <w:vAlign w:val="center"/>
          </w:tcPr>
          <w:p>
            <w:pPr>
              <w:pStyle w:val="45"/>
              <w:spacing w:before="10" w:beforeLines="0" w:after="10" w:afterLines="0" w:line="240" w:lineRule="auto"/>
              <w:jc w:val="center"/>
              <w:rPr>
                <w:rFonts w:hint="default" w:ascii="Times New Roman" w:hAnsi="Times New Roman" w:cs="Times New Roman"/>
                <w:snapToGrid w:val="0"/>
                <w:color w:val="auto"/>
                <w:kern w:val="21"/>
                <w:szCs w:val="21"/>
                <w:lang w:bidi="ar-SA"/>
              </w:rPr>
            </w:pPr>
            <w:r>
              <w:rPr>
                <w:rFonts w:hint="default" w:ascii="Times New Roman" w:hAnsi="Times New Roman" w:cs="Times New Roman"/>
                <w:snapToGrid w:val="0"/>
                <w:color w:val="auto"/>
                <w:kern w:val="21"/>
                <w:szCs w:val="21"/>
                <w:lang w:bidi="ar-SA"/>
              </w:rPr>
              <w:t>废水</w:t>
            </w:r>
          </w:p>
        </w:tc>
        <w:tc>
          <w:tcPr>
            <w:tcW w:w="1417" w:type="dxa"/>
            <w:noWrap w:val="0"/>
            <w:vAlign w:val="center"/>
          </w:tcPr>
          <w:p>
            <w:pPr>
              <w:pStyle w:val="45"/>
              <w:spacing w:before="10" w:beforeLines="0" w:after="10" w:afterLines="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CODcr</w:t>
            </w:r>
          </w:p>
        </w:tc>
        <w:tc>
          <w:tcPr>
            <w:tcW w:w="1701" w:type="dxa"/>
            <w:noWrap w:val="0"/>
            <w:vAlign w:val="center"/>
          </w:tcPr>
          <w:p>
            <w:pPr>
              <w:spacing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276" w:type="dxa"/>
            <w:noWrap w:val="0"/>
            <w:vAlign w:val="center"/>
          </w:tcPr>
          <w:p>
            <w:pPr>
              <w:spacing w:after="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701" w:type="dxa"/>
            <w:noWrap w:val="0"/>
            <w:vAlign w:val="center"/>
          </w:tcPr>
          <w:p>
            <w:pPr>
              <w:spacing w:after="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559" w:type="dxa"/>
            <w:noWrap w:val="0"/>
            <w:vAlign w:val="center"/>
          </w:tcPr>
          <w:p>
            <w:pPr>
              <w:pStyle w:val="45"/>
              <w:spacing w:before="10" w:beforeLines="0" w:after="10" w:afterLines="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0.054</w:t>
            </w:r>
          </w:p>
        </w:tc>
        <w:tc>
          <w:tcPr>
            <w:tcW w:w="1761" w:type="dxa"/>
            <w:noWrap w:val="0"/>
            <w:vAlign w:val="center"/>
          </w:tcPr>
          <w:p>
            <w:pPr>
              <w:pStyle w:val="45"/>
              <w:spacing w:before="10" w:beforeLines="0" w:after="10" w:afterLines="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661" w:type="dxa"/>
            <w:noWrap w:val="0"/>
            <w:vAlign w:val="center"/>
          </w:tcPr>
          <w:p>
            <w:pPr>
              <w:pStyle w:val="45"/>
              <w:spacing w:before="10" w:beforeLines="0" w:after="10" w:afterLines="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0.054</w:t>
            </w:r>
          </w:p>
        </w:tc>
        <w:tc>
          <w:tcPr>
            <w:tcW w:w="1124" w:type="dxa"/>
            <w:noWrap w:val="0"/>
            <w:vAlign w:val="center"/>
          </w:tcPr>
          <w:p>
            <w:pPr>
              <w:spacing w:after="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588" w:type="dxa"/>
            <w:vMerge w:val="continue"/>
            <w:noWrap w:val="0"/>
            <w:vAlign w:val="center"/>
          </w:tcPr>
          <w:p>
            <w:pPr>
              <w:jc w:val="center"/>
              <w:rPr>
                <w:color w:val="auto"/>
              </w:rPr>
            </w:pPr>
          </w:p>
        </w:tc>
        <w:tc>
          <w:tcPr>
            <w:tcW w:w="1417" w:type="dxa"/>
            <w:noWrap w:val="0"/>
            <w:vAlign w:val="center"/>
          </w:tcPr>
          <w:p>
            <w:pPr>
              <w:pStyle w:val="45"/>
              <w:spacing w:before="10" w:beforeLines="0" w:after="10" w:afterLines="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NH</w:t>
            </w:r>
            <w:r>
              <w:rPr>
                <w:rFonts w:hint="eastAsia" w:ascii="Times New Roman" w:hAnsi="Times New Roman" w:cs="Times New Roman"/>
                <w:snapToGrid w:val="0"/>
                <w:color w:val="auto"/>
                <w:kern w:val="21"/>
                <w:szCs w:val="21"/>
                <w:vertAlign w:val="subscript"/>
                <w:lang w:val="en-US" w:eastAsia="zh-CN" w:bidi="ar-SA"/>
              </w:rPr>
              <w:t>3</w:t>
            </w:r>
            <w:r>
              <w:rPr>
                <w:rFonts w:hint="eastAsia" w:ascii="Times New Roman" w:hAnsi="Times New Roman" w:cs="Times New Roman"/>
                <w:snapToGrid w:val="0"/>
                <w:color w:val="auto"/>
                <w:kern w:val="21"/>
                <w:szCs w:val="21"/>
                <w:lang w:val="en-US" w:eastAsia="zh-CN" w:bidi="ar-SA"/>
              </w:rPr>
              <w:t>-N</w:t>
            </w:r>
          </w:p>
        </w:tc>
        <w:tc>
          <w:tcPr>
            <w:tcW w:w="1701" w:type="dxa"/>
            <w:noWrap w:val="0"/>
            <w:vAlign w:val="center"/>
          </w:tcPr>
          <w:p>
            <w:pPr>
              <w:spacing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276" w:type="dxa"/>
            <w:noWrap w:val="0"/>
            <w:vAlign w:val="center"/>
          </w:tcPr>
          <w:p>
            <w:pPr>
              <w:spacing w:after="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701" w:type="dxa"/>
            <w:noWrap w:val="0"/>
            <w:vAlign w:val="center"/>
          </w:tcPr>
          <w:p>
            <w:pPr>
              <w:spacing w:after="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559" w:type="dxa"/>
            <w:noWrap w:val="0"/>
            <w:vAlign w:val="center"/>
          </w:tcPr>
          <w:p>
            <w:pPr>
              <w:pStyle w:val="45"/>
              <w:spacing w:before="10" w:beforeLines="0" w:after="10" w:afterLines="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0.0046</w:t>
            </w:r>
          </w:p>
        </w:tc>
        <w:tc>
          <w:tcPr>
            <w:tcW w:w="1761" w:type="dxa"/>
            <w:noWrap w:val="0"/>
            <w:vAlign w:val="center"/>
          </w:tcPr>
          <w:p>
            <w:pPr>
              <w:pStyle w:val="45"/>
              <w:spacing w:before="10" w:beforeLines="0" w:after="10" w:afterLines="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661" w:type="dxa"/>
            <w:noWrap w:val="0"/>
            <w:vAlign w:val="center"/>
          </w:tcPr>
          <w:p>
            <w:pPr>
              <w:pStyle w:val="45"/>
              <w:spacing w:before="10" w:beforeLines="0" w:after="10" w:afterLines="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0.0046</w:t>
            </w:r>
          </w:p>
        </w:tc>
        <w:tc>
          <w:tcPr>
            <w:tcW w:w="1124" w:type="dxa"/>
            <w:noWrap w:val="0"/>
            <w:vAlign w:val="center"/>
          </w:tcPr>
          <w:p>
            <w:pPr>
              <w:spacing w:after="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588" w:type="dxa"/>
            <w:vMerge w:val="restart"/>
            <w:noWrap w:val="0"/>
            <w:vAlign w:val="center"/>
          </w:tcPr>
          <w:p>
            <w:pPr>
              <w:pStyle w:val="45"/>
              <w:spacing w:before="10" w:beforeLines="0" w:after="10" w:afterLines="0" w:line="240" w:lineRule="auto"/>
              <w:jc w:val="center"/>
              <w:rPr>
                <w:rFonts w:hint="default" w:ascii="Times New Roman" w:hAnsi="Times New Roman" w:cs="Times New Roman"/>
                <w:snapToGrid w:val="0"/>
                <w:color w:val="auto"/>
                <w:kern w:val="21"/>
                <w:szCs w:val="21"/>
                <w:lang w:bidi="ar-SA"/>
              </w:rPr>
            </w:pPr>
            <w:r>
              <w:rPr>
                <w:rFonts w:hint="default" w:ascii="Times New Roman" w:hAnsi="Times New Roman" w:cs="Times New Roman"/>
                <w:snapToGrid w:val="0"/>
                <w:color w:val="auto"/>
                <w:kern w:val="21"/>
                <w:szCs w:val="21"/>
                <w:lang w:bidi="ar-SA"/>
              </w:rPr>
              <w:t>一般工业</w:t>
            </w:r>
          </w:p>
          <w:p>
            <w:pPr>
              <w:pStyle w:val="45"/>
              <w:spacing w:before="10" w:beforeLines="0" w:after="10" w:afterLines="0" w:line="240" w:lineRule="auto"/>
              <w:jc w:val="center"/>
              <w:rPr>
                <w:rFonts w:hint="default" w:ascii="Times New Roman" w:hAnsi="Times New Roman" w:cs="Times New Roman"/>
                <w:snapToGrid w:val="0"/>
                <w:color w:val="auto"/>
                <w:kern w:val="21"/>
                <w:szCs w:val="21"/>
                <w:lang w:bidi="ar-SA"/>
              </w:rPr>
            </w:pPr>
            <w:r>
              <w:rPr>
                <w:rFonts w:hint="default" w:ascii="Times New Roman" w:hAnsi="Times New Roman" w:cs="Times New Roman"/>
                <w:snapToGrid w:val="0"/>
                <w:color w:val="auto"/>
                <w:kern w:val="21"/>
                <w:szCs w:val="21"/>
                <w:lang w:bidi="ar-SA"/>
              </w:rPr>
              <w:t>固体废物</w:t>
            </w:r>
          </w:p>
        </w:tc>
        <w:tc>
          <w:tcPr>
            <w:tcW w:w="1417" w:type="dxa"/>
            <w:noWrap w:val="0"/>
            <w:vAlign w:val="center"/>
          </w:tcPr>
          <w:p>
            <w:pPr>
              <w:pStyle w:val="45"/>
              <w:spacing w:before="10" w:beforeLines="0" w:after="10" w:afterLines="0" w:line="240" w:lineRule="auto"/>
              <w:jc w:val="center"/>
              <w:rPr>
                <w:rFonts w:hint="eastAsia" w:ascii="Times New Roman" w:hAnsi="Times New Roman" w:eastAsia="宋体" w:cs="Times New Roman"/>
                <w:snapToGrid w:val="0"/>
                <w:color w:val="auto"/>
                <w:kern w:val="21"/>
                <w:szCs w:val="21"/>
                <w:lang w:eastAsia="zh-CN" w:bidi="ar-SA"/>
              </w:rPr>
            </w:pPr>
            <w:r>
              <w:rPr>
                <w:rFonts w:hint="eastAsia" w:ascii="Times New Roman" w:hAnsi="Times New Roman" w:cs="Times New Roman"/>
                <w:snapToGrid w:val="0"/>
                <w:color w:val="auto"/>
                <w:kern w:val="21"/>
                <w:szCs w:val="21"/>
                <w:lang w:eastAsia="zh-CN" w:bidi="ar-SA"/>
              </w:rPr>
              <w:t>生活垃圾</w:t>
            </w:r>
          </w:p>
        </w:tc>
        <w:tc>
          <w:tcPr>
            <w:tcW w:w="1701" w:type="dxa"/>
            <w:noWrap w:val="0"/>
            <w:vAlign w:val="center"/>
          </w:tcPr>
          <w:p>
            <w:pPr>
              <w:spacing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276" w:type="dxa"/>
            <w:noWrap w:val="0"/>
            <w:vAlign w:val="center"/>
          </w:tcPr>
          <w:p>
            <w:pPr>
              <w:spacing w:after="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701" w:type="dxa"/>
            <w:noWrap w:val="0"/>
            <w:vAlign w:val="center"/>
          </w:tcPr>
          <w:p>
            <w:pPr>
              <w:spacing w:after="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559" w:type="dxa"/>
            <w:noWrap w:val="0"/>
            <w:vAlign w:val="center"/>
          </w:tcPr>
          <w:p>
            <w:pPr>
              <w:pStyle w:val="45"/>
              <w:spacing w:before="10" w:beforeLines="0" w:after="10" w:afterLines="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1.2</w:t>
            </w:r>
          </w:p>
        </w:tc>
        <w:tc>
          <w:tcPr>
            <w:tcW w:w="1761" w:type="dxa"/>
            <w:noWrap w:val="0"/>
            <w:vAlign w:val="center"/>
          </w:tcPr>
          <w:p>
            <w:pPr>
              <w:pStyle w:val="45"/>
              <w:spacing w:before="10" w:beforeLines="0" w:after="10" w:afterLines="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661" w:type="dxa"/>
            <w:noWrap w:val="0"/>
            <w:vAlign w:val="center"/>
          </w:tcPr>
          <w:p>
            <w:pPr>
              <w:pStyle w:val="45"/>
              <w:spacing w:before="10" w:beforeLines="0" w:after="10" w:afterLines="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1.2</w:t>
            </w:r>
          </w:p>
        </w:tc>
        <w:tc>
          <w:tcPr>
            <w:tcW w:w="1124" w:type="dxa"/>
            <w:noWrap w:val="0"/>
            <w:vAlign w:val="center"/>
          </w:tcPr>
          <w:p>
            <w:pPr>
              <w:spacing w:after="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88" w:type="dxa"/>
            <w:vMerge w:val="continue"/>
            <w:noWrap w:val="0"/>
            <w:vAlign w:val="center"/>
          </w:tcPr>
          <w:p>
            <w:pPr>
              <w:jc w:val="center"/>
              <w:rPr>
                <w:color w:val="auto"/>
              </w:rPr>
            </w:pPr>
          </w:p>
        </w:tc>
        <w:tc>
          <w:tcPr>
            <w:tcW w:w="1417" w:type="dxa"/>
            <w:tcBorders>
              <w:bottom w:val="single" w:color="000000" w:sz="4" w:space="0"/>
            </w:tcBorders>
            <w:noWrap w:val="0"/>
            <w:vAlign w:val="center"/>
          </w:tcPr>
          <w:p>
            <w:pPr>
              <w:spacing w:line="240" w:lineRule="auto"/>
              <w:jc w:val="center"/>
              <w:rPr>
                <w:rFonts w:hint="eastAsia" w:ascii="Times New Roman" w:hAnsi="Times New Roman" w:cs="Times New Roman"/>
                <w:color w:val="auto"/>
                <w:szCs w:val="21"/>
                <w:lang w:val="en-US" w:eastAsia="zh-CN" w:bidi="ar-SA"/>
              </w:rPr>
            </w:pPr>
            <w:r>
              <w:rPr>
                <w:rFonts w:hint="eastAsia" w:ascii="Times New Roman" w:hAnsi="Times New Roman" w:eastAsia="宋体" w:cs="Times New Roman"/>
                <w:color w:val="auto"/>
                <w:lang w:val="en-US" w:eastAsia="zh-CN" w:bidi="ar-SA"/>
              </w:rPr>
              <w:t>除尘器收集粉尘</w:t>
            </w:r>
          </w:p>
        </w:tc>
        <w:tc>
          <w:tcPr>
            <w:tcW w:w="1701" w:type="dxa"/>
            <w:tcBorders>
              <w:bottom w:val="single" w:color="000000" w:sz="4" w:space="0"/>
            </w:tcBorders>
            <w:noWrap w:val="0"/>
            <w:vAlign w:val="center"/>
          </w:tcPr>
          <w:p>
            <w:pPr>
              <w:spacing w:line="240" w:lineRule="auto"/>
              <w:jc w:val="center"/>
              <w:rPr>
                <w:rFonts w:hint="default" w:ascii="Times New Roman" w:hAnsi="Times New Roman"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276" w:type="dxa"/>
            <w:tcBorders>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701" w:type="dxa"/>
            <w:tcBorders>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559" w:type="dxa"/>
            <w:tcBorders>
              <w:bottom w:val="single" w:color="000000" w:sz="4" w:space="0"/>
            </w:tcBorders>
            <w:noWrap w:val="0"/>
            <w:vAlign w:val="center"/>
          </w:tcPr>
          <w:p>
            <w:pPr>
              <w:spacing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color w:val="auto"/>
                <w:lang w:val="en-US" w:eastAsia="zh-CN" w:bidi="ar-SA"/>
              </w:rPr>
              <w:t>37.858</w:t>
            </w:r>
          </w:p>
        </w:tc>
        <w:tc>
          <w:tcPr>
            <w:tcW w:w="1761" w:type="dxa"/>
            <w:tcBorders>
              <w:bottom w:val="single" w:color="000000" w:sz="4" w:space="0"/>
            </w:tcBorders>
            <w:noWrap w:val="0"/>
            <w:vAlign w:val="center"/>
          </w:tcPr>
          <w:p>
            <w:pPr>
              <w:pStyle w:val="45"/>
              <w:spacing w:before="10" w:beforeLines="0" w:after="10" w:afterLines="0"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661" w:type="dxa"/>
            <w:tcBorders>
              <w:bottom w:val="single" w:color="000000" w:sz="4" w:space="0"/>
            </w:tcBorders>
            <w:noWrap w:val="0"/>
            <w:vAlign w:val="center"/>
          </w:tcPr>
          <w:p>
            <w:pPr>
              <w:spacing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color w:val="auto"/>
                <w:lang w:val="en-US" w:eastAsia="zh-CN" w:bidi="ar-SA"/>
              </w:rPr>
              <w:t>37.858</w:t>
            </w:r>
          </w:p>
        </w:tc>
        <w:tc>
          <w:tcPr>
            <w:tcW w:w="1124" w:type="dxa"/>
            <w:tcBorders>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88" w:type="dxa"/>
            <w:vMerge w:val="continue"/>
            <w:noWrap w:val="0"/>
            <w:vAlign w:val="center"/>
          </w:tcPr>
          <w:p>
            <w:pPr>
              <w:jc w:val="center"/>
              <w:rPr>
                <w:color w:val="auto"/>
              </w:rPr>
            </w:pPr>
          </w:p>
        </w:tc>
        <w:tc>
          <w:tcPr>
            <w:tcW w:w="1417" w:type="dxa"/>
            <w:tcBorders>
              <w:bottom w:val="single" w:color="000000" w:sz="4" w:space="0"/>
            </w:tcBorders>
            <w:noWrap w:val="0"/>
            <w:vAlign w:val="center"/>
          </w:tcPr>
          <w:p>
            <w:pPr>
              <w:pStyle w:val="45"/>
              <w:spacing w:before="10" w:beforeLines="0" w:after="10" w:afterLines="0" w:line="240" w:lineRule="auto"/>
              <w:rPr>
                <w:rFonts w:hint="default" w:ascii="Times New Roman" w:hAnsi="Times New Roman" w:cs="Times New Roman"/>
                <w:snapToGrid w:val="0"/>
                <w:color w:val="auto"/>
                <w:kern w:val="21"/>
                <w:szCs w:val="21"/>
                <w:lang w:val="en-US" w:eastAsia="zh-CN" w:bidi="ar-SA"/>
              </w:rPr>
            </w:pPr>
            <w:r>
              <w:rPr>
                <w:rFonts w:hint="default" w:ascii="Times New Roman" w:hAnsi="Times New Roman" w:eastAsia="宋体" w:cs="Times New Roman"/>
                <w:snapToGrid w:val="0"/>
                <w:color w:val="auto"/>
                <w:kern w:val="21"/>
                <w:szCs w:val="21"/>
                <w:shd w:val="clear" w:color="auto" w:fill="auto"/>
                <w:lang w:val="en-US" w:eastAsia="zh-CN" w:bidi="ar-SA"/>
              </w:rPr>
              <w:t>下脚料、不合格产品</w:t>
            </w:r>
          </w:p>
        </w:tc>
        <w:tc>
          <w:tcPr>
            <w:tcW w:w="1701" w:type="dxa"/>
            <w:tcBorders>
              <w:bottom w:val="single" w:color="000000" w:sz="4" w:space="0"/>
            </w:tcBorders>
            <w:noWrap w:val="0"/>
            <w:vAlign w:val="center"/>
          </w:tcPr>
          <w:p>
            <w:pPr>
              <w:spacing w:line="240" w:lineRule="auto"/>
              <w:jc w:val="center"/>
              <w:rPr>
                <w:rFonts w:hint="default" w:ascii="Times New Roman" w:hAnsi="Times New Roman"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276" w:type="dxa"/>
            <w:tcBorders>
              <w:bottom w:val="single" w:color="000000" w:sz="4" w:space="0"/>
            </w:tcBorders>
            <w:noWrap w:val="0"/>
            <w:vAlign w:val="center"/>
          </w:tcPr>
          <w:p>
            <w:pPr>
              <w:spacing w:after="0" w:line="240" w:lineRule="auto"/>
              <w:jc w:val="center"/>
              <w:rPr>
                <w:rFonts w:hint="default"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701" w:type="dxa"/>
            <w:tcBorders>
              <w:bottom w:val="single" w:color="000000" w:sz="4" w:space="0"/>
            </w:tcBorders>
            <w:noWrap w:val="0"/>
            <w:vAlign w:val="center"/>
          </w:tcPr>
          <w:p>
            <w:pPr>
              <w:spacing w:after="0" w:line="240" w:lineRule="auto"/>
              <w:jc w:val="center"/>
              <w:rPr>
                <w:rFonts w:hint="default"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559" w:type="dxa"/>
            <w:tcBorders>
              <w:bottom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eastAsia="zh-CN" w:bidi="ar-SA"/>
              </w:rPr>
            </w:pPr>
            <w:r>
              <w:rPr>
                <w:rFonts w:hint="eastAsia" w:cs="Times New Roman"/>
                <w:color w:val="auto"/>
                <w:lang w:val="en-US" w:eastAsia="zh-CN" w:bidi="ar-SA"/>
              </w:rPr>
              <w:t>30.764</w:t>
            </w:r>
          </w:p>
        </w:tc>
        <w:tc>
          <w:tcPr>
            <w:tcW w:w="1761" w:type="dxa"/>
            <w:tcBorders>
              <w:bottom w:val="single" w:color="000000" w:sz="4" w:space="0"/>
            </w:tcBorders>
            <w:noWrap w:val="0"/>
            <w:vAlign w:val="center"/>
          </w:tcPr>
          <w:p>
            <w:pPr>
              <w:pStyle w:val="45"/>
              <w:spacing w:before="10" w:beforeLines="0" w:after="10" w:afterLines="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661" w:type="dxa"/>
            <w:tcBorders>
              <w:bottom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eastAsia="zh-CN" w:bidi="ar-SA"/>
              </w:rPr>
            </w:pPr>
            <w:r>
              <w:rPr>
                <w:rFonts w:hint="eastAsia" w:cs="Times New Roman"/>
                <w:color w:val="auto"/>
                <w:lang w:val="en-US" w:eastAsia="zh-CN" w:bidi="ar-SA"/>
              </w:rPr>
              <w:t>30.764</w:t>
            </w:r>
          </w:p>
        </w:tc>
        <w:tc>
          <w:tcPr>
            <w:tcW w:w="1124" w:type="dxa"/>
            <w:tcBorders>
              <w:bottom w:val="single" w:color="000000" w:sz="4" w:space="0"/>
            </w:tcBorders>
            <w:noWrap w:val="0"/>
            <w:vAlign w:val="center"/>
          </w:tcPr>
          <w:p>
            <w:pPr>
              <w:spacing w:after="0" w:line="240" w:lineRule="auto"/>
              <w:jc w:val="center"/>
              <w:rPr>
                <w:rFonts w:hint="default"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88" w:type="dxa"/>
            <w:vMerge w:val="continue"/>
            <w:noWrap w:val="0"/>
            <w:vAlign w:val="center"/>
          </w:tcPr>
          <w:p>
            <w:pPr>
              <w:jc w:val="center"/>
              <w:rPr>
                <w:color w:val="auto"/>
              </w:rPr>
            </w:pPr>
          </w:p>
        </w:tc>
        <w:tc>
          <w:tcPr>
            <w:tcW w:w="1417" w:type="dxa"/>
            <w:tcBorders>
              <w:top w:val="single" w:color="000000" w:sz="4" w:space="0"/>
              <w:bottom w:val="single" w:color="000000" w:sz="4" w:space="0"/>
            </w:tcBorders>
            <w:noWrap w:val="0"/>
            <w:vAlign w:val="center"/>
          </w:tcPr>
          <w:p>
            <w:pPr>
              <w:pStyle w:val="45"/>
              <w:spacing w:before="10" w:beforeLines="0" w:after="10" w:afterLines="0" w:line="240" w:lineRule="auto"/>
              <w:rPr>
                <w:rFonts w:hint="default" w:ascii="Times New Roman" w:hAnsi="Times New Roman" w:eastAsia="宋体" w:cs="Times New Roman"/>
                <w:color w:val="auto"/>
                <w:szCs w:val="21"/>
                <w:lang w:val="en-US" w:eastAsia="zh-CN" w:bidi="ar-SA"/>
              </w:rPr>
            </w:pPr>
            <w:r>
              <w:rPr>
                <w:rFonts w:hint="eastAsia" w:ascii="Times New Roman" w:cs="Times New Roman"/>
                <w:snapToGrid w:val="0"/>
                <w:color w:val="auto"/>
                <w:kern w:val="21"/>
                <w:szCs w:val="21"/>
                <w:shd w:val="clear" w:color="auto" w:fill="auto"/>
                <w:lang w:val="en-US" w:eastAsia="zh-CN" w:bidi="ar-SA"/>
              </w:rPr>
              <w:t>废包装材料</w:t>
            </w:r>
          </w:p>
        </w:tc>
        <w:tc>
          <w:tcPr>
            <w:tcW w:w="1701" w:type="dxa"/>
            <w:tcBorders>
              <w:top w:val="single" w:color="000000" w:sz="4" w:space="0"/>
              <w:bottom w:val="single" w:color="000000" w:sz="4" w:space="0"/>
            </w:tcBorders>
            <w:noWrap w:val="0"/>
            <w:vAlign w:val="center"/>
          </w:tcPr>
          <w:p>
            <w:pPr>
              <w:spacing w:line="240" w:lineRule="auto"/>
              <w:jc w:val="center"/>
              <w:rPr>
                <w:rFonts w:hint="default" w:ascii="Times New Roman" w:hAnsi="Times New Roman"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276" w:type="dxa"/>
            <w:tcBorders>
              <w:top w:val="single" w:color="000000" w:sz="4" w:space="0"/>
              <w:bottom w:val="single" w:color="000000" w:sz="4" w:space="0"/>
            </w:tcBorders>
            <w:noWrap w:val="0"/>
            <w:vAlign w:val="center"/>
          </w:tcPr>
          <w:p>
            <w:pPr>
              <w:spacing w:after="0" w:line="240" w:lineRule="auto"/>
              <w:jc w:val="center"/>
              <w:rPr>
                <w:rFonts w:hint="default"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701" w:type="dxa"/>
            <w:tcBorders>
              <w:top w:val="single" w:color="000000" w:sz="4" w:space="0"/>
              <w:bottom w:val="single" w:color="000000" w:sz="4" w:space="0"/>
            </w:tcBorders>
            <w:noWrap w:val="0"/>
            <w:vAlign w:val="center"/>
          </w:tcPr>
          <w:p>
            <w:pPr>
              <w:spacing w:after="0" w:line="240" w:lineRule="auto"/>
              <w:jc w:val="center"/>
              <w:rPr>
                <w:rFonts w:hint="default"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559" w:type="dxa"/>
            <w:tcBorders>
              <w:top w:val="single" w:color="000000" w:sz="4" w:space="0"/>
              <w:bottom w:val="single" w:color="000000" w:sz="4" w:space="0"/>
            </w:tcBorders>
            <w:noWrap w:val="0"/>
            <w:vAlign w:val="center"/>
          </w:tcPr>
          <w:p>
            <w:pPr>
              <w:spacing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cs="Times New Roman"/>
                <w:color w:val="auto"/>
                <w:lang w:val="en-US" w:eastAsia="zh-CN" w:bidi="ar-SA"/>
              </w:rPr>
              <w:t>5.98</w:t>
            </w:r>
          </w:p>
        </w:tc>
        <w:tc>
          <w:tcPr>
            <w:tcW w:w="1761" w:type="dxa"/>
            <w:tcBorders>
              <w:top w:val="single" w:color="000000" w:sz="4" w:space="0"/>
              <w:bottom w:val="single" w:color="000000" w:sz="4" w:space="0"/>
            </w:tcBorders>
            <w:noWrap w:val="0"/>
            <w:vAlign w:val="center"/>
          </w:tcPr>
          <w:p>
            <w:pPr>
              <w:pStyle w:val="45"/>
              <w:spacing w:before="10" w:beforeLines="0" w:after="10" w:afterLines="0"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snapToGrid w:val="0"/>
                <w:color w:val="auto"/>
                <w:kern w:val="21"/>
                <w:szCs w:val="21"/>
                <w:lang w:val="en-US" w:eastAsia="zh-CN" w:bidi="ar-SA"/>
              </w:rPr>
              <w:t>/</w:t>
            </w:r>
          </w:p>
        </w:tc>
        <w:tc>
          <w:tcPr>
            <w:tcW w:w="1661" w:type="dxa"/>
            <w:tcBorders>
              <w:top w:val="single" w:color="000000" w:sz="4" w:space="0"/>
              <w:bottom w:val="single" w:color="000000" w:sz="4" w:space="0"/>
            </w:tcBorders>
            <w:noWrap w:val="0"/>
            <w:vAlign w:val="center"/>
          </w:tcPr>
          <w:p>
            <w:pPr>
              <w:spacing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cs="Times New Roman"/>
                <w:color w:val="auto"/>
                <w:lang w:val="en-US" w:eastAsia="zh-CN" w:bidi="ar-SA"/>
              </w:rPr>
              <w:t>5.98</w:t>
            </w:r>
          </w:p>
        </w:tc>
        <w:tc>
          <w:tcPr>
            <w:tcW w:w="1124" w:type="dxa"/>
            <w:tcBorders>
              <w:top w:val="single" w:color="000000" w:sz="4" w:space="0"/>
              <w:bottom w:val="single" w:color="000000" w:sz="4" w:space="0"/>
            </w:tcBorders>
            <w:noWrap w:val="0"/>
            <w:vAlign w:val="center"/>
          </w:tcPr>
          <w:p>
            <w:pPr>
              <w:spacing w:after="0" w:line="240" w:lineRule="auto"/>
              <w:jc w:val="center"/>
              <w:rPr>
                <w:rFonts w:hint="default"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88" w:type="dxa"/>
            <w:vMerge w:val="restart"/>
            <w:noWrap w:val="0"/>
            <w:vAlign w:val="center"/>
          </w:tcPr>
          <w:p>
            <w:pPr>
              <w:jc w:val="center"/>
              <w:rPr>
                <w:rFonts w:hint="eastAsia" w:eastAsia="宋体"/>
                <w:color w:val="auto"/>
                <w:lang w:eastAsia="zh-CN"/>
              </w:rPr>
            </w:pPr>
            <w:r>
              <w:rPr>
                <w:rFonts w:hint="eastAsia"/>
                <w:color w:val="auto"/>
                <w:lang w:eastAsia="zh-CN"/>
              </w:rPr>
              <w:t>危险废物</w:t>
            </w:r>
          </w:p>
        </w:tc>
        <w:tc>
          <w:tcPr>
            <w:tcW w:w="1417" w:type="dxa"/>
            <w:tcBorders>
              <w:top w:val="single" w:color="000000" w:sz="4" w:space="0"/>
              <w:bottom w:val="single" w:color="000000" w:sz="4" w:space="0"/>
            </w:tcBorders>
            <w:noWrap w:val="0"/>
            <w:vAlign w:val="center"/>
          </w:tcPr>
          <w:p>
            <w:pPr>
              <w:pStyle w:val="45"/>
              <w:spacing w:before="10" w:beforeLines="0" w:after="10" w:afterLines="0" w:line="240" w:lineRule="auto"/>
              <w:rPr>
                <w:rFonts w:hint="default" w:ascii="Times New Roman" w:hAnsi="Times New Roman" w:eastAsia="宋体" w:cs="Times New Roman"/>
                <w:color w:val="auto"/>
                <w:lang w:val="en-US" w:eastAsia="zh-CN" w:bidi="ar-SA"/>
              </w:rPr>
            </w:pPr>
            <w:r>
              <w:rPr>
                <w:rFonts w:hint="default" w:ascii="Times New Roman" w:hAnsi="Times New Roman" w:eastAsia="宋体" w:cs="Times New Roman"/>
                <w:color w:val="auto"/>
                <w:lang w:val="en-US" w:eastAsia="zh-CN" w:bidi="ar-SA"/>
              </w:rPr>
              <w:t>废不饱和聚酯树脂桶</w:t>
            </w:r>
          </w:p>
        </w:tc>
        <w:tc>
          <w:tcPr>
            <w:tcW w:w="1701" w:type="dxa"/>
            <w:tcBorders>
              <w:top w:val="single" w:color="000000" w:sz="4" w:space="0"/>
              <w:bottom w:val="single" w:color="000000" w:sz="4" w:space="0"/>
            </w:tcBorders>
            <w:noWrap w:val="0"/>
            <w:vAlign w:val="center"/>
          </w:tcPr>
          <w:p>
            <w:pPr>
              <w:spacing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276"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701"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559" w:type="dxa"/>
            <w:tcBorders>
              <w:top w:val="single" w:color="000000" w:sz="4" w:space="0"/>
              <w:bottom w:val="single" w:color="000000" w:sz="4" w:space="0"/>
            </w:tcBorders>
            <w:noWrap w:val="0"/>
            <w:vAlign w:val="center"/>
          </w:tcPr>
          <w:p>
            <w:pPr>
              <w:spacing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color w:val="auto"/>
                <w:lang w:val="en-US" w:eastAsia="zh-CN" w:bidi="ar-SA"/>
              </w:rPr>
              <w:t>43.5</w:t>
            </w:r>
          </w:p>
        </w:tc>
        <w:tc>
          <w:tcPr>
            <w:tcW w:w="1761" w:type="dxa"/>
            <w:tcBorders>
              <w:top w:val="single" w:color="000000" w:sz="4" w:space="0"/>
              <w:bottom w:val="single" w:color="000000" w:sz="4" w:space="0"/>
            </w:tcBorders>
            <w:noWrap w:val="0"/>
            <w:vAlign w:val="center"/>
          </w:tcPr>
          <w:p>
            <w:pPr>
              <w:spacing w:before="10" w:beforeLines="0" w:after="10" w:afterLines="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661" w:type="dxa"/>
            <w:tcBorders>
              <w:top w:val="single" w:color="000000" w:sz="4" w:space="0"/>
              <w:bottom w:val="single" w:color="000000" w:sz="4" w:space="0"/>
            </w:tcBorders>
            <w:noWrap w:val="0"/>
            <w:vAlign w:val="center"/>
          </w:tcPr>
          <w:p>
            <w:pPr>
              <w:spacing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color w:val="auto"/>
                <w:lang w:val="en-US" w:eastAsia="zh-CN" w:bidi="ar-SA"/>
              </w:rPr>
              <w:t>43.5</w:t>
            </w:r>
          </w:p>
        </w:tc>
        <w:tc>
          <w:tcPr>
            <w:tcW w:w="1124"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88" w:type="dxa"/>
            <w:vMerge w:val="continue"/>
            <w:noWrap w:val="0"/>
            <w:vAlign w:val="center"/>
          </w:tcPr>
          <w:p>
            <w:pPr>
              <w:jc w:val="center"/>
              <w:rPr>
                <w:color w:val="auto"/>
              </w:rPr>
            </w:pPr>
          </w:p>
        </w:tc>
        <w:tc>
          <w:tcPr>
            <w:tcW w:w="1417" w:type="dxa"/>
            <w:tcBorders>
              <w:top w:val="single" w:color="000000" w:sz="4" w:space="0"/>
              <w:bottom w:val="single" w:color="000000" w:sz="4" w:space="0"/>
            </w:tcBorders>
            <w:noWrap w:val="0"/>
            <w:vAlign w:val="center"/>
          </w:tcPr>
          <w:p>
            <w:pPr>
              <w:pStyle w:val="45"/>
              <w:spacing w:before="10" w:beforeLines="0" w:after="10" w:afterLines="0" w:line="240" w:lineRule="auto"/>
              <w:rPr>
                <w:rFonts w:hint="default" w:ascii="Times New Roman" w:hAnsi="Times New Roman" w:eastAsia="宋体" w:cs="Times New Roman"/>
                <w:color w:val="auto"/>
                <w:lang w:val="en-US" w:eastAsia="zh-CN" w:bidi="ar-SA"/>
              </w:rPr>
            </w:pPr>
            <w:r>
              <w:rPr>
                <w:rFonts w:hint="eastAsia" w:ascii="Times New Roman" w:cs="Times New Roman"/>
                <w:snapToGrid w:val="0"/>
                <w:color w:val="auto"/>
                <w:kern w:val="21"/>
                <w:szCs w:val="21"/>
                <w:shd w:val="clear" w:color="auto" w:fill="auto"/>
                <w:lang w:val="en-US" w:eastAsia="zh-CN" w:bidi="ar-SA"/>
              </w:rPr>
              <w:t>废促进剂、固化剂桶</w:t>
            </w:r>
          </w:p>
        </w:tc>
        <w:tc>
          <w:tcPr>
            <w:tcW w:w="1701" w:type="dxa"/>
            <w:tcBorders>
              <w:top w:val="single" w:color="000000" w:sz="4" w:space="0"/>
              <w:bottom w:val="single" w:color="000000" w:sz="4" w:space="0"/>
            </w:tcBorders>
            <w:noWrap w:val="0"/>
            <w:vAlign w:val="center"/>
          </w:tcPr>
          <w:p>
            <w:pPr>
              <w:spacing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276"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701"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559" w:type="dxa"/>
            <w:tcBorders>
              <w:top w:val="single" w:color="000000" w:sz="4" w:space="0"/>
              <w:bottom w:val="single" w:color="000000" w:sz="4" w:space="0"/>
            </w:tcBorders>
            <w:noWrap w:val="0"/>
            <w:vAlign w:val="center"/>
          </w:tcPr>
          <w:p>
            <w:pPr>
              <w:spacing w:line="240" w:lineRule="auto"/>
              <w:jc w:val="center"/>
              <w:rPr>
                <w:rFonts w:hint="default"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color w:val="auto"/>
                <w:lang w:val="en-US" w:eastAsia="zh-CN" w:bidi="ar-SA"/>
              </w:rPr>
              <w:t>3.5</w:t>
            </w:r>
          </w:p>
        </w:tc>
        <w:tc>
          <w:tcPr>
            <w:tcW w:w="1761" w:type="dxa"/>
            <w:tcBorders>
              <w:top w:val="single" w:color="000000" w:sz="4" w:space="0"/>
              <w:bottom w:val="single" w:color="000000" w:sz="4" w:space="0"/>
            </w:tcBorders>
            <w:noWrap w:val="0"/>
            <w:vAlign w:val="center"/>
          </w:tcPr>
          <w:p>
            <w:pPr>
              <w:spacing w:before="10" w:beforeLines="0" w:after="10" w:afterLines="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661" w:type="dxa"/>
            <w:tcBorders>
              <w:top w:val="single" w:color="000000" w:sz="4" w:space="0"/>
              <w:bottom w:val="single" w:color="000000" w:sz="4" w:space="0"/>
            </w:tcBorders>
            <w:noWrap w:val="0"/>
            <w:vAlign w:val="center"/>
          </w:tcPr>
          <w:p>
            <w:pPr>
              <w:spacing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color w:val="auto"/>
                <w:lang w:val="en-US" w:eastAsia="zh-CN" w:bidi="ar-SA"/>
              </w:rPr>
              <w:t>3.5</w:t>
            </w:r>
          </w:p>
        </w:tc>
        <w:tc>
          <w:tcPr>
            <w:tcW w:w="1124"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88" w:type="dxa"/>
            <w:vMerge w:val="continue"/>
            <w:noWrap w:val="0"/>
            <w:vAlign w:val="center"/>
          </w:tcPr>
          <w:p>
            <w:pPr>
              <w:jc w:val="center"/>
              <w:rPr>
                <w:color w:val="auto"/>
              </w:rPr>
            </w:pPr>
          </w:p>
        </w:tc>
        <w:tc>
          <w:tcPr>
            <w:tcW w:w="1417" w:type="dxa"/>
            <w:tcBorders>
              <w:top w:val="single" w:color="000000" w:sz="4" w:space="0"/>
              <w:bottom w:val="single" w:color="000000" w:sz="4" w:space="0"/>
            </w:tcBorders>
            <w:noWrap w:val="0"/>
            <w:vAlign w:val="center"/>
          </w:tcPr>
          <w:p>
            <w:pPr>
              <w:pStyle w:val="45"/>
              <w:spacing w:before="10" w:beforeLines="0" w:after="10" w:afterLines="0" w:line="240" w:lineRule="auto"/>
              <w:rPr>
                <w:rFonts w:hint="default" w:ascii="Times New Roman" w:hAnsi="Times New Roman" w:eastAsia="宋体" w:cs="Times New Roman"/>
                <w:color w:val="auto"/>
                <w:lang w:val="en-US" w:eastAsia="zh-CN" w:bidi="ar-SA"/>
              </w:rPr>
            </w:pPr>
            <w:r>
              <w:rPr>
                <w:rFonts w:hint="eastAsia" w:ascii="Times New Roman" w:cs="Times New Roman"/>
                <w:snapToGrid w:val="0"/>
                <w:color w:val="auto"/>
                <w:kern w:val="21"/>
                <w:szCs w:val="21"/>
                <w:shd w:val="clear" w:color="auto" w:fill="auto"/>
                <w:lang w:val="en-US" w:eastAsia="zh-CN" w:bidi="ar-SA"/>
              </w:rPr>
              <w:t>废活性炭</w:t>
            </w:r>
          </w:p>
        </w:tc>
        <w:tc>
          <w:tcPr>
            <w:tcW w:w="1701" w:type="dxa"/>
            <w:tcBorders>
              <w:top w:val="single" w:color="000000" w:sz="4" w:space="0"/>
              <w:bottom w:val="single" w:color="000000" w:sz="4" w:space="0"/>
            </w:tcBorders>
            <w:noWrap w:val="0"/>
            <w:vAlign w:val="center"/>
          </w:tcPr>
          <w:p>
            <w:pPr>
              <w:spacing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276"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701"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559" w:type="dxa"/>
            <w:tcBorders>
              <w:top w:val="single" w:color="000000" w:sz="4" w:space="0"/>
              <w:bottom w:val="single" w:color="000000" w:sz="4" w:space="0"/>
            </w:tcBorders>
            <w:noWrap w:val="0"/>
            <w:vAlign w:val="center"/>
          </w:tcPr>
          <w:p>
            <w:pPr>
              <w:spacing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color w:val="auto"/>
                <w:lang w:val="en-US" w:eastAsia="zh-CN" w:bidi="ar-SA"/>
              </w:rPr>
              <w:t>0.5</w:t>
            </w:r>
          </w:p>
        </w:tc>
        <w:tc>
          <w:tcPr>
            <w:tcW w:w="1761" w:type="dxa"/>
            <w:tcBorders>
              <w:top w:val="single" w:color="000000" w:sz="4" w:space="0"/>
              <w:bottom w:val="single" w:color="000000" w:sz="4" w:space="0"/>
            </w:tcBorders>
            <w:noWrap w:val="0"/>
            <w:vAlign w:val="center"/>
          </w:tcPr>
          <w:p>
            <w:pPr>
              <w:spacing w:before="10" w:beforeLines="0" w:after="10" w:afterLines="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661" w:type="dxa"/>
            <w:tcBorders>
              <w:top w:val="single" w:color="000000" w:sz="4" w:space="0"/>
              <w:bottom w:val="single" w:color="000000" w:sz="4" w:space="0"/>
            </w:tcBorders>
            <w:noWrap w:val="0"/>
            <w:vAlign w:val="center"/>
          </w:tcPr>
          <w:p>
            <w:pPr>
              <w:spacing w:line="240" w:lineRule="auto"/>
              <w:jc w:val="center"/>
              <w:rPr>
                <w:rFonts w:hint="eastAsia" w:ascii="Times New Roman" w:hAnsi="Times New Roman" w:eastAsia="宋体" w:cs="Times New Roman"/>
                <w:snapToGrid w:val="0"/>
                <w:color w:val="auto"/>
                <w:kern w:val="21"/>
                <w:szCs w:val="21"/>
                <w:lang w:val="en-US" w:eastAsia="zh-CN" w:bidi="ar-SA"/>
              </w:rPr>
            </w:pPr>
            <w:r>
              <w:rPr>
                <w:rFonts w:hint="eastAsia" w:ascii="Times New Roman" w:hAnsi="Times New Roman" w:eastAsia="宋体" w:cs="Times New Roman"/>
                <w:color w:val="auto"/>
                <w:lang w:val="en-US" w:eastAsia="zh-CN" w:bidi="ar-SA"/>
              </w:rPr>
              <w:t>0.5</w:t>
            </w:r>
          </w:p>
        </w:tc>
        <w:tc>
          <w:tcPr>
            <w:tcW w:w="1124"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88" w:type="dxa"/>
            <w:vMerge w:val="continue"/>
            <w:noWrap w:val="0"/>
            <w:vAlign w:val="center"/>
          </w:tcPr>
          <w:p>
            <w:pPr>
              <w:jc w:val="center"/>
              <w:rPr>
                <w:color w:val="auto"/>
              </w:rPr>
            </w:pPr>
          </w:p>
        </w:tc>
        <w:tc>
          <w:tcPr>
            <w:tcW w:w="1417" w:type="dxa"/>
            <w:tcBorders>
              <w:top w:val="single" w:color="000000" w:sz="4" w:space="0"/>
              <w:bottom w:val="single" w:color="000000" w:sz="4" w:space="0"/>
            </w:tcBorders>
            <w:noWrap w:val="0"/>
            <w:vAlign w:val="center"/>
          </w:tcPr>
          <w:p>
            <w:pPr>
              <w:pStyle w:val="45"/>
              <w:spacing w:before="10" w:beforeLines="0" w:after="10" w:afterLines="0" w:line="240" w:lineRule="auto"/>
              <w:rPr>
                <w:rFonts w:hint="eastAsia" w:ascii="Times New Roman" w:cs="Times New Roman"/>
                <w:snapToGrid w:val="0"/>
                <w:color w:val="auto"/>
                <w:kern w:val="21"/>
                <w:szCs w:val="21"/>
                <w:shd w:val="clear" w:color="auto" w:fill="auto"/>
                <w:lang w:val="en-US" w:eastAsia="zh-CN" w:bidi="ar-SA"/>
              </w:rPr>
            </w:pPr>
            <w:r>
              <w:rPr>
                <w:rFonts w:hint="eastAsia" w:ascii="Times New Roman" w:cs="Times New Roman"/>
                <w:snapToGrid w:val="0"/>
                <w:color w:val="auto"/>
                <w:kern w:val="21"/>
                <w:szCs w:val="21"/>
                <w:shd w:val="clear" w:color="auto" w:fill="auto"/>
                <w:lang w:val="en-US" w:eastAsia="zh-CN" w:bidi="ar-SA"/>
              </w:rPr>
              <w:t>废催化剂</w:t>
            </w:r>
          </w:p>
        </w:tc>
        <w:tc>
          <w:tcPr>
            <w:tcW w:w="1701" w:type="dxa"/>
            <w:tcBorders>
              <w:top w:val="single" w:color="000000" w:sz="4" w:space="0"/>
              <w:bottom w:val="single" w:color="000000" w:sz="4" w:space="0"/>
            </w:tcBorders>
            <w:noWrap w:val="0"/>
            <w:vAlign w:val="center"/>
          </w:tcPr>
          <w:p>
            <w:pPr>
              <w:spacing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276"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701"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559" w:type="dxa"/>
            <w:tcBorders>
              <w:top w:val="single" w:color="000000" w:sz="4" w:space="0"/>
              <w:bottom w:val="single" w:color="000000" w:sz="4" w:space="0"/>
            </w:tcBorders>
            <w:noWrap w:val="0"/>
            <w:vAlign w:val="center"/>
          </w:tcPr>
          <w:p>
            <w:pPr>
              <w:spacing w:line="240" w:lineRule="auto"/>
              <w:jc w:val="center"/>
              <w:rPr>
                <w:rFonts w:hint="default"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0.010</w:t>
            </w:r>
          </w:p>
        </w:tc>
        <w:tc>
          <w:tcPr>
            <w:tcW w:w="1761" w:type="dxa"/>
            <w:tcBorders>
              <w:top w:val="single" w:color="000000" w:sz="4" w:space="0"/>
              <w:bottom w:val="single" w:color="000000" w:sz="4" w:space="0"/>
            </w:tcBorders>
            <w:noWrap w:val="0"/>
            <w:vAlign w:val="center"/>
          </w:tcPr>
          <w:p>
            <w:pPr>
              <w:spacing w:before="10" w:beforeLines="0" w:after="10" w:afterLines="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c>
          <w:tcPr>
            <w:tcW w:w="1661" w:type="dxa"/>
            <w:tcBorders>
              <w:top w:val="single" w:color="000000" w:sz="4" w:space="0"/>
              <w:bottom w:val="single" w:color="000000" w:sz="4" w:space="0"/>
            </w:tcBorders>
            <w:noWrap w:val="0"/>
            <w:vAlign w:val="center"/>
          </w:tcPr>
          <w:p>
            <w:pPr>
              <w:spacing w:line="240" w:lineRule="auto"/>
              <w:jc w:val="center"/>
              <w:rPr>
                <w:rFonts w:hint="eastAsia" w:ascii="Times New Roman" w:hAnsi="Times New Roman" w:eastAsia="宋体" w:cs="Times New Roman"/>
                <w:color w:val="auto"/>
                <w:lang w:val="en-US" w:eastAsia="zh-CN" w:bidi="ar-SA"/>
              </w:rPr>
            </w:pPr>
            <w:r>
              <w:rPr>
                <w:rFonts w:hint="eastAsia" w:ascii="Times New Roman" w:hAnsi="Times New Roman" w:eastAsia="宋体" w:cs="Times New Roman"/>
                <w:color w:val="auto"/>
                <w:lang w:val="en-US" w:eastAsia="zh-CN" w:bidi="ar-SA"/>
              </w:rPr>
              <w:t>0.010</w:t>
            </w:r>
          </w:p>
        </w:tc>
        <w:tc>
          <w:tcPr>
            <w:tcW w:w="1124" w:type="dxa"/>
            <w:tcBorders>
              <w:top w:val="single" w:color="000000" w:sz="4" w:space="0"/>
              <w:bottom w:val="single" w:color="000000" w:sz="4" w:space="0"/>
            </w:tcBorders>
            <w:noWrap w:val="0"/>
            <w:vAlign w:val="center"/>
          </w:tcPr>
          <w:p>
            <w:pPr>
              <w:spacing w:after="0" w:line="240" w:lineRule="auto"/>
              <w:jc w:val="center"/>
              <w:rPr>
                <w:rFonts w:hint="eastAsia" w:ascii="Times New Roman" w:hAnsi="Times New Roman" w:cs="Times New Roman"/>
                <w:snapToGrid w:val="0"/>
                <w:color w:val="auto"/>
                <w:kern w:val="21"/>
                <w:szCs w:val="21"/>
                <w:lang w:val="en-US" w:eastAsia="zh-CN" w:bidi="ar-SA"/>
              </w:rPr>
            </w:pPr>
            <w:r>
              <w:rPr>
                <w:rFonts w:hint="eastAsia" w:ascii="Times New Roman" w:hAnsi="Times New Roman" w:cs="Times New Roman"/>
                <w:snapToGrid w:val="0"/>
                <w:color w:val="auto"/>
                <w:kern w:val="21"/>
                <w:szCs w:val="21"/>
                <w:lang w:val="en-US" w:eastAsia="zh-CN" w:bidi="ar-SA"/>
              </w:rPr>
              <w:t>/</w:t>
            </w:r>
          </w:p>
        </w:tc>
      </w:tr>
    </w:tbl>
    <w:p>
      <w:pPr>
        <w:pStyle w:val="45"/>
        <w:spacing w:before="192" w:beforeLines="0" w:after="24" w:afterLines="0"/>
        <w:jc w:val="left"/>
        <w:rPr>
          <w:rFonts w:hint="eastAsia"/>
          <w:color w:val="auto"/>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rFonts w:hint="eastAsia"/>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rFonts w:hint="eastAsia"/>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rFonts w:hint="eastAsia"/>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rFonts w:hint="eastAsia"/>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p>
    <w:p>
      <w:pPr>
        <w:rPr>
          <w:rFonts w:hint="eastAsia" w:ascii="宋体" w:hAnsi="宋体" w:eastAsia="黑体"/>
          <w:color w:val="auto"/>
          <w:lang w:eastAsia="zh-CN"/>
        </w:rPr>
      </w:pPr>
      <w:bookmarkStart w:id="11" w:name="_GoBack"/>
      <w:bookmarkEnd w:id="11"/>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方正仿宋简体">
    <w:altName w:val="宋体"/>
    <w:panose1 w:val="00000000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7A"/>
    <w:family w:val="modern"/>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TimesNewRomanPSMT">
    <w:altName w:val="Times New Roman"/>
    <w:panose1 w:val="00000000000000000000"/>
    <w:charset w:val="00"/>
    <w:family w:val="roman"/>
    <w:pitch w:val="default"/>
    <w:sig w:usb0="00000000" w:usb1="00000000" w:usb2="00000000" w:usb3="00000000" w:csb0="00040001" w:csb1="00000000"/>
  </w:font>
  <w:font w:name="Arial-BoldMT">
    <w:altName w:val="Times New Roman"/>
    <w:panose1 w:val="00000000000000000000"/>
    <w:charset w:val="00"/>
    <w:family w:val="roman"/>
    <w:pitch w:val="default"/>
    <w:sig w:usb0="00000000" w:usb1="00000000" w:usb2="00000000" w:usb3="00000000" w:csb0="00040001" w:csb1="00000000"/>
  </w:font>
  <w:font w:name="方正小标宋_GBK">
    <w:panose1 w:val="02000000000000000000"/>
    <w:charset w:val="86"/>
    <w:family w:val="script"/>
    <w:pitch w:val="default"/>
    <w:sig w:usb0="A00002BF" w:usb1="38CF7CFA" w:usb2="00082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4"/>
        <w:rFonts w:hint="eastAsia" w:ascii="宋体"/>
        <w:sz w:val="28"/>
        <w:szCs w:val="28"/>
      </w:rPr>
    </w:pPr>
    <w:r>
      <w:rPr>
        <w:rStyle w:val="34"/>
        <w:rFonts w:hint="eastAsia" w:ascii="宋体"/>
        <w:sz w:val="28"/>
        <w:szCs w:val="28"/>
      </w:rPr>
      <w:t>—</w:t>
    </w:r>
    <w:r>
      <w:rPr>
        <w:rStyle w:val="34"/>
        <w:rFonts w:hint="eastAsia" w:ascii="宋体"/>
        <w:sz w:val="20"/>
      </w:rPr>
      <w:t xml:space="preserve">  </w:t>
    </w:r>
    <w:r>
      <w:rPr>
        <w:rFonts w:hint="eastAsia" w:ascii="宋体"/>
        <w:sz w:val="26"/>
        <w:szCs w:val="26"/>
      </w:rPr>
      <w:fldChar w:fldCharType="begin"/>
    </w:r>
    <w:r>
      <w:rPr>
        <w:rStyle w:val="34"/>
        <w:rFonts w:hint="eastAsia" w:ascii="宋体"/>
        <w:sz w:val="26"/>
        <w:szCs w:val="26"/>
      </w:rPr>
      <w:instrText xml:space="preserve">PAGE  </w:instrText>
    </w:r>
    <w:r>
      <w:rPr>
        <w:rFonts w:hint="eastAsia" w:ascii="宋体"/>
        <w:sz w:val="26"/>
        <w:szCs w:val="26"/>
      </w:rPr>
      <w:fldChar w:fldCharType="separate"/>
    </w:r>
    <w:r>
      <w:rPr>
        <w:rStyle w:val="34"/>
        <w:rFonts w:hint="eastAsia" w:ascii="宋体"/>
        <w:sz w:val="26"/>
        <w:szCs w:val="26"/>
      </w:rPr>
      <w:t>9</w:t>
    </w:r>
    <w:r>
      <w:rPr>
        <w:rFonts w:hint="eastAsia" w:ascii="宋体"/>
        <w:sz w:val="26"/>
        <w:szCs w:val="26"/>
      </w:rPr>
      <w:fldChar w:fldCharType="end"/>
    </w:r>
    <w:r>
      <w:rPr>
        <w:rStyle w:val="34"/>
        <w:rFonts w:hint="eastAsia" w:ascii="宋体"/>
        <w:sz w:val="20"/>
      </w:rPr>
      <w:t xml:space="preserve">  </w:t>
    </w:r>
    <w:r>
      <w:rPr>
        <w:rStyle w:val="34"/>
        <w:rFonts w:hint="eastAsia" w:ascii="宋体"/>
        <w:sz w:val="28"/>
        <w:szCs w:val="28"/>
      </w:rPr>
      <w:t>—</w:t>
    </w:r>
  </w:p>
  <w:p>
    <w:pPr>
      <w:spacing w:line="360" w:lineRule="auto"/>
      <w:ind w:firstLine="420" w:firstLineChars="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4"/>
        <w:rFonts w:hint="eastAsia" w:ascii="宋体"/>
        <w:sz w:val="28"/>
        <w:szCs w:val="28"/>
      </w:rPr>
    </w:pPr>
    <w:r>
      <w:rPr>
        <w:rStyle w:val="34"/>
        <w:rFonts w:hint="eastAsia" w:ascii="宋体"/>
        <w:sz w:val="28"/>
        <w:szCs w:val="28"/>
      </w:rPr>
      <w:t>—</w:t>
    </w:r>
    <w:r>
      <w:rPr>
        <w:rStyle w:val="34"/>
        <w:rFonts w:hint="eastAsia" w:ascii="宋体"/>
        <w:sz w:val="20"/>
      </w:rPr>
      <w:t xml:space="preserve">  </w:t>
    </w:r>
    <w:r>
      <w:rPr>
        <w:rFonts w:hint="eastAsia" w:ascii="宋体"/>
        <w:sz w:val="26"/>
        <w:szCs w:val="26"/>
      </w:rPr>
      <w:fldChar w:fldCharType="begin"/>
    </w:r>
    <w:r>
      <w:rPr>
        <w:rStyle w:val="34"/>
        <w:rFonts w:hint="eastAsia" w:ascii="宋体"/>
        <w:sz w:val="26"/>
        <w:szCs w:val="26"/>
      </w:rPr>
      <w:instrText xml:space="preserve">PAGE  </w:instrText>
    </w:r>
    <w:r>
      <w:rPr>
        <w:rFonts w:hint="eastAsia" w:ascii="宋体"/>
        <w:sz w:val="26"/>
        <w:szCs w:val="26"/>
      </w:rPr>
      <w:fldChar w:fldCharType="separate"/>
    </w:r>
    <w:r>
      <w:rPr>
        <w:rStyle w:val="34"/>
        <w:rFonts w:hint="eastAsia" w:ascii="宋体"/>
        <w:sz w:val="26"/>
        <w:szCs w:val="26"/>
      </w:rPr>
      <w:t>10</w:t>
    </w:r>
    <w:r>
      <w:rPr>
        <w:rFonts w:hint="eastAsia" w:ascii="宋体"/>
        <w:sz w:val="26"/>
        <w:szCs w:val="26"/>
      </w:rPr>
      <w:fldChar w:fldCharType="end"/>
    </w:r>
    <w:r>
      <w:rPr>
        <w:rStyle w:val="34"/>
        <w:rFonts w:hint="eastAsia" w:ascii="宋体"/>
        <w:sz w:val="20"/>
      </w:rPr>
      <w:t xml:space="preserve">  </w:t>
    </w:r>
    <w:r>
      <w:rPr>
        <w:rStyle w:val="34"/>
        <w:rFonts w:hint="eastAsia" w:ascii="宋体"/>
        <w:sz w:val="28"/>
        <w:szCs w:val="28"/>
      </w:rPr>
      <w:t>—</w:t>
    </w:r>
  </w:p>
  <w:p>
    <w:pPr>
      <w:pStyle w:val="2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4"/>
        <w:rFonts w:hint="eastAsia" w:ascii="宋体"/>
        <w:sz w:val="28"/>
        <w:szCs w:val="28"/>
      </w:rPr>
    </w:pPr>
    <w:r>
      <w:rPr>
        <w:rStyle w:val="34"/>
        <w:rFonts w:hint="eastAsia" w:ascii="宋体"/>
        <w:sz w:val="28"/>
        <w:szCs w:val="28"/>
      </w:rPr>
      <w:t>—</w:t>
    </w:r>
    <w:r>
      <w:rPr>
        <w:rStyle w:val="34"/>
        <w:rFonts w:hint="eastAsia" w:ascii="宋体"/>
        <w:sz w:val="20"/>
      </w:rPr>
      <w:t xml:space="preserve">  </w:t>
    </w:r>
    <w:r>
      <w:rPr>
        <w:rFonts w:hint="eastAsia" w:ascii="宋体"/>
        <w:sz w:val="26"/>
        <w:szCs w:val="26"/>
      </w:rPr>
      <w:fldChar w:fldCharType="begin"/>
    </w:r>
    <w:r>
      <w:rPr>
        <w:rStyle w:val="34"/>
        <w:rFonts w:hint="eastAsia" w:ascii="宋体"/>
        <w:sz w:val="26"/>
        <w:szCs w:val="26"/>
      </w:rPr>
      <w:instrText xml:space="preserve">PAGE  </w:instrText>
    </w:r>
    <w:r>
      <w:rPr>
        <w:rFonts w:hint="eastAsia" w:ascii="宋体"/>
        <w:sz w:val="26"/>
        <w:szCs w:val="26"/>
      </w:rPr>
      <w:fldChar w:fldCharType="separate"/>
    </w:r>
    <w:r>
      <w:rPr>
        <w:rStyle w:val="34"/>
        <w:rFonts w:hint="eastAsia" w:ascii="宋体"/>
        <w:sz w:val="26"/>
        <w:szCs w:val="26"/>
      </w:rPr>
      <w:t>11</w:t>
    </w:r>
    <w:r>
      <w:rPr>
        <w:rFonts w:hint="eastAsia" w:ascii="宋体"/>
        <w:sz w:val="26"/>
        <w:szCs w:val="26"/>
      </w:rPr>
      <w:fldChar w:fldCharType="end"/>
    </w:r>
    <w:r>
      <w:rPr>
        <w:rStyle w:val="34"/>
        <w:rFonts w:hint="eastAsia" w:ascii="宋体"/>
        <w:sz w:val="20"/>
      </w:rPr>
      <w:t xml:space="preserve">  </w:t>
    </w:r>
    <w:r>
      <w:rPr>
        <w:rStyle w:val="34"/>
        <w:rFonts w:hint="eastAsia" w:ascii="宋体"/>
        <w:sz w:val="28"/>
        <w:szCs w:val="28"/>
      </w:rPr>
      <w:t>—</w:t>
    </w:r>
  </w:p>
  <w:p>
    <w:pPr>
      <w:pStyle w:val="22"/>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firstLine="480" w:firstLineChars="200"/>
      <w:rPr>
        <w:rFonts w:hint="default" w:ascii="Times New Roman" w:hAnsi="Times New Roman" w:eastAsia="宋体" w:cs="Times New Roman"/>
        <w:color w:val="FF0000"/>
        <w:sz w:val="24"/>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BCD2FE"/>
    <w:multiLevelType w:val="singleLevel"/>
    <w:tmpl w:val="D2BCD2FE"/>
    <w:lvl w:ilvl="0" w:tentative="0">
      <w:start w:val="1"/>
      <w:numFmt w:val="decimal"/>
      <w:suff w:val="nothing"/>
      <w:lvlText w:val="（%1）"/>
      <w:lvlJc w:val="left"/>
    </w:lvl>
  </w:abstractNum>
  <w:abstractNum w:abstractNumId="1">
    <w:nsid w:val="08978928"/>
    <w:multiLevelType w:val="singleLevel"/>
    <w:tmpl w:val="08978928"/>
    <w:lvl w:ilvl="0" w:tentative="0">
      <w:start w:val="1"/>
      <w:numFmt w:val="decimal"/>
      <w:suff w:val="nothing"/>
      <w:lvlText w:val="%1）"/>
      <w:lvlJc w:val="left"/>
    </w:lvl>
  </w:abstractNum>
  <w:abstractNum w:abstractNumId="2">
    <w:nsid w:val="0C947976"/>
    <w:multiLevelType w:val="singleLevel"/>
    <w:tmpl w:val="0C947976"/>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3">
    <w:nsid w:val="6D82FF81"/>
    <w:multiLevelType w:val="singleLevel"/>
    <w:tmpl w:val="6D82FF81"/>
    <w:lvl w:ilvl="0" w:tentative="0">
      <w:start w:val="1"/>
      <w:numFmt w:val="decimal"/>
      <w:pStyle w:val="14"/>
      <w:lvlText w:val="%1."/>
      <w:lvlJc w:val="left"/>
      <w:pPr>
        <w:tabs>
          <w:tab w:val="left" w:pos="2040"/>
        </w:tabs>
        <w:ind w:left="204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ljOTIwNmZkZDZhZWZhNDk2NzhjNDFiMDFlMDI5OWMifQ=="/>
    <w:docVar w:name="KSO_WPS_MARK_KEY" w:val="057b899b-0548-4542-a85f-421bbc7e8108"/>
  </w:docVars>
  <w:rsids>
    <w:rsidRoot w:val="00A14947"/>
    <w:rsid w:val="001D7D62"/>
    <w:rsid w:val="004D6899"/>
    <w:rsid w:val="01207ADE"/>
    <w:rsid w:val="012C042E"/>
    <w:rsid w:val="014B08FF"/>
    <w:rsid w:val="014F4080"/>
    <w:rsid w:val="017C6108"/>
    <w:rsid w:val="018D3F18"/>
    <w:rsid w:val="020C1A10"/>
    <w:rsid w:val="023B43AB"/>
    <w:rsid w:val="023C480D"/>
    <w:rsid w:val="0248194F"/>
    <w:rsid w:val="02547731"/>
    <w:rsid w:val="025B2DC4"/>
    <w:rsid w:val="02664739"/>
    <w:rsid w:val="02796C38"/>
    <w:rsid w:val="02CD31D3"/>
    <w:rsid w:val="031552DA"/>
    <w:rsid w:val="031B60F3"/>
    <w:rsid w:val="03302F60"/>
    <w:rsid w:val="034B2C2D"/>
    <w:rsid w:val="038C30FA"/>
    <w:rsid w:val="03BE3F04"/>
    <w:rsid w:val="03D51CA8"/>
    <w:rsid w:val="04117A1A"/>
    <w:rsid w:val="041B7833"/>
    <w:rsid w:val="04840F78"/>
    <w:rsid w:val="049C1B9D"/>
    <w:rsid w:val="04A00388"/>
    <w:rsid w:val="04A46CA4"/>
    <w:rsid w:val="04CB6271"/>
    <w:rsid w:val="0538429F"/>
    <w:rsid w:val="057A6D51"/>
    <w:rsid w:val="057E7745"/>
    <w:rsid w:val="059A0CCC"/>
    <w:rsid w:val="05F467EB"/>
    <w:rsid w:val="060911D9"/>
    <w:rsid w:val="060A22A8"/>
    <w:rsid w:val="06381036"/>
    <w:rsid w:val="06522B8B"/>
    <w:rsid w:val="06683242"/>
    <w:rsid w:val="067130A6"/>
    <w:rsid w:val="06A30B5B"/>
    <w:rsid w:val="06C02F40"/>
    <w:rsid w:val="070A64CF"/>
    <w:rsid w:val="070F5042"/>
    <w:rsid w:val="07235967"/>
    <w:rsid w:val="07836B7E"/>
    <w:rsid w:val="07873723"/>
    <w:rsid w:val="079E3E7E"/>
    <w:rsid w:val="07D23B28"/>
    <w:rsid w:val="07F2023B"/>
    <w:rsid w:val="08217FA4"/>
    <w:rsid w:val="08444A26"/>
    <w:rsid w:val="08711DAC"/>
    <w:rsid w:val="087E10D4"/>
    <w:rsid w:val="088C14EC"/>
    <w:rsid w:val="08A76D63"/>
    <w:rsid w:val="08AC2FBD"/>
    <w:rsid w:val="08D343CC"/>
    <w:rsid w:val="0903609E"/>
    <w:rsid w:val="090F3097"/>
    <w:rsid w:val="09B63701"/>
    <w:rsid w:val="09DB79A7"/>
    <w:rsid w:val="0A276BAA"/>
    <w:rsid w:val="0A443BCF"/>
    <w:rsid w:val="0A477FFC"/>
    <w:rsid w:val="0A79207A"/>
    <w:rsid w:val="0A9832A7"/>
    <w:rsid w:val="0AAA6456"/>
    <w:rsid w:val="0AB412BB"/>
    <w:rsid w:val="0AE736FB"/>
    <w:rsid w:val="0B017CE9"/>
    <w:rsid w:val="0B064A16"/>
    <w:rsid w:val="0B6C5D22"/>
    <w:rsid w:val="0B770C6E"/>
    <w:rsid w:val="0B80181E"/>
    <w:rsid w:val="0B8C4C9B"/>
    <w:rsid w:val="0B923EB9"/>
    <w:rsid w:val="0BA202B4"/>
    <w:rsid w:val="0BBC2A42"/>
    <w:rsid w:val="0BE24B2A"/>
    <w:rsid w:val="0BE91440"/>
    <w:rsid w:val="0C050A5A"/>
    <w:rsid w:val="0C1F287C"/>
    <w:rsid w:val="0C5829B2"/>
    <w:rsid w:val="0C673C16"/>
    <w:rsid w:val="0C851E84"/>
    <w:rsid w:val="0CAF7D3B"/>
    <w:rsid w:val="0CBE28CD"/>
    <w:rsid w:val="0CC77885"/>
    <w:rsid w:val="0CE07E49"/>
    <w:rsid w:val="0CF12B59"/>
    <w:rsid w:val="0D1D65A7"/>
    <w:rsid w:val="0D3D3445"/>
    <w:rsid w:val="0D3E30D8"/>
    <w:rsid w:val="0D5D5C42"/>
    <w:rsid w:val="0E0013E3"/>
    <w:rsid w:val="0E5531FB"/>
    <w:rsid w:val="0E8F3EB9"/>
    <w:rsid w:val="0E963DD5"/>
    <w:rsid w:val="0EB77249"/>
    <w:rsid w:val="0ED618BB"/>
    <w:rsid w:val="0F00541F"/>
    <w:rsid w:val="0F030DDE"/>
    <w:rsid w:val="0F223CB6"/>
    <w:rsid w:val="0F3268DA"/>
    <w:rsid w:val="0F5E228A"/>
    <w:rsid w:val="0F76748F"/>
    <w:rsid w:val="0F7A0F69"/>
    <w:rsid w:val="0FBD1929"/>
    <w:rsid w:val="0FD63E90"/>
    <w:rsid w:val="10156CA8"/>
    <w:rsid w:val="10160A99"/>
    <w:rsid w:val="10613A0A"/>
    <w:rsid w:val="10BE2E9B"/>
    <w:rsid w:val="10DD6442"/>
    <w:rsid w:val="10E42967"/>
    <w:rsid w:val="10EA5EC5"/>
    <w:rsid w:val="10F07328"/>
    <w:rsid w:val="110A1B65"/>
    <w:rsid w:val="115A19BD"/>
    <w:rsid w:val="11661EBA"/>
    <w:rsid w:val="11E9324C"/>
    <w:rsid w:val="120B055F"/>
    <w:rsid w:val="12135F22"/>
    <w:rsid w:val="12307DC9"/>
    <w:rsid w:val="125B488D"/>
    <w:rsid w:val="12614426"/>
    <w:rsid w:val="128B4FFF"/>
    <w:rsid w:val="129C3780"/>
    <w:rsid w:val="12BA7711"/>
    <w:rsid w:val="12C55F61"/>
    <w:rsid w:val="12C94F9C"/>
    <w:rsid w:val="12CA3E66"/>
    <w:rsid w:val="12EE5CE0"/>
    <w:rsid w:val="133B395C"/>
    <w:rsid w:val="133D4C82"/>
    <w:rsid w:val="135E44C2"/>
    <w:rsid w:val="13605BA9"/>
    <w:rsid w:val="139A07F7"/>
    <w:rsid w:val="13EE7251"/>
    <w:rsid w:val="13F71224"/>
    <w:rsid w:val="14015831"/>
    <w:rsid w:val="144B713C"/>
    <w:rsid w:val="14BA433B"/>
    <w:rsid w:val="14C559BE"/>
    <w:rsid w:val="15057D60"/>
    <w:rsid w:val="150C68CB"/>
    <w:rsid w:val="152403E0"/>
    <w:rsid w:val="152F6116"/>
    <w:rsid w:val="15400323"/>
    <w:rsid w:val="15587759"/>
    <w:rsid w:val="15777677"/>
    <w:rsid w:val="15892C5B"/>
    <w:rsid w:val="15910747"/>
    <w:rsid w:val="1592652E"/>
    <w:rsid w:val="15C40F54"/>
    <w:rsid w:val="16105F47"/>
    <w:rsid w:val="16166DFD"/>
    <w:rsid w:val="162D3E23"/>
    <w:rsid w:val="163B0AEA"/>
    <w:rsid w:val="164F45D5"/>
    <w:rsid w:val="17045380"/>
    <w:rsid w:val="17607DDF"/>
    <w:rsid w:val="17A7249B"/>
    <w:rsid w:val="17C07E41"/>
    <w:rsid w:val="181302E6"/>
    <w:rsid w:val="1818228A"/>
    <w:rsid w:val="182B3664"/>
    <w:rsid w:val="183E5738"/>
    <w:rsid w:val="189A735D"/>
    <w:rsid w:val="18F323AD"/>
    <w:rsid w:val="190D1995"/>
    <w:rsid w:val="192A64FC"/>
    <w:rsid w:val="196D141C"/>
    <w:rsid w:val="19BD66DD"/>
    <w:rsid w:val="19C37774"/>
    <w:rsid w:val="19DD0CF1"/>
    <w:rsid w:val="1A023970"/>
    <w:rsid w:val="1A050BAD"/>
    <w:rsid w:val="1A380BC7"/>
    <w:rsid w:val="1A39184A"/>
    <w:rsid w:val="1A495D50"/>
    <w:rsid w:val="1A4B0BCF"/>
    <w:rsid w:val="1A4B3863"/>
    <w:rsid w:val="1A6F0924"/>
    <w:rsid w:val="1A75002E"/>
    <w:rsid w:val="1A96061E"/>
    <w:rsid w:val="1ABE3CA8"/>
    <w:rsid w:val="1ACA0429"/>
    <w:rsid w:val="1B09565B"/>
    <w:rsid w:val="1B3672B3"/>
    <w:rsid w:val="1B4154C8"/>
    <w:rsid w:val="1B6562F5"/>
    <w:rsid w:val="1B742AD4"/>
    <w:rsid w:val="1BDE0896"/>
    <w:rsid w:val="1BE55780"/>
    <w:rsid w:val="1BF172C8"/>
    <w:rsid w:val="1C2E7B93"/>
    <w:rsid w:val="1C39398A"/>
    <w:rsid w:val="1C3C0895"/>
    <w:rsid w:val="1CA64AB4"/>
    <w:rsid w:val="1CAE1FAA"/>
    <w:rsid w:val="1CCE25E4"/>
    <w:rsid w:val="1D012399"/>
    <w:rsid w:val="1D267261"/>
    <w:rsid w:val="1D2B409B"/>
    <w:rsid w:val="1D417E40"/>
    <w:rsid w:val="1D573559"/>
    <w:rsid w:val="1D9F1E7E"/>
    <w:rsid w:val="1DA64530"/>
    <w:rsid w:val="1DE84E32"/>
    <w:rsid w:val="1E823FC1"/>
    <w:rsid w:val="1E8962EA"/>
    <w:rsid w:val="1ED31627"/>
    <w:rsid w:val="1F027736"/>
    <w:rsid w:val="1F5223BC"/>
    <w:rsid w:val="1F7A7571"/>
    <w:rsid w:val="1FCE3F40"/>
    <w:rsid w:val="204131A1"/>
    <w:rsid w:val="20590115"/>
    <w:rsid w:val="20760E4B"/>
    <w:rsid w:val="20A13F70"/>
    <w:rsid w:val="20B0639B"/>
    <w:rsid w:val="21026DD4"/>
    <w:rsid w:val="210A77C6"/>
    <w:rsid w:val="21101501"/>
    <w:rsid w:val="211D21C5"/>
    <w:rsid w:val="21374CD0"/>
    <w:rsid w:val="216858E5"/>
    <w:rsid w:val="21BF4251"/>
    <w:rsid w:val="21C520F6"/>
    <w:rsid w:val="21E7766F"/>
    <w:rsid w:val="224114F2"/>
    <w:rsid w:val="22730A3C"/>
    <w:rsid w:val="228A4928"/>
    <w:rsid w:val="22AC24D1"/>
    <w:rsid w:val="22C94D0D"/>
    <w:rsid w:val="22CE51C0"/>
    <w:rsid w:val="22E04EF3"/>
    <w:rsid w:val="22F55E2B"/>
    <w:rsid w:val="22F62F57"/>
    <w:rsid w:val="22FE2E67"/>
    <w:rsid w:val="231735A8"/>
    <w:rsid w:val="231C3895"/>
    <w:rsid w:val="232142F5"/>
    <w:rsid w:val="233A7FAB"/>
    <w:rsid w:val="23AB5957"/>
    <w:rsid w:val="23D26F32"/>
    <w:rsid w:val="23DC390D"/>
    <w:rsid w:val="23E80D0B"/>
    <w:rsid w:val="23F31B05"/>
    <w:rsid w:val="2422054B"/>
    <w:rsid w:val="24242DD5"/>
    <w:rsid w:val="245142FB"/>
    <w:rsid w:val="257511CD"/>
    <w:rsid w:val="25AF02A6"/>
    <w:rsid w:val="25BD2A3D"/>
    <w:rsid w:val="25CF7214"/>
    <w:rsid w:val="25F413E1"/>
    <w:rsid w:val="25F767DC"/>
    <w:rsid w:val="26002BB7"/>
    <w:rsid w:val="26403640"/>
    <w:rsid w:val="26476C08"/>
    <w:rsid w:val="26595372"/>
    <w:rsid w:val="265D1703"/>
    <w:rsid w:val="26645F1D"/>
    <w:rsid w:val="26840EC9"/>
    <w:rsid w:val="26860079"/>
    <w:rsid w:val="26C32B62"/>
    <w:rsid w:val="26D23F28"/>
    <w:rsid w:val="26E36EAD"/>
    <w:rsid w:val="27007912"/>
    <w:rsid w:val="27374C7D"/>
    <w:rsid w:val="2763067B"/>
    <w:rsid w:val="27723922"/>
    <w:rsid w:val="277A0F4D"/>
    <w:rsid w:val="277F01E4"/>
    <w:rsid w:val="27862104"/>
    <w:rsid w:val="27A92F75"/>
    <w:rsid w:val="27B9222B"/>
    <w:rsid w:val="27D05536"/>
    <w:rsid w:val="27D45306"/>
    <w:rsid w:val="27F21951"/>
    <w:rsid w:val="27FE1F58"/>
    <w:rsid w:val="284A0FF5"/>
    <w:rsid w:val="29182C9E"/>
    <w:rsid w:val="298B5C4B"/>
    <w:rsid w:val="299A4C91"/>
    <w:rsid w:val="29C236CA"/>
    <w:rsid w:val="29C63C11"/>
    <w:rsid w:val="29D52F66"/>
    <w:rsid w:val="29FF34E7"/>
    <w:rsid w:val="29FF3CAB"/>
    <w:rsid w:val="2A650850"/>
    <w:rsid w:val="2A67583D"/>
    <w:rsid w:val="2A924740"/>
    <w:rsid w:val="2A96776D"/>
    <w:rsid w:val="2AC463B1"/>
    <w:rsid w:val="2ACB6F40"/>
    <w:rsid w:val="2ACF7D27"/>
    <w:rsid w:val="2B0D6D1D"/>
    <w:rsid w:val="2B4F04AE"/>
    <w:rsid w:val="2BE37E9E"/>
    <w:rsid w:val="2BE92780"/>
    <w:rsid w:val="2C0605E6"/>
    <w:rsid w:val="2C0A4AEB"/>
    <w:rsid w:val="2C39284C"/>
    <w:rsid w:val="2C517592"/>
    <w:rsid w:val="2C5B4440"/>
    <w:rsid w:val="2C640A71"/>
    <w:rsid w:val="2C707634"/>
    <w:rsid w:val="2C7D1A60"/>
    <w:rsid w:val="2C965357"/>
    <w:rsid w:val="2D0225A0"/>
    <w:rsid w:val="2D2C3CCF"/>
    <w:rsid w:val="2D3E1194"/>
    <w:rsid w:val="2D595134"/>
    <w:rsid w:val="2DBC1CFC"/>
    <w:rsid w:val="2DC042D9"/>
    <w:rsid w:val="2DF11595"/>
    <w:rsid w:val="2DFC5970"/>
    <w:rsid w:val="2E1903AF"/>
    <w:rsid w:val="2E35102B"/>
    <w:rsid w:val="2E44349D"/>
    <w:rsid w:val="2EBD004C"/>
    <w:rsid w:val="2EE266D5"/>
    <w:rsid w:val="2EE96D84"/>
    <w:rsid w:val="2F0157CC"/>
    <w:rsid w:val="2F550663"/>
    <w:rsid w:val="2F5E4B1C"/>
    <w:rsid w:val="2F610283"/>
    <w:rsid w:val="2F657DD4"/>
    <w:rsid w:val="2F7112CC"/>
    <w:rsid w:val="2F735F72"/>
    <w:rsid w:val="2F947791"/>
    <w:rsid w:val="2FB92DF9"/>
    <w:rsid w:val="2FBC3C6B"/>
    <w:rsid w:val="2FE2558D"/>
    <w:rsid w:val="2FEC30FA"/>
    <w:rsid w:val="2FEE1920"/>
    <w:rsid w:val="2FF30D3D"/>
    <w:rsid w:val="2FFE1972"/>
    <w:rsid w:val="30140449"/>
    <w:rsid w:val="3021716C"/>
    <w:rsid w:val="304B65C2"/>
    <w:rsid w:val="304F36B8"/>
    <w:rsid w:val="3050725F"/>
    <w:rsid w:val="306C426A"/>
    <w:rsid w:val="310B018B"/>
    <w:rsid w:val="313159BD"/>
    <w:rsid w:val="316A379F"/>
    <w:rsid w:val="31857103"/>
    <w:rsid w:val="31A44824"/>
    <w:rsid w:val="31CD40BC"/>
    <w:rsid w:val="31E3722E"/>
    <w:rsid w:val="32566F80"/>
    <w:rsid w:val="326A1489"/>
    <w:rsid w:val="32A907CC"/>
    <w:rsid w:val="32D875F8"/>
    <w:rsid w:val="331A5D2A"/>
    <w:rsid w:val="333C3FAE"/>
    <w:rsid w:val="33557238"/>
    <w:rsid w:val="337634BA"/>
    <w:rsid w:val="33911268"/>
    <w:rsid w:val="33CD2B97"/>
    <w:rsid w:val="33F33F5C"/>
    <w:rsid w:val="342C55C9"/>
    <w:rsid w:val="343735A2"/>
    <w:rsid w:val="343D6F56"/>
    <w:rsid w:val="34401E2C"/>
    <w:rsid w:val="34625D9E"/>
    <w:rsid w:val="3479639B"/>
    <w:rsid w:val="34C37052"/>
    <w:rsid w:val="34C94326"/>
    <w:rsid w:val="34D710B9"/>
    <w:rsid w:val="35077EB6"/>
    <w:rsid w:val="35757F47"/>
    <w:rsid w:val="36404645"/>
    <w:rsid w:val="36712FC0"/>
    <w:rsid w:val="3697169A"/>
    <w:rsid w:val="36AD22F2"/>
    <w:rsid w:val="36B32B5E"/>
    <w:rsid w:val="36FB31B6"/>
    <w:rsid w:val="3708452F"/>
    <w:rsid w:val="37250C2A"/>
    <w:rsid w:val="372E3E63"/>
    <w:rsid w:val="376B0BDA"/>
    <w:rsid w:val="37C970CC"/>
    <w:rsid w:val="382331AB"/>
    <w:rsid w:val="38260B47"/>
    <w:rsid w:val="384A0CFE"/>
    <w:rsid w:val="38625C87"/>
    <w:rsid w:val="38743CBC"/>
    <w:rsid w:val="38763ED8"/>
    <w:rsid w:val="38CB36BA"/>
    <w:rsid w:val="391220A5"/>
    <w:rsid w:val="393B38EF"/>
    <w:rsid w:val="394274FC"/>
    <w:rsid w:val="394352BA"/>
    <w:rsid w:val="394C5BC6"/>
    <w:rsid w:val="395726A0"/>
    <w:rsid w:val="39644874"/>
    <w:rsid w:val="398E4208"/>
    <w:rsid w:val="39A27BC3"/>
    <w:rsid w:val="39AB264F"/>
    <w:rsid w:val="39B90520"/>
    <w:rsid w:val="39E62997"/>
    <w:rsid w:val="39F80499"/>
    <w:rsid w:val="3A0643BA"/>
    <w:rsid w:val="3A15096C"/>
    <w:rsid w:val="3A1E5E3D"/>
    <w:rsid w:val="3A5650BB"/>
    <w:rsid w:val="3A5C5A79"/>
    <w:rsid w:val="3A5E6429"/>
    <w:rsid w:val="3A95066C"/>
    <w:rsid w:val="3ACA621D"/>
    <w:rsid w:val="3AE86314"/>
    <w:rsid w:val="3AF169BF"/>
    <w:rsid w:val="3B2876C0"/>
    <w:rsid w:val="3B293241"/>
    <w:rsid w:val="3B316E0D"/>
    <w:rsid w:val="3B366FA6"/>
    <w:rsid w:val="3B3D75CD"/>
    <w:rsid w:val="3B7F5549"/>
    <w:rsid w:val="3B8A6F41"/>
    <w:rsid w:val="3BA205F0"/>
    <w:rsid w:val="3BCE6655"/>
    <w:rsid w:val="3C433404"/>
    <w:rsid w:val="3D4C16AB"/>
    <w:rsid w:val="3D4D47C3"/>
    <w:rsid w:val="3D7959DF"/>
    <w:rsid w:val="3D7D3DBE"/>
    <w:rsid w:val="3DB12561"/>
    <w:rsid w:val="3DC300EC"/>
    <w:rsid w:val="3DE505C1"/>
    <w:rsid w:val="3E833CA2"/>
    <w:rsid w:val="3E873BCC"/>
    <w:rsid w:val="3EA07EEE"/>
    <w:rsid w:val="3EA8197D"/>
    <w:rsid w:val="3ED85281"/>
    <w:rsid w:val="3F402AB0"/>
    <w:rsid w:val="3F48386B"/>
    <w:rsid w:val="3F607592"/>
    <w:rsid w:val="3F7D0F0A"/>
    <w:rsid w:val="3F8773F7"/>
    <w:rsid w:val="3FA22A77"/>
    <w:rsid w:val="3FA4132B"/>
    <w:rsid w:val="40175FA1"/>
    <w:rsid w:val="40271F5C"/>
    <w:rsid w:val="40366D14"/>
    <w:rsid w:val="403B3093"/>
    <w:rsid w:val="403C0DD2"/>
    <w:rsid w:val="40522BB6"/>
    <w:rsid w:val="406E5B77"/>
    <w:rsid w:val="40742987"/>
    <w:rsid w:val="407709EC"/>
    <w:rsid w:val="407B3AD1"/>
    <w:rsid w:val="408B4299"/>
    <w:rsid w:val="412666AA"/>
    <w:rsid w:val="41475597"/>
    <w:rsid w:val="41594397"/>
    <w:rsid w:val="418D66EB"/>
    <w:rsid w:val="41970A1B"/>
    <w:rsid w:val="41BE16FA"/>
    <w:rsid w:val="41C247B5"/>
    <w:rsid w:val="42461BF0"/>
    <w:rsid w:val="42A33CD3"/>
    <w:rsid w:val="42B77A4D"/>
    <w:rsid w:val="42DF0455"/>
    <w:rsid w:val="42E63A08"/>
    <w:rsid w:val="42ED7640"/>
    <w:rsid w:val="432C268A"/>
    <w:rsid w:val="434B5F61"/>
    <w:rsid w:val="435A4BCB"/>
    <w:rsid w:val="435F6A76"/>
    <w:rsid w:val="4368266F"/>
    <w:rsid w:val="43850545"/>
    <w:rsid w:val="43A05439"/>
    <w:rsid w:val="43CE0EE0"/>
    <w:rsid w:val="43DF4626"/>
    <w:rsid w:val="43F27E46"/>
    <w:rsid w:val="441D0D5C"/>
    <w:rsid w:val="442742D8"/>
    <w:rsid w:val="442C30E2"/>
    <w:rsid w:val="4431722A"/>
    <w:rsid w:val="44323EF7"/>
    <w:rsid w:val="445554AC"/>
    <w:rsid w:val="445F4788"/>
    <w:rsid w:val="44C16034"/>
    <w:rsid w:val="44E04490"/>
    <w:rsid w:val="44E67B5B"/>
    <w:rsid w:val="44E87F0C"/>
    <w:rsid w:val="4529605B"/>
    <w:rsid w:val="454C4B2C"/>
    <w:rsid w:val="455863FB"/>
    <w:rsid w:val="456904E4"/>
    <w:rsid w:val="45B65830"/>
    <w:rsid w:val="45F96148"/>
    <w:rsid w:val="45FB6652"/>
    <w:rsid w:val="462F2783"/>
    <w:rsid w:val="46600474"/>
    <w:rsid w:val="46787E89"/>
    <w:rsid w:val="46D92D86"/>
    <w:rsid w:val="471E7C15"/>
    <w:rsid w:val="474A277B"/>
    <w:rsid w:val="474B6722"/>
    <w:rsid w:val="47550B96"/>
    <w:rsid w:val="47A6578C"/>
    <w:rsid w:val="47C61332"/>
    <w:rsid w:val="47D1749A"/>
    <w:rsid w:val="47DE73B4"/>
    <w:rsid w:val="47ED04A6"/>
    <w:rsid w:val="48164D90"/>
    <w:rsid w:val="48245CF7"/>
    <w:rsid w:val="483072FD"/>
    <w:rsid w:val="484F3B1B"/>
    <w:rsid w:val="489C08BF"/>
    <w:rsid w:val="48B34D6C"/>
    <w:rsid w:val="48B8212E"/>
    <w:rsid w:val="48C011D0"/>
    <w:rsid w:val="48CC18F2"/>
    <w:rsid w:val="49141B22"/>
    <w:rsid w:val="49647B55"/>
    <w:rsid w:val="498F6BF9"/>
    <w:rsid w:val="49973CAE"/>
    <w:rsid w:val="49AC7518"/>
    <w:rsid w:val="49E36EF3"/>
    <w:rsid w:val="4A066E8B"/>
    <w:rsid w:val="4A0E1C6D"/>
    <w:rsid w:val="4A162E25"/>
    <w:rsid w:val="4A41744D"/>
    <w:rsid w:val="4A687599"/>
    <w:rsid w:val="4A713F12"/>
    <w:rsid w:val="4A840C54"/>
    <w:rsid w:val="4A872429"/>
    <w:rsid w:val="4A8E0ECE"/>
    <w:rsid w:val="4B3527A5"/>
    <w:rsid w:val="4B9C6363"/>
    <w:rsid w:val="4C0231EF"/>
    <w:rsid w:val="4C181799"/>
    <w:rsid w:val="4C5B0F80"/>
    <w:rsid w:val="4C795F65"/>
    <w:rsid w:val="4CA3628F"/>
    <w:rsid w:val="4CA74208"/>
    <w:rsid w:val="4CB56259"/>
    <w:rsid w:val="4CB93F3C"/>
    <w:rsid w:val="4CDB65A8"/>
    <w:rsid w:val="4D1A5A11"/>
    <w:rsid w:val="4D1F57FE"/>
    <w:rsid w:val="4D414F08"/>
    <w:rsid w:val="4D461C73"/>
    <w:rsid w:val="4D5819A6"/>
    <w:rsid w:val="4D761E2D"/>
    <w:rsid w:val="4DCB03CA"/>
    <w:rsid w:val="4DFE2823"/>
    <w:rsid w:val="4E2F209D"/>
    <w:rsid w:val="4E4361B3"/>
    <w:rsid w:val="4E4C27ED"/>
    <w:rsid w:val="4E716872"/>
    <w:rsid w:val="4E7825E9"/>
    <w:rsid w:val="4E850579"/>
    <w:rsid w:val="4EF77D71"/>
    <w:rsid w:val="4EFE07F8"/>
    <w:rsid w:val="4F4F04F6"/>
    <w:rsid w:val="4F756840"/>
    <w:rsid w:val="4FB61588"/>
    <w:rsid w:val="4FCD2CC5"/>
    <w:rsid w:val="4FCE780F"/>
    <w:rsid w:val="4FD51E3B"/>
    <w:rsid w:val="4FFC0D0F"/>
    <w:rsid w:val="500D0826"/>
    <w:rsid w:val="504C57F7"/>
    <w:rsid w:val="50A81BBD"/>
    <w:rsid w:val="51037E7B"/>
    <w:rsid w:val="51213897"/>
    <w:rsid w:val="51956DF0"/>
    <w:rsid w:val="519D11B3"/>
    <w:rsid w:val="51CB6BEB"/>
    <w:rsid w:val="51E76232"/>
    <w:rsid w:val="51F07213"/>
    <w:rsid w:val="521F1806"/>
    <w:rsid w:val="522E61DB"/>
    <w:rsid w:val="52697B69"/>
    <w:rsid w:val="52E1200F"/>
    <w:rsid w:val="52ED493F"/>
    <w:rsid w:val="52FC2E1D"/>
    <w:rsid w:val="53000B16"/>
    <w:rsid w:val="5309699E"/>
    <w:rsid w:val="53227120"/>
    <w:rsid w:val="5338694C"/>
    <w:rsid w:val="533E53A8"/>
    <w:rsid w:val="534A6D20"/>
    <w:rsid w:val="535122A0"/>
    <w:rsid w:val="53611E8A"/>
    <w:rsid w:val="537D2988"/>
    <w:rsid w:val="53953009"/>
    <w:rsid w:val="53A5730B"/>
    <w:rsid w:val="53AE5ED7"/>
    <w:rsid w:val="53B12890"/>
    <w:rsid w:val="53D56D3E"/>
    <w:rsid w:val="54014B46"/>
    <w:rsid w:val="54337E43"/>
    <w:rsid w:val="543E18F6"/>
    <w:rsid w:val="54531F10"/>
    <w:rsid w:val="545E3479"/>
    <w:rsid w:val="545F6FBF"/>
    <w:rsid w:val="54BA6AA3"/>
    <w:rsid w:val="554A3019"/>
    <w:rsid w:val="55512316"/>
    <w:rsid w:val="557029F8"/>
    <w:rsid w:val="55760C1C"/>
    <w:rsid w:val="55C62214"/>
    <w:rsid w:val="55EB7035"/>
    <w:rsid w:val="55F81F79"/>
    <w:rsid w:val="56443D94"/>
    <w:rsid w:val="56565961"/>
    <w:rsid w:val="56644F18"/>
    <w:rsid w:val="569D17FB"/>
    <w:rsid w:val="578D32A8"/>
    <w:rsid w:val="579139FB"/>
    <w:rsid w:val="5791443C"/>
    <w:rsid w:val="57A81CF4"/>
    <w:rsid w:val="57BB325E"/>
    <w:rsid w:val="57BD71F2"/>
    <w:rsid w:val="57C2639A"/>
    <w:rsid w:val="57D63ECC"/>
    <w:rsid w:val="57F64296"/>
    <w:rsid w:val="57FA66ED"/>
    <w:rsid w:val="58093C26"/>
    <w:rsid w:val="58B01BC6"/>
    <w:rsid w:val="58BA5690"/>
    <w:rsid w:val="58CD6A5F"/>
    <w:rsid w:val="58D473DA"/>
    <w:rsid w:val="58E662A8"/>
    <w:rsid w:val="58FE08DF"/>
    <w:rsid w:val="59561490"/>
    <w:rsid w:val="59644804"/>
    <w:rsid w:val="59997C9B"/>
    <w:rsid w:val="59C84FA1"/>
    <w:rsid w:val="5A715E56"/>
    <w:rsid w:val="5A913874"/>
    <w:rsid w:val="5AA24261"/>
    <w:rsid w:val="5AA57EDE"/>
    <w:rsid w:val="5B503CBD"/>
    <w:rsid w:val="5B730C8B"/>
    <w:rsid w:val="5B792163"/>
    <w:rsid w:val="5BB25227"/>
    <w:rsid w:val="5C0E36AA"/>
    <w:rsid w:val="5C1C6A7E"/>
    <w:rsid w:val="5C4B6CC8"/>
    <w:rsid w:val="5C683601"/>
    <w:rsid w:val="5C6A5252"/>
    <w:rsid w:val="5C800BAB"/>
    <w:rsid w:val="5CD209C4"/>
    <w:rsid w:val="5D3A2AD0"/>
    <w:rsid w:val="5D523570"/>
    <w:rsid w:val="5D753EAF"/>
    <w:rsid w:val="5D9D645C"/>
    <w:rsid w:val="5E0D2339"/>
    <w:rsid w:val="5E20545C"/>
    <w:rsid w:val="5E7F7D1C"/>
    <w:rsid w:val="5EA1572D"/>
    <w:rsid w:val="5EEB596A"/>
    <w:rsid w:val="5EF671A8"/>
    <w:rsid w:val="5F0B77B7"/>
    <w:rsid w:val="5F1C1A53"/>
    <w:rsid w:val="5F280F9E"/>
    <w:rsid w:val="5F385194"/>
    <w:rsid w:val="5F466CAD"/>
    <w:rsid w:val="5F471D15"/>
    <w:rsid w:val="5F4C123C"/>
    <w:rsid w:val="5F645C14"/>
    <w:rsid w:val="5F751C60"/>
    <w:rsid w:val="5FC627A0"/>
    <w:rsid w:val="5FE60409"/>
    <w:rsid w:val="600C648B"/>
    <w:rsid w:val="60174B8C"/>
    <w:rsid w:val="60234A74"/>
    <w:rsid w:val="604E1815"/>
    <w:rsid w:val="6062696C"/>
    <w:rsid w:val="60A40A6B"/>
    <w:rsid w:val="60BF1447"/>
    <w:rsid w:val="60D9720E"/>
    <w:rsid w:val="60E51BA8"/>
    <w:rsid w:val="610F0880"/>
    <w:rsid w:val="61217132"/>
    <w:rsid w:val="61572C72"/>
    <w:rsid w:val="61656047"/>
    <w:rsid w:val="61830E6B"/>
    <w:rsid w:val="619A33EB"/>
    <w:rsid w:val="61BC444D"/>
    <w:rsid w:val="6206072E"/>
    <w:rsid w:val="62114276"/>
    <w:rsid w:val="624379FE"/>
    <w:rsid w:val="627963C9"/>
    <w:rsid w:val="62814DE1"/>
    <w:rsid w:val="62A216E2"/>
    <w:rsid w:val="62D13F91"/>
    <w:rsid w:val="62D53D23"/>
    <w:rsid w:val="62FF3F5F"/>
    <w:rsid w:val="63222241"/>
    <w:rsid w:val="6347208A"/>
    <w:rsid w:val="63562603"/>
    <w:rsid w:val="6358750E"/>
    <w:rsid w:val="63AD43A2"/>
    <w:rsid w:val="63AE29CA"/>
    <w:rsid w:val="63B5373F"/>
    <w:rsid w:val="63B82D47"/>
    <w:rsid w:val="63C111DD"/>
    <w:rsid w:val="63CA0557"/>
    <w:rsid w:val="642A7D98"/>
    <w:rsid w:val="64441708"/>
    <w:rsid w:val="644E6E76"/>
    <w:rsid w:val="64617B9C"/>
    <w:rsid w:val="646709F5"/>
    <w:rsid w:val="64722EF6"/>
    <w:rsid w:val="647732ED"/>
    <w:rsid w:val="64933631"/>
    <w:rsid w:val="64DF7DEC"/>
    <w:rsid w:val="651231C8"/>
    <w:rsid w:val="6545196B"/>
    <w:rsid w:val="6550153A"/>
    <w:rsid w:val="65674A25"/>
    <w:rsid w:val="657C66B8"/>
    <w:rsid w:val="659B2B9C"/>
    <w:rsid w:val="65A7460D"/>
    <w:rsid w:val="65B41784"/>
    <w:rsid w:val="65F17726"/>
    <w:rsid w:val="660E2C4C"/>
    <w:rsid w:val="66551873"/>
    <w:rsid w:val="667353AA"/>
    <w:rsid w:val="667F66FF"/>
    <w:rsid w:val="668D3E7A"/>
    <w:rsid w:val="669C4C79"/>
    <w:rsid w:val="66B92AAE"/>
    <w:rsid w:val="66BA4CE2"/>
    <w:rsid w:val="66EA548C"/>
    <w:rsid w:val="670D5158"/>
    <w:rsid w:val="67997B9F"/>
    <w:rsid w:val="67A61638"/>
    <w:rsid w:val="67B4474D"/>
    <w:rsid w:val="67C209B2"/>
    <w:rsid w:val="67E4235D"/>
    <w:rsid w:val="67ED6539"/>
    <w:rsid w:val="6811574B"/>
    <w:rsid w:val="68323665"/>
    <w:rsid w:val="692C50C3"/>
    <w:rsid w:val="6966285E"/>
    <w:rsid w:val="696C085C"/>
    <w:rsid w:val="69767E03"/>
    <w:rsid w:val="69916240"/>
    <w:rsid w:val="69A85F4C"/>
    <w:rsid w:val="69CD079E"/>
    <w:rsid w:val="69D9075E"/>
    <w:rsid w:val="69E576CC"/>
    <w:rsid w:val="69EB3C59"/>
    <w:rsid w:val="69F94604"/>
    <w:rsid w:val="69FC6B02"/>
    <w:rsid w:val="6A401E91"/>
    <w:rsid w:val="6A613E90"/>
    <w:rsid w:val="6A9C7D94"/>
    <w:rsid w:val="6AA656A7"/>
    <w:rsid w:val="6AA9734A"/>
    <w:rsid w:val="6AD16513"/>
    <w:rsid w:val="6AD46A66"/>
    <w:rsid w:val="6AF66351"/>
    <w:rsid w:val="6B3A67C6"/>
    <w:rsid w:val="6B407C2A"/>
    <w:rsid w:val="6B506AC4"/>
    <w:rsid w:val="6B594E10"/>
    <w:rsid w:val="6B813CCC"/>
    <w:rsid w:val="6B9D486E"/>
    <w:rsid w:val="6BC5152F"/>
    <w:rsid w:val="6BCB46FA"/>
    <w:rsid w:val="6BD42F9F"/>
    <w:rsid w:val="6BDF70C3"/>
    <w:rsid w:val="6BFB265E"/>
    <w:rsid w:val="6C7B73B6"/>
    <w:rsid w:val="6CAE3097"/>
    <w:rsid w:val="6CC175C4"/>
    <w:rsid w:val="6D0F01A3"/>
    <w:rsid w:val="6D146A85"/>
    <w:rsid w:val="6D2D7BC2"/>
    <w:rsid w:val="6D351A8D"/>
    <w:rsid w:val="6D4A4521"/>
    <w:rsid w:val="6D522D57"/>
    <w:rsid w:val="6D5A056F"/>
    <w:rsid w:val="6D5E0586"/>
    <w:rsid w:val="6D68133A"/>
    <w:rsid w:val="6D693A29"/>
    <w:rsid w:val="6DA20B0A"/>
    <w:rsid w:val="6DC30DB8"/>
    <w:rsid w:val="6DDF271A"/>
    <w:rsid w:val="6DE07298"/>
    <w:rsid w:val="6E160D96"/>
    <w:rsid w:val="6E17038A"/>
    <w:rsid w:val="6E4415AF"/>
    <w:rsid w:val="6E4F0128"/>
    <w:rsid w:val="6EA12695"/>
    <w:rsid w:val="6EA2262A"/>
    <w:rsid w:val="6F1D062A"/>
    <w:rsid w:val="6F4F2F6F"/>
    <w:rsid w:val="6FB50341"/>
    <w:rsid w:val="6FF27051"/>
    <w:rsid w:val="6FFD2810"/>
    <w:rsid w:val="70334A73"/>
    <w:rsid w:val="703D2212"/>
    <w:rsid w:val="709C4929"/>
    <w:rsid w:val="70CD6084"/>
    <w:rsid w:val="70DA32E3"/>
    <w:rsid w:val="70E86ED8"/>
    <w:rsid w:val="710C61C0"/>
    <w:rsid w:val="713036D2"/>
    <w:rsid w:val="716B7A9C"/>
    <w:rsid w:val="717006C0"/>
    <w:rsid w:val="718D32CB"/>
    <w:rsid w:val="71B4029E"/>
    <w:rsid w:val="71C3391E"/>
    <w:rsid w:val="71FE04BF"/>
    <w:rsid w:val="7205184D"/>
    <w:rsid w:val="725F6682"/>
    <w:rsid w:val="72624021"/>
    <w:rsid w:val="727A15DA"/>
    <w:rsid w:val="72B40078"/>
    <w:rsid w:val="72CC5BD6"/>
    <w:rsid w:val="72D27981"/>
    <w:rsid w:val="72E40557"/>
    <w:rsid w:val="72E6342D"/>
    <w:rsid w:val="734927BA"/>
    <w:rsid w:val="73B230A0"/>
    <w:rsid w:val="73DB2866"/>
    <w:rsid w:val="742506B6"/>
    <w:rsid w:val="74415EF9"/>
    <w:rsid w:val="745C1EFA"/>
    <w:rsid w:val="74A731A8"/>
    <w:rsid w:val="74B351A8"/>
    <w:rsid w:val="74B77420"/>
    <w:rsid w:val="74D80B53"/>
    <w:rsid w:val="74F370D9"/>
    <w:rsid w:val="757E1548"/>
    <w:rsid w:val="75B6295B"/>
    <w:rsid w:val="75E6098F"/>
    <w:rsid w:val="761C0C50"/>
    <w:rsid w:val="76297AAD"/>
    <w:rsid w:val="7647515B"/>
    <w:rsid w:val="766D196F"/>
    <w:rsid w:val="76842C29"/>
    <w:rsid w:val="76AA50E0"/>
    <w:rsid w:val="76BD07B0"/>
    <w:rsid w:val="770D0EF9"/>
    <w:rsid w:val="77442E9C"/>
    <w:rsid w:val="7780446C"/>
    <w:rsid w:val="77946E0E"/>
    <w:rsid w:val="77BD54AF"/>
    <w:rsid w:val="77E958B8"/>
    <w:rsid w:val="78012BEE"/>
    <w:rsid w:val="781E7BA9"/>
    <w:rsid w:val="783267CC"/>
    <w:rsid w:val="78917DBF"/>
    <w:rsid w:val="78926353"/>
    <w:rsid w:val="78A126D3"/>
    <w:rsid w:val="7911485B"/>
    <w:rsid w:val="793F3897"/>
    <w:rsid w:val="794C0316"/>
    <w:rsid w:val="79536ACE"/>
    <w:rsid w:val="797B484A"/>
    <w:rsid w:val="7987417D"/>
    <w:rsid w:val="799867EC"/>
    <w:rsid w:val="79B779D9"/>
    <w:rsid w:val="79C31CB3"/>
    <w:rsid w:val="79D25064"/>
    <w:rsid w:val="79E26018"/>
    <w:rsid w:val="7A113F66"/>
    <w:rsid w:val="7A2860D9"/>
    <w:rsid w:val="7A542E9E"/>
    <w:rsid w:val="7A634EC9"/>
    <w:rsid w:val="7A687671"/>
    <w:rsid w:val="7A6E38A0"/>
    <w:rsid w:val="7A973DEF"/>
    <w:rsid w:val="7A9900C9"/>
    <w:rsid w:val="7ABF4C89"/>
    <w:rsid w:val="7B0E7C5F"/>
    <w:rsid w:val="7B2454C1"/>
    <w:rsid w:val="7B364826"/>
    <w:rsid w:val="7B461A2B"/>
    <w:rsid w:val="7B566C76"/>
    <w:rsid w:val="7BB32248"/>
    <w:rsid w:val="7BCB1412"/>
    <w:rsid w:val="7BFA0D4F"/>
    <w:rsid w:val="7C1E72F0"/>
    <w:rsid w:val="7C2B0F68"/>
    <w:rsid w:val="7C5C7C13"/>
    <w:rsid w:val="7C987016"/>
    <w:rsid w:val="7CEA3B1A"/>
    <w:rsid w:val="7CF60710"/>
    <w:rsid w:val="7D032359"/>
    <w:rsid w:val="7D0C1CE2"/>
    <w:rsid w:val="7D1F130E"/>
    <w:rsid w:val="7D221406"/>
    <w:rsid w:val="7D231780"/>
    <w:rsid w:val="7D7D0EC6"/>
    <w:rsid w:val="7D833D21"/>
    <w:rsid w:val="7D951EFA"/>
    <w:rsid w:val="7D9B4E14"/>
    <w:rsid w:val="7DA04114"/>
    <w:rsid w:val="7DB639FC"/>
    <w:rsid w:val="7DBA7990"/>
    <w:rsid w:val="7DC12ACC"/>
    <w:rsid w:val="7DEF1B0E"/>
    <w:rsid w:val="7E0B0BAC"/>
    <w:rsid w:val="7E436C84"/>
    <w:rsid w:val="7E6553B9"/>
    <w:rsid w:val="7E7C7B0E"/>
    <w:rsid w:val="7EA5419C"/>
    <w:rsid w:val="7EA773F9"/>
    <w:rsid w:val="7F082D18"/>
    <w:rsid w:val="7F167379"/>
    <w:rsid w:val="7F391DBF"/>
    <w:rsid w:val="7FAF5D8B"/>
    <w:rsid w:val="7FD50263"/>
    <w:rsid w:val="7FF06E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qFormat="1" w:unhideWhenUsed="0"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unhideWhenUsed="0" w:uiPriority="0" w:semiHidden="0" w:name="header"/>
    <w:lsdException w:unhideWhenUsed="0" w:uiPriority="0" w:semiHidden="0" w:name="footer"/>
    <w:lsdException w:qFormat="1" w:unhideWhenUsed="0" w:uiPriority="99"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qFormat="1" w:unhideWhenUsed="0" w:uiPriority="0" w:semiHidden="0" w:name="List Number 5" w:locked="1"/>
    <w:lsdException w:unhideWhenUsed="0" w:uiPriority="0" w:semiHidden="0" w:name="Title" w:locked="1"/>
    <w:lsdException w:unhideWhenUsed="0" w:uiPriority="0" w:semiHidden="0" w:name="Closing" w:locked="1"/>
    <w:lsdException w:unhideWhenUsed="0" w:uiPriority="0" w:semiHidden="0" w:name="Signature" w:locked="1"/>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unhideWhenUsed="0" w:uiPriority="0" w:semiHidden="0" w:name="Strong" w:locked="1"/>
    <w:lsdException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0"/>
    <w:pPr>
      <w:keepNext/>
      <w:widowControl w:val="0"/>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keepNext/>
      <w:keepLines/>
      <w:widowControl w:val="0"/>
      <w:spacing w:before="260" w:after="260" w:line="415" w:lineRule="auto"/>
      <w:outlineLvl w:val="1"/>
    </w:pPr>
    <w:rPr>
      <w:rFonts w:ascii="Arial" w:hAnsi="Arial" w:eastAsia="黑体"/>
      <w:b/>
      <w:bCs/>
      <w:sz w:val="32"/>
      <w:szCs w:val="32"/>
    </w:rPr>
  </w:style>
  <w:style w:type="paragraph" w:styleId="4">
    <w:name w:val="heading 3"/>
    <w:basedOn w:val="1"/>
    <w:next w:val="1"/>
    <w:autoRedefine/>
    <w:qFormat/>
    <w:locked/>
    <w:uiPriority w:val="0"/>
    <w:pPr>
      <w:keepNext/>
      <w:keepLines/>
      <w:widowControl w:val="0"/>
      <w:spacing w:before="260" w:after="260" w:line="415" w:lineRule="auto"/>
      <w:outlineLvl w:val="2"/>
    </w:pPr>
    <w:rPr>
      <w:b/>
      <w:bCs/>
      <w:sz w:val="32"/>
      <w:szCs w:val="32"/>
    </w:rPr>
  </w:style>
  <w:style w:type="paragraph" w:styleId="5">
    <w:name w:val="heading 4"/>
    <w:basedOn w:val="1"/>
    <w:next w:val="1"/>
    <w:autoRedefine/>
    <w:qFormat/>
    <w:locked/>
    <w:uiPriority w:val="0"/>
    <w:pPr>
      <w:keepNext/>
      <w:keepLines/>
      <w:widowControl w:val="0"/>
      <w:spacing w:before="280" w:after="290" w:line="376" w:lineRule="auto"/>
      <w:outlineLvl w:val="3"/>
    </w:pPr>
    <w:rPr>
      <w:rFonts w:ascii="Cambria" w:hAnsi="Cambria" w:eastAsia="宋体" w:cs="Times New Roman"/>
      <w:b/>
      <w:bCs/>
      <w:szCs w:val="28"/>
      <w:lang w:bidi="ar-SA"/>
    </w:rPr>
  </w:style>
  <w:style w:type="paragraph" w:styleId="6">
    <w:name w:val="heading 5"/>
    <w:basedOn w:val="1"/>
    <w:next w:val="1"/>
    <w:locked/>
    <w:uiPriority w:val="0"/>
    <w:pPr>
      <w:ind w:left="487"/>
      <w:outlineLvl w:val="4"/>
    </w:pPr>
    <w:rPr>
      <w:rFonts w:ascii="宋体" w:eastAsia="宋体" w:cs="宋体"/>
      <w:b/>
      <w:bCs/>
      <w:sz w:val="24"/>
      <w:szCs w:val="24"/>
      <w:lang w:val="zh-CN" w:eastAsia="zh-CN" w:bidi="zh-CN"/>
    </w:rPr>
  </w:style>
  <w:style w:type="character" w:default="1" w:styleId="33">
    <w:name w:val="Default Paragraph Font"/>
    <w:autoRedefine/>
    <w:qFormat/>
    <w:uiPriority w:val="0"/>
  </w:style>
  <w:style w:type="table" w:default="1" w:styleId="31">
    <w:name w:val="Normal Table"/>
    <w:autoRedefine/>
    <w:qFormat/>
    <w:uiPriority w:val="0"/>
    <w:tblPr>
      <w:tblCellMar>
        <w:top w:w="0" w:type="dxa"/>
        <w:left w:w="108" w:type="dxa"/>
        <w:bottom w:w="0" w:type="dxa"/>
        <w:right w:w="108" w:type="dxa"/>
      </w:tblCellMar>
    </w:tblPr>
  </w:style>
  <w:style w:type="paragraph" w:styleId="7">
    <w:name w:val="Normal Indent"/>
    <w:basedOn w:val="1"/>
    <w:next w:val="8"/>
    <w:autoRedefine/>
    <w:qFormat/>
    <w:locked/>
    <w:uiPriority w:val="0"/>
    <w:pPr>
      <w:ind w:firstLine="420"/>
    </w:pPr>
  </w:style>
  <w:style w:type="paragraph" w:styleId="8">
    <w:name w:val="Body Text"/>
    <w:basedOn w:val="1"/>
    <w:autoRedefine/>
    <w:qFormat/>
    <w:uiPriority w:val="0"/>
    <w:pPr>
      <w:widowControl/>
      <w:snapToGrid w:val="0"/>
      <w:spacing w:before="60" w:after="160" w:line="259" w:lineRule="auto"/>
      <w:ind w:right="113"/>
    </w:pPr>
    <w:rPr>
      <w:kern w:val="0"/>
      <w:sz w:val="18"/>
      <w:szCs w:val="20"/>
    </w:rPr>
  </w:style>
  <w:style w:type="paragraph" w:styleId="9">
    <w:name w:val="caption"/>
    <w:basedOn w:val="1"/>
    <w:next w:val="1"/>
    <w:autoRedefine/>
    <w:qFormat/>
    <w:locked/>
    <w:uiPriority w:val="0"/>
    <w:pPr>
      <w:spacing w:before="152" w:after="160"/>
    </w:pPr>
    <w:rPr>
      <w:rFonts w:ascii="Arial" w:hAnsi="Arial" w:eastAsia="黑体" w:cs="Arial"/>
      <w:sz w:val="20"/>
      <w:lang w:bidi="ar-SA"/>
    </w:rPr>
  </w:style>
  <w:style w:type="paragraph" w:styleId="10">
    <w:name w:val="annotation text"/>
    <w:basedOn w:val="1"/>
    <w:autoRedefine/>
    <w:qFormat/>
    <w:uiPriority w:val="0"/>
    <w:pPr>
      <w:jc w:val="left"/>
    </w:pPr>
    <w:rPr>
      <w:kern w:val="0"/>
      <w:sz w:val="24"/>
      <w:szCs w:val="20"/>
    </w:rPr>
  </w:style>
  <w:style w:type="paragraph" w:styleId="11">
    <w:name w:val="Body Text Indent"/>
    <w:basedOn w:val="1"/>
    <w:next w:val="12"/>
    <w:autoRedefine/>
    <w:qFormat/>
    <w:uiPriority w:val="0"/>
    <w:pPr>
      <w:spacing w:after="120"/>
      <w:ind w:left="200" w:leftChars="200"/>
    </w:pPr>
    <w:rPr>
      <w:kern w:val="0"/>
      <w:sz w:val="24"/>
      <w:szCs w:val="20"/>
    </w:rPr>
  </w:style>
  <w:style w:type="paragraph" w:customStyle="1" w:styleId="12">
    <w:name w:val="样式 正文文本缩进 + 行距: 1.5 倍行距"/>
    <w:basedOn w:val="1"/>
    <w:autoRedefine/>
    <w:qFormat/>
    <w:uiPriority w:val="0"/>
    <w:pPr>
      <w:spacing w:after="120" w:line="360" w:lineRule="auto"/>
      <w:ind w:left="32" w:leftChars="32" w:firstLine="200" w:firstLineChars="200"/>
    </w:pPr>
    <w:rPr>
      <w:rFonts w:cs="宋体"/>
      <w:lang w:bidi="ar-SA"/>
    </w:rPr>
  </w:style>
  <w:style w:type="paragraph" w:styleId="13">
    <w:name w:val="Plain Text"/>
    <w:basedOn w:val="1"/>
    <w:next w:val="14"/>
    <w:autoRedefine/>
    <w:qFormat/>
    <w:locked/>
    <w:uiPriority w:val="0"/>
    <w:rPr>
      <w:rFonts w:ascii="宋体" w:cs="Courier New"/>
      <w:szCs w:val="21"/>
      <w:vertAlign w:val="superscript"/>
      <w:lang w:bidi="ar-SA"/>
    </w:rPr>
  </w:style>
  <w:style w:type="paragraph" w:styleId="14">
    <w:name w:val="List Number 5"/>
    <w:basedOn w:val="1"/>
    <w:next w:val="15"/>
    <w:autoRedefine/>
    <w:qFormat/>
    <w:locked/>
    <w:uiPriority w:val="0"/>
    <w:pPr>
      <w:numPr>
        <w:ilvl w:val="0"/>
        <w:numId w:val="1"/>
      </w:numPr>
    </w:pPr>
  </w:style>
  <w:style w:type="paragraph" w:styleId="15">
    <w:name w:val="List"/>
    <w:basedOn w:val="1"/>
    <w:next w:val="16"/>
    <w:autoRedefine/>
    <w:qFormat/>
    <w:locked/>
    <w:uiPriority w:val="0"/>
    <w:pPr>
      <w:ind w:left="200" w:hanging="200" w:hangingChars="200"/>
    </w:pPr>
  </w:style>
  <w:style w:type="paragraph" w:customStyle="1" w:styleId="16">
    <w:name w:val="Default"/>
    <w:basedOn w:val="17"/>
    <w:next w:val="1"/>
    <w:uiPriority w:val="0"/>
    <w:pPr>
      <w:widowControl w:val="0"/>
      <w:autoSpaceDE w:val="0"/>
      <w:autoSpaceDN w:val="0"/>
      <w:adjustRightInd w:val="0"/>
    </w:pPr>
    <w:rPr>
      <w:rFonts w:ascii="宋体" w:eastAsia="宋体" w:cs="宋体"/>
      <w:color w:val="000000"/>
      <w:sz w:val="24"/>
      <w:szCs w:val="24"/>
      <w:lang w:val="en-US" w:eastAsia="zh-CN" w:bidi="ar-SA"/>
    </w:rPr>
  </w:style>
  <w:style w:type="paragraph" w:customStyle="1" w:styleId="17">
    <w:name w:val="纯文本1"/>
    <w:basedOn w:val="1"/>
    <w:uiPriority w:val="0"/>
    <w:rPr>
      <w:rFonts w:ascii="宋体"/>
      <w:szCs w:val="20"/>
    </w:rPr>
  </w:style>
  <w:style w:type="paragraph" w:styleId="18">
    <w:name w:val="List Bullet 5"/>
    <w:basedOn w:val="1"/>
    <w:locked/>
    <w:uiPriority w:val="0"/>
    <w:pPr>
      <w:numPr>
        <w:ilvl w:val="0"/>
        <w:numId w:val="2"/>
      </w:numPr>
    </w:pPr>
  </w:style>
  <w:style w:type="paragraph" w:styleId="19">
    <w:name w:val="Date"/>
    <w:basedOn w:val="1"/>
    <w:next w:val="1"/>
    <w:uiPriority w:val="0"/>
    <w:pPr>
      <w:ind w:left="2500" w:leftChars="2500"/>
    </w:pPr>
    <w:rPr>
      <w:kern w:val="0"/>
      <w:sz w:val="24"/>
      <w:szCs w:val="20"/>
    </w:rPr>
  </w:style>
  <w:style w:type="paragraph" w:styleId="20">
    <w:name w:val="Body Text Indent 2"/>
    <w:basedOn w:val="1"/>
    <w:locked/>
    <w:uiPriority w:val="0"/>
    <w:pPr>
      <w:spacing w:line="540" w:lineRule="exact"/>
      <w:ind w:firstLine="627"/>
    </w:pPr>
    <w:rPr>
      <w:rFonts w:eastAsia="方正仿宋简体"/>
      <w:sz w:val="28"/>
    </w:rPr>
  </w:style>
  <w:style w:type="paragraph" w:styleId="21">
    <w:name w:val="Balloon Text"/>
    <w:basedOn w:val="1"/>
    <w:uiPriority w:val="0"/>
    <w:rPr>
      <w:kern w:val="0"/>
      <w:sz w:val="18"/>
      <w:szCs w:val="20"/>
    </w:rPr>
  </w:style>
  <w:style w:type="paragraph" w:styleId="22">
    <w:name w:val="footer"/>
    <w:basedOn w:val="1"/>
    <w:uiPriority w:val="0"/>
    <w:pPr>
      <w:tabs>
        <w:tab w:val="center" w:pos="4153"/>
        <w:tab w:val="right" w:pos="8306"/>
      </w:tabs>
      <w:snapToGrid w:val="0"/>
      <w:jc w:val="left"/>
    </w:pPr>
    <w:rPr>
      <w:kern w:val="0"/>
      <w:sz w:val="18"/>
      <w:szCs w:val="20"/>
    </w:rPr>
  </w:style>
  <w:style w:type="paragraph" w:styleId="23">
    <w:name w:val="header"/>
    <w:basedOn w:val="1"/>
    <w:next w:val="1"/>
    <w:uiPriority w:val="0"/>
    <w:pPr>
      <w:pBdr>
        <w:bottom w:val="single" w:color="auto" w:sz="6" w:space="1"/>
      </w:pBdr>
      <w:tabs>
        <w:tab w:val="center" w:pos="4153"/>
        <w:tab w:val="right" w:pos="8306"/>
      </w:tabs>
      <w:snapToGrid w:val="0"/>
      <w:jc w:val="center"/>
    </w:pPr>
    <w:rPr>
      <w:kern w:val="0"/>
      <w:sz w:val="18"/>
      <w:szCs w:val="20"/>
    </w:rPr>
  </w:style>
  <w:style w:type="paragraph" w:styleId="24">
    <w:name w:val="index heading"/>
    <w:basedOn w:val="1"/>
    <w:next w:val="25"/>
    <w:qFormat/>
    <w:locked/>
    <w:uiPriority w:val="99"/>
    <w:rPr>
      <w:szCs w:val="20"/>
    </w:rPr>
  </w:style>
  <w:style w:type="paragraph" w:styleId="25">
    <w:name w:val="index 1"/>
    <w:basedOn w:val="1"/>
    <w:next w:val="1"/>
    <w:qFormat/>
    <w:locked/>
    <w:uiPriority w:val="99"/>
    <w:pPr>
      <w:spacing w:line="320" w:lineRule="exact"/>
      <w:jc w:val="center"/>
    </w:pPr>
    <w:rPr>
      <w:color w:val="000000"/>
      <w:szCs w:val="21"/>
    </w:rPr>
  </w:style>
  <w:style w:type="paragraph" w:styleId="26">
    <w:name w:val="toc 2"/>
    <w:basedOn w:val="1"/>
    <w:next w:val="1"/>
    <w:autoRedefine/>
    <w:qFormat/>
    <w:locked/>
    <w:uiPriority w:val="0"/>
    <w:pPr>
      <w:tabs>
        <w:tab w:val="right" w:leader="dot" w:pos="8720"/>
      </w:tabs>
      <w:spacing w:line="360" w:lineRule="auto"/>
      <w:ind w:firstLine="200" w:firstLineChars="200"/>
    </w:pPr>
    <w:rPr>
      <w:rFonts w:ascii="宋体"/>
      <w:b/>
      <w:color w:val="000000"/>
      <w:spacing w:val="10"/>
      <w:sz w:val="28"/>
      <w:szCs w:val="28"/>
    </w:rPr>
  </w:style>
  <w:style w:type="paragraph" w:styleId="27">
    <w:name w:val="Normal (Web)"/>
    <w:basedOn w:val="1"/>
    <w:autoRedefine/>
    <w:qFormat/>
    <w:uiPriority w:val="0"/>
    <w:pPr>
      <w:widowControl/>
      <w:spacing w:before="100" w:beforeAutospacing="1" w:after="100" w:afterAutospacing="1"/>
      <w:jc w:val="left"/>
    </w:pPr>
    <w:rPr>
      <w:rFonts w:ascii="宋体"/>
      <w:kern w:val="0"/>
      <w:sz w:val="24"/>
      <w:szCs w:val="20"/>
    </w:rPr>
  </w:style>
  <w:style w:type="paragraph" w:styleId="28">
    <w:name w:val="annotation subject"/>
    <w:basedOn w:val="10"/>
    <w:next w:val="10"/>
    <w:autoRedefine/>
    <w:qFormat/>
    <w:uiPriority w:val="0"/>
    <w:rPr>
      <w:b/>
      <w:sz w:val="24"/>
      <w:szCs w:val="20"/>
    </w:rPr>
  </w:style>
  <w:style w:type="paragraph" w:styleId="29">
    <w:name w:val="Body Text First Indent"/>
    <w:basedOn w:val="8"/>
    <w:next w:val="1"/>
    <w:autoRedefine/>
    <w:qFormat/>
    <w:locked/>
    <w:uiPriority w:val="0"/>
    <w:pPr>
      <w:overflowPunct w:val="0"/>
      <w:snapToGrid w:val="0"/>
      <w:spacing w:after="120" w:line="480" w:lineRule="exact"/>
      <w:ind w:firstLine="420"/>
    </w:pPr>
    <w:rPr>
      <w:rFonts w:ascii="Arial" w:hAnsi="Arial" w:eastAsia="仿宋_GB2312" w:cs="Times New Roman"/>
    </w:rPr>
  </w:style>
  <w:style w:type="paragraph" w:styleId="30">
    <w:name w:val="Body Text First Indent 2"/>
    <w:basedOn w:val="11"/>
    <w:next w:val="1"/>
    <w:autoRedefine/>
    <w:qFormat/>
    <w:locked/>
    <w:uiPriority w:val="0"/>
    <w:pPr>
      <w:spacing w:after="120" w:line="240" w:lineRule="auto"/>
      <w:ind w:left="200" w:leftChars="200" w:firstLine="200" w:firstLineChars="200"/>
    </w:pPr>
    <w:rPr>
      <w:rFonts w:eastAsia="宋体"/>
      <w:sz w:val="21"/>
      <w:szCs w:val="24"/>
    </w:rPr>
  </w:style>
  <w:style w:type="table" w:styleId="32">
    <w:name w:val="Table Grid"/>
    <w:basedOn w:val="3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autoRedefine/>
    <w:qFormat/>
    <w:locked/>
    <w:uiPriority w:val="0"/>
  </w:style>
  <w:style w:type="character" w:styleId="35">
    <w:name w:val="Hyperlink"/>
    <w:basedOn w:val="33"/>
    <w:autoRedefine/>
    <w:qFormat/>
    <w:locked/>
    <w:uiPriority w:val="0"/>
    <w:rPr>
      <w:color w:val="136EC2"/>
      <w:u w:val="single"/>
    </w:rPr>
  </w:style>
  <w:style w:type="character" w:styleId="36">
    <w:name w:val="annotation reference"/>
    <w:autoRedefine/>
    <w:qFormat/>
    <w:uiPriority w:val="0"/>
    <w:rPr>
      <w:sz w:val="21"/>
    </w:rPr>
  </w:style>
  <w:style w:type="paragraph" w:customStyle="1" w:styleId="37">
    <w:name w:val="表格内"/>
    <w:basedOn w:val="1"/>
    <w:autoRedefine/>
    <w:qFormat/>
    <w:uiPriority w:val="0"/>
    <w:pPr>
      <w:adjustRightInd w:val="0"/>
      <w:snapToGrid w:val="0"/>
      <w:spacing w:line="360" w:lineRule="exact"/>
      <w:jc w:val="center"/>
    </w:pPr>
    <w:rPr>
      <w:rFonts w:ascii="Times New Roman" w:hAnsi="Times New Roman" w:eastAsia="Times New Roman"/>
      <w:snapToGrid w:val="0"/>
      <w:kern w:val="0"/>
      <w:szCs w:val="21"/>
    </w:rPr>
  </w:style>
  <w:style w:type="paragraph" w:customStyle="1" w:styleId="38">
    <w:name w:val="表格文字"/>
    <w:basedOn w:val="8"/>
    <w:autoRedefine/>
    <w:qFormat/>
    <w:uiPriority w:val="0"/>
    <w:pPr>
      <w:autoSpaceDE w:val="0"/>
      <w:autoSpaceDN w:val="0"/>
      <w:adjustRightInd w:val="0"/>
      <w:spacing w:before="60" w:after="60"/>
      <w:jc w:val="left"/>
      <w:textAlignment w:val="bottom"/>
    </w:pPr>
    <w:rPr>
      <w:kern w:val="0"/>
    </w:rPr>
  </w:style>
  <w:style w:type="paragraph" w:customStyle="1" w:styleId="39">
    <w:name w:val="1 表头"/>
    <w:basedOn w:val="7"/>
    <w:autoRedefine/>
    <w:qFormat/>
    <w:uiPriority w:val="0"/>
    <w:pPr>
      <w:adjustRightInd w:val="0"/>
      <w:snapToGrid w:val="0"/>
      <w:spacing w:line="240" w:lineRule="auto"/>
      <w:ind w:firstLine="0" w:firstLineChars="0"/>
      <w:jc w:val="center"/>
    </w:pPr>
    <w:rPr>
      <w:b/>
      <w:color w:val="000000"/>
      <w:sz w:val="21"/>
      <w:szCs w:val="21"/>
    </w:rPr>
  </w:style>
  <w:style w:type="paragraph" w:customStyle="1" w:styleId="40">
    <w:name w:val="样式 正文缩进正文缩进2正文缩进 Char Char正文缩进 Char Char Char Char正文缩进 Char ..."/>
    <w:basedOn w:val="7"/>
    <w:autoRedefine/>
    <w:qFormat/>
    <w:uiPriority w:val="0"/>
    <w:pPr>
      <w:spacing w:line="360" w:lineRule="auto"/>
      <w:ind w:firstLine="200"/>
    </w:pPr>
    <w:rPr>
      <w:rFonts w:cs="宋体"/>
      <w:sz w:val="24"/>
    </w:rPr>
  </w:style>
  <w:style w:type="character" w:customStyle="1" w:styleId="41">
    <w:name w:val="日期 字符"/>
    <w:autoRedefine/>
    <w:qFormat/>
    <w:uiPriority w:val="0"/>
    <w:rPr>
      <w:rFonts w:ascii="Times New Roman" w:hAnsi="Times New Roman" w:eastAsia="宋体"/>
      <w:sz w:val="24"/>
    </w:rPr>
  </w:style>
  <w:style w:type="character" w:customStyle="1" w:styleId="42">
    <w:name w:val="页脚 字符"/>
    <w:basedOn w:val="33"/>
    <w:autoRedefine/>
    <w:qFormat/>
    <w:uiPriority w:val="0"/>
  </w:style>
  <w:style w:type="character" w:customStyle="1" w:styleId="43">
    <w:name w:val="正文文本 字符1"/>
    <w:autoRedefine/>
    <w:qFormat/>
    <w:uiPriority w:val="0"/>
    <w:rPr>
      <w:rFonts w:ascii="Times New Roman" w:hAnsi="Times New Roman" w:eastAsia="宋体"/>
      <w:sz w:val="24"/>
    </w:rPr>
  </w:style>
  <w:style w:type="character" w:customStyle="1" w:styleId="44">
    <w:name w:val="textbig1"/>
    <w:basedOn w:val="33"/>
    <w:autoRedefine/>
    <w:qFormat/>
    <w:uiPriority w:val="0"/>
    <w:rPr>
      <w:sz w:val="18"/>
      <w:szCs w:val="18"/>
    </w:rPr>
  </w:style>
  <w:style w:type="paragraph" w:customStyle="1" w:styleId="45">
    <w:name w:val="表格"/>
    <w:basedOn w:val="1"/>
    <w:next w:val="1"/>
    <w:autoRedefine/>
    <w:qFormat/>
    <w:uiPriority w:val="0"/>
    <w:pPr>
      <w:adjustRightInd w:val="0"/>
      <w:snapToGrid w:val="0"/>
      <w:spacing w:before="10" w:beforeLines="10" w:after="10" w:afterLines="10" w:line="259" w:lineRule="auto"/>
      <w:jc w:val="center"/>
    </w:pPr>
    <w:rPr>
      <w:rFonts w:ascii="宋体"/>
      <w:kern w:val="0"/>
      <w:szCs w:val="20"/>
    </w:rPr>
  </w:style>
  <w:style w:type="character" w:customStyle="1" w:styleId="46">
    <w:name w:val="批注文字 字符1"/>
    <w:autoRedefine/>
    <w:qFormat/>
    <w:uiPriority w:val="0"/>
    <w:rPr>
      <w:rFonts w:ascii="Times New Roman" w:hAnsi="Times New Roman" w:eastAsia="宋体"/>
      <w:sz w:val="24"/>
    </w:rPr>
  </w:style>
  <w:style w:type="paragraph" w:customStyle="1" w:styleId="47">
    <w:name w:val="表格内容"/>
    <w:basedOn w:val="1"/>
    <w:next w:val="1"/>
    <w:autoRedefine/>
    <w:qFormat/>
    <w:uiPriority w:val="0"/>
    <w:pPr>
      <w:spacing w:before="48" w:after="48" w:line="240" w:lineRule="auto"/>
      <w:jc w:val="center"/>
    </w:pPr>
    <w:rPr>
      <w:rFonts w:ascii="Times New Roman" w:hAnsi="Times New Roman"/>
      <w:color w:val="000000"/>
      <w:sz w:val="21"/>
      <w:szCs w:val="21"/>
    </w:rPr>
  </w:style>
  <w:style w:type="paragraph" w:customStyle="1" w:styleId="48">
    <w:name w:val="常用正文样式"/>
    <w:autoRedefine/>
    <w:qFormat/>
    <w:uiPriority w:val="0"/>
    <w:pPr>
      <w:widowControl w:val="0"/>
      <w:spacing w:line="360" w:lineRule="auto"/>
      <w:ind w:firstLine="454"/>
      <w:jc w:val="both"/>
    </w:pPr>
    <w:rPr>
      <w:rFonts w:ascii="宋体" w:hAnsi="宋体" w:eastAsia="仿宋_GB2312" w:cs="Times New Roman"/>
      <w:kern w:val="2"/>
      <w:sz w:val="24"/>
      <w:szCs w:val="24"/>
      <w:lang w:val="en-US" w:eastAsia="zh-CN" w:bidi="ar-SA"/>
    </w:rPr>
  </w:style>
  <w:style w:type="paragraph" w:customStyle="1" w:styleId="49">
    <w:name w:val="Table Paragraph"/>
    <w:basedOn w:val="1"/>
    <w:autoRedefine/>
    <w:qFormat/>
    <w:uiPriority w:val="0"/>
    <w:rPr>
      <w:rFonts w:ascii="宋体" w:eastAsia="宋体" w:cs="宋体"/>
      <w:lang w:val="zh-CN" w:eastAsia="zh-CN" w:bidi="zh-CN"/>
    </w:rPr>
  </w:style>
  <w:style w:type="paragraph" w:customStyle="1" w:styleId="50">
    <w:name w:val="样式17"/>
    <w:basedOn w:val="1"/>
    <w:autoRedefine/>
    <w:qFormat/>
    <w:uiPriority w:val="0"/>
    <w:pPr>
      <w:spacing w:line="360" w:lineRule="auto"/>
    </w:pPr>
    <w:rPr>
      <w:rFonts w:ascii="Arial" w:hAnsi="Arial" w:cs="Arial"/>
      <w:szCs w:val="24"/>
      <w:lang w:bidi="ar-SA"/>
    </w:rPr>
  </w:style>
  <w:style w:type="paragraph" w:customStyle="1" w:styleId="51">
    <w:name w:val="表头"/>
    <w:basedOn w:val="1"/>
    <w:next w:val="1"/>
    <w:autoRedefine/>
    <w:qFormat/>
    <w:uiPriority w:val="0"/>
    <w:pPr>
      <w:adjustRightInd w:val="0"/>
      <w:snapToGrid w:val="0"/>
      <w:spacing w:before="78"/>
      <w:jc w:val="center"/>
      <w:textAlignment w:val="baseline"/>
    </w:pPr>
    <w:rPr>
      <w:rFonts w:eastAsia="仿宋_GB2312"/>
      <w:b/>
      <w:kern w:val="0"/>
      <w:sz w:val="28"/>
      <w:szCs w:val="28"/>
    </w:rPr>
  </w:style>
  <w:style w:type="paragraph" w:customStyle="1" w:styleId="52">
    <w:name w:val="A-z正文"/>
    <w:basedOn w:val="1"/>
    <w:autoRedefine/>
    <w:qFormat/>
    <w:uiPriority w:val="0"/>
    <w:pPr>
      <w:spacing w:line="360" w:lineRule="auto"/>
      <w:ind w:firstLine="200"/>
    </w:pPr>
    <w:rPr>
      <w:rFonts w:ascii="Calibri" w:hAnsi="Calibri" w:eastAsia="宋体" w:cs="宋体"/>
      <w:szCs w:val="20"/>
      <w:lang w:bidi="ar-SA"/>
    </w:rPr>
  </w:style>
  <w:style w:type="paragraph" w:customStyle="1" w:styleId="53">
    <w:name w:val="样式 首行缩进:  2 字符1"/>
    <w:basedOn w:val="1"/>
    <w:autoRedefine/>
    <w:qFormat/>
    <w:uiPriority w:val="0"/>
    <w:pPr>
      <w:spacing w:before="120" w:line="400" w:lineRule="exact"/>
      <w:ind w:firstLine="200" w:firstLineChars="200"/>
    </w:pPr>
    <w:rPr>
      <w:rFonts w:ascii="宋体"/>
      <w:sz w:val="24"/>
    </w:rPr>
  </w:style>
  <w:style w:type="paragraph" w:customStyle="1" w:styleId="54">
    <w:name w:val="普通(网站)2"/>
    <w:basedOn w:val="1"/>
    <w:autoRedefine/>
    <w:qFormat/>
    <w:uiPriority w:val="0"/>
    <w:pPr>
      <w:widowControl/>
      <w:spacing w:before="100" w:beforeAutospacing="1" w:after="100" w:afterAutospacing="1"/>
      <w:jc w:val="left"/>
    </w:pPr>
    <w:rPr>
      <w:rFonts w:ascii="宋体"/>
      <w:sz w:val="24"/>
      <w:szCs w:val="20"/>
    </w:rPr>
  </w:style>
  <w:style w:type="paragraph" w:customStyle="1" w:styleId="55">
    <w:name w:val="常用表格样式"/>
    <w:basedOn w:val="48"/>
    <w:next w:val="48"/>
    <w:autoRedefine/>
    <w:qFormat/>
    <w:uiPriority w:val="0"/>
    <w:pPr>
      <w:widowControl w:val="0"/>
      <w:adjustRightInd w:val="0"/>
      <w:jc w:val="center"/>
    </w:pPr>
    <w:rPr>
      <w:rFonts w:ascii="仿宋" w:eastAsia="仿宋" w:cs="Times New Roman"/>
      <w:color w:val="000000"/>
      <w:sz w:val="18"/>
      <w:szCs w:val="18"/>
      <w:lang w:bidi="ar-SA"/>
    </w:rPr>
  </w:style>
  <w:style w:type="paragraph" w:customStyle="1" w:styleId="56">
    <w:name w:val="6 Char Char Char Char Char Char1 Char"/>
    <w:basedOn w:val="1"/>
    <w:autoRedefine/>
    <w:qFormat/>
    <w:uiPriority w:val="0"/>
  </w:style>
  <w:style w:type="paragraph" w:customStyle="1" w:styleId="57">
    <w:name w:val=" Char Char Char1 Char"/>
    <w:basedOn w:val="1"/>
    <w:autoRedefine/>
    <w:qFormat/>
    <w:uiPriority w:val="0"/>
  </w:style>
  <w:style w:type="paragraph" w:customStyle="1" w:styleId="58">
    <w:name w:val="正文小四"/>
    <w:basedOn w:val="1"/>
    <w:autoRedefine/>
    <w:qFormat/>
    <w:uiPriority w:val="0"/>
    <w:pPr>
      <w:spacing w:line="360" w:lineRule="auto"/>
      <w:ind w:firstLine="150" w:firstLineChars="150"/>
      <w:jc w:val="left"/>
    </w:pPr>
    <w:rPr>
      <w:rFonts w:eastAsia="Century Gothic"/>
      <w:sz w:val="24"/>
    </w:rPr>
  </w:style>
  <w:style w:type="paragraph" w:styleId="59">
    <w:name w:val="List Paragraph"/>
    <w:basedOn w:val="1"/>
    <w:autoRedefine/>
    <w:qFormat/>
    <w:uiPriority w:val="0"/>
    <w:pPr>
      <w:spacing w:before="1"/>
      <w:ind w:left="258" w:hanging="617"/>
    </w:pPr>
    <w:rPr>
      <w:rFonts w:ascii="宋体" w:eastAsia="宋体" w:cs="宋体"/>
      <w:lang w:val="zh-CN" w:eastAsia="zh-CN" w:bidi="zh-CN"/>
    </w:rPr>
  </w:style>
  <w:style w:type="paragraph" w:customStyle="1" w:styleId="60">
    <w:name w:val="正文-ls"/>
    <w:basedOn w:val="1"/>
    <w:autoRedefine/>
    <w:qFormat/>
    <w:uiPriority w:val="0"/>
    <w:pPr>
      <w:spacing w:line="360" w:lineRule="auto"/>
      <w:ind w:firstLine="200" w:firstLineChars="200"/>
    </w:pPr>
    <w:rPr>
      <w:rFonts w:cs="宋体"/>
      <w:sz w:val="24"/>
      <w:lang w:bidi="ar-SA"/>
    </w:rPr>
  </w:style>
  <w:style w:type="paragraph" w:customStyle="1" w:styleId="61">
    <w:name w:val="Body text|1"/>
    <w:basedOn w:val="1"/>
    <w:autoRedefine/>
    <w:qFormat/>
    <w:uiPriority w:val="0"/>
    <w:pPr>
      <w:widowControl w:val="0"/>
      <w:shd w:val="clear" w:color="auto" w:fill="auto"/>
      <w:spacing w:line="480" w:lineRule="auto"/>
      <w:ind w:firstLine="400"/>
    </w:pPr>
    <w:rPr>
      <w:rFonts w:ascii="宋体" w:eastAsia="宋体" w:cs="宋体"/>
      <w:sz w:val="22"/>
      <w:szCs w:val="22"/>
      <w:u w:val="none"/>
      <w:shd w:val="clear" w:color="auto" w:fill="auto"/>
      <w:lang w:val="zh-TW" w:eastAsia="zh-TW" w:bidi="zh-TW"/>
    </w:rPr>
  </w:style>
  <w:style w:type="paragraph" w:customStyle="1" w:styleId="6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表格正文"/>
    <w:basedOn w:val="1"/>
    <w:autoRedefine/>
    <w:qFormat/>
    <w:uiPriority w:val="0"/>
    <w:pPr>
      <w:spacing w:line="360" w:lineRule="exact"/>
      <w:jc w:val="center"/>
    </w:pPr>
    <w:rPr>
      <w:szCs w:val="24"/>
    </w:rPr>
  </w:style>
  <w:style w:type="paragraph" w:customStyle="1" w:styleId="64">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5">
    <w:name w:val="MEL正文*"/>
    <w:basedOn w:val="1"/>
    <w:autoRedefine/>
    <w:qFormat/>
    <w:uiPriority w:val="0"/>
    <w:pPr>
      <w:spacing w:line="500" w:lineRule="exact"/>
      <w:ind w:firstLine="200" w:firstLineChars="200"/>
    </w:pPr>
    <w:rPr>
      <w:rFonts w:ascii="宋体"/>
      <w:kern w:val="0"/>
      <w:sz w:val="24"/>
    </w:rPr>
  </w:style>
  <w:style w:type="paragraph" w:customStyle="1" w:styleId="66">
    <w:name w:val="【正文】"/>
    <w:basedOn w:val="1"/>
    <w:autoRedefine/>
    <w:qFormat/>
    <w:uiPriority w:val="0"/>
    <w:pPr>
      <w:adjustRightInd/>
      <w:snapToGrid/>
      <w:spacing w:line="500" w:lineRule="exact"/>
    </w:pPr>
  </w:style>
  <w:style w:type="table" w:customStyle="1" w:styleId="67">
    <w:name w:val="Table Normal"/>
    <w:autoRedefine/>
    <w:unhideWhenUsed/>
    <w:qFormat/>
    <w:uiPriority w:val="0"/>
    <w:tblPr>
      <w:tblCellMar>
        <w:top w:w="0" w:type="dxa"/>
        <w:left w:w="0" w:type="dxa"/>
        <w:bottom w:w="0" w:type="dxa"/>
        <w:right w:w="0" w:type="dxa"/>
      </w:tblCellMar>
    </w:tblPr>
  </w:style>
  <w:style w:type="character" w:customStyle="1" w:styleId="68">
    <w:name w:val="fontstyle01"/>
    <w:basedOn w:val="33"/>
    <w:autoRedefine/>
    <w:qFormat/>
    <w:uiPriority w:val="0"/>
    <w:rPr>
      <w:rFonts w:hint="eastAsia" w:ascii="宋体" w:hAnsi="宋体" w:eastAsia="宋体"/>
      <w:color w:val="000000"/>
      <w:sz w:val="24"/>
      <w:szCs w:val="24"/>
    </w:rPr>
  </w:style>
  <w:style w:type="character" w:customStyle="1" w:styleId="69">
    <w:name w:val="fontstyle21"/>
    <w:basedOn w:val="33"/>
    <w:autoRedefine/>
    <w:qFormat/>
    <w:uiPriority w:val="0"/>
    <w:rPr>
      <w:rFonts w:hint="default" w:ascii="TimesNewRomanPSMT" w:hAnsi="TimesNewRomanPSMT"/>
      <w:color w:val="000000"/>
      <w:sz w:val="24"/>
      <w:szCs w:val="24"/>
    </w:rPr>
  </w:style>
  <w:style w:type="character" w:customStyle="1" w:styleId="70">
    <w:name w:val="fontstyle31"/>
    <w:basedOn w:val="33"/>
    <w:autoRedefine/>
    <w:qFormat/>
    <w:uiPriority w:val="0"/>
    <w:rPr>
      <w:rFonts w:hint="default" w:ascii="Arial-BoldMT" w:hAnsi="Arial-BoldMT"/>
      <w:b/>
      <w:bCs/>
      <w:color w:val="000000"/>
      <w:sz w:val="24"/>
      <w:szCs w:val="24"/>
    </w:rPr>
  </w:style>
  <w:style w:type="paragraph" w:customStyle="1" w:styleId="71">
    <w:name w:val="报告表格"/>
    <w:basedOn w:val="1"/>
    <w:autoRedefine/>
    <w:qFormat/>
    <w:uiPriority w:val="0"/>
    <w:pPr>
      <w:autoSpaceDE w:val="0"/>
      <w:autoSpaceDN w:val="0"/>
      <w:adjustRightInd w:val="0"/>
      <w:spacing w:line="240" w:lineRule="auto"/>
      <w:ind w:firstLine="0" w:firstLineChars="0"/>
      <w:jc w:val="center"/>
      <w:textAlignment w:val="baseline"/>
    </w:pPr>
    <w:rPr>
      <w:kern w:val="0"/>
      <w:sz w:val="21"/>
      <w:szCs w:val="20"/>
    </w:rPr>
  </w:style>
  <w:style w:type="paragraph" w:customStyle="1" w:styleId="72">
    <w:name w:val="表头字体宋"/>
    <w:basedOn w:val="1"/>
    <w:autoRedefine/>
    <w:qFormat/>
    <w:uiPriority w:val="0"/>
    <w:pPr>
      <w:widowControl/>
      <w:spacing w:line="500" w:lineRule="exact"/>
      <w:jc w:val="center"/>
    </w:pPr>
    <w:rPr>
      <w:rFonts w:ascii="宋体" w:hAnsi="宋体" w:eastAsia="宋体" w:cs="宋体"/>
      <w:b/>
      <w:bCs/>
      <w:kern w:val="0"/>
      <w:sz w:val="24"/>
      <w:szCs w:val="20"/>
    </w:rPr>
  </w:style>
  <w:style w:type="paragraph" w:customStyle="1" w:styleId="73">
    <w:name w:val="表格标题"/>
    <w:basedOn w:val="1"/>
    <w:autoRedefine/>
    <w:qFormat/>
    <w:uiPriority w:val="0"/>
    <w:pPr>
      <w:spacing w:before="60" w:line="460" w:lineRule="exact"/>
      <w:jc w:val="center"/>
    </w:pPr>
    <w:rPr>
      <w:sz w:val="24"/>
      <w:szCs w:val="24"/>
    </w:rPr>
  </w:style>
  <w:style w:type="paragraph" w:customStyle="1" w:styleId="74">
    <w:name w:val="表格居中"/>
    <w:basedOn w:val="1"/>
    <w:autoRedefine/>
    <w:qFormat/>
    <w:uiPriority w:val="0"/>
    <w:pPr>
      <w:spacing w:line="240" w:lineRule="auto"/>
      <w:ind w:left="0" w:firstLine="0" w:firstLineChars="0"/>
      <w:jc w:val="center"/>
    </w:pPr>
    <w:rPr>
      <w:kern w:val="0"/>
      <w:sz w:val="21"/>
    </w:rPr>
  </w:style>
  <w:style w:type="paragraph" w:customStyle="1" w:styleId="75">
    <w:name w:val="表格1"/>
    <w:basedOn w:val="1"/>
    <w:autoRedefine/>
    <w:qFormat/>
    <w:uiPriority w:val="0"/>
    <w:pPr>
      <w:spacing w:line="240" w:lineRule="auto"/>
      <w:ind w:firstLine="0" w:firstLineChars="0"/>
      <w:jc w:val="center"/>
    </w:pPr>
    <w:rPr>
      <w:kern w:val="0"/>
      <w:sz w:val="21"/>
      <w:szCs w:val="21"/>
      <w:lang w:bidi="th-TH"/>
    </w:rPr>
  </w:style>
  <w:style w:type="paragraph" w:customStyle="1" w:styleId="76">
    <w:name w:val="Table Text"/>
    <w:basedOn w:val="1"/>
    <w:autoRedefine/>
    <w:semiHidden/>
    <w:qFormat/>
    <w:uiPriority w:val="0"/>
    <w:rPr>
      <w:rFonts w:ascii="仿宋" w:hAnsi="仿宋" w:eastAsia="仿宋" w:cs="仿宋"/>
      <w:sz w:val="24"/>
      <w:szCs w:val="24"/>
      <w:lang w:val="en-US" w:eastAsia="en-US" w:bidi="ar-SA"/>
    </w:rPr>
  </w:style>
  <w:style w:type="paragraph" w:customStyle="1" w:styleId="77">
    <w:name w:val="Heading3"/>
    <w:basedOn w:val="1"/>
    <w:next w:val="1"/>
    <w:autoRedefine/>
    <w:qFormat/>
    <w:uiPriority w:val="0"/>
    <w:pPr>
      <w:keepNext/>
      <w:keepLines/>
      <w:jc w:val="both"/>
      <w:textAlignment w:val="baseline"/>
    </w:pPr>
    <w:rPr>
      <w:rFonts w:cs="Times New Roman"/>
      <w:kern w:val="2"/>
      <w:sz w:val="21"/>
      <w:szCs w:val="32"/>
      <w:lang w:val="en-US" w:eastAsia="zh-CN" w:bidi="ar-SA"/>
    </w:rPr>
  </w:style>
  <w:style w:type="paragraph" w:customStyle="1" w:styleId="78">
    <w:name w:val="lifr正文"/>
    <w:autoRedefine/>
    <w:qFormat/>
    <w:uiPriority w:val="0"/>
    <w:pPr>
      <w:widowControl w:val="0"/>
      <w:spacing w:line="360" w:lineRule="auto"/>
      <w:ind w:firstLine="200" w:firstLineChars="200"/>
      <w:jc w:val="both"/>
    </w:pPr>
    <w:rPr>
      <w:rFonts w:ascii="Times New Roman" w:hAnsi="Times New Roman" w:eastAsia="仿宋_GB2312" w:cs="Times New Roman"/>
      <w:kern w:val="2"/>
      <w:sz w:val="24"/>
      <w:szCs w:val="24"/>
      <w:lang w:val="en-US" w:eastAsia="zh-CN" w:bidi="ar-SA"/>
    </w:rPr>
  </w:style>
  <w:style w:type="paragraph" w:customStyle="1" w:styleId="79">
    <w:name w:val="报告表正文"/>
    <w:basedOn w:val="1"/>
    <w:autoRedefine/>
    <w:qFormat/>
    <w:uiPriority w:val="0"/>
    <w:pPr>
      <w:adjustRightInd w:val="0"/>
      <w:spacing w:line="360" w:lineRule="auto"/>
      <w:ind w:firstLine="640" w:firstLineChars="200"/>
      <w:textAlignment w:val="baseline"/>
    </w:pPr>
    <w:rPr>
      <w:color w:val="000000"/>
      <w:sz w:val="24"/>
    </w:rPr>
  </w:style>
  <w:style w:type="paragraph" w:customStyle="1" w:styleId="80">
    <w:name w:val="Date1"/>
    <w:basedOn w:val="1"/>
    <w:next w:val="1"/>
    <w:autoRedefine/>
    <w:qFormat/>
    <w:uiPriority w:val="0"/>
    <w:pPr>
      <w:adjustRightInd w:val="0"/>
      <w:jc w:val="left"/>
      <w:textAlignment w:val="baseline"/>
    </w:pPr>
    <w:rPr>
      <w:rFonts w:ascii="宋体" w:hAnsi="宋体"/>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微软中国</Company>
  <Pages>76</Pages>
  <Words>46875</Words>
  <Characters>52305</Characters>
  <TotalTime>1</TotalTime>
  <ScaleCrop>false</ScaleCrop>
  <LinksUpToDate>false</LinksUpToDate>
  <CharactersWithSpaces>52435</CharactersWithSpaces>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刘彦辰</cp:lastModifiedBy>
  <cp:lastPrinted>2024-03-26T10:38:00Z</cp:lastPrinted>
  <dcterms:modified xsi:type="dcterms:W3CDTF">2024-07-05T11:13:31Z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1BE2B1D56FE24B6AA99079F49A7AF730_13</vt:lpwstr>
  </property>
</Properties>
</file>