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highlight w:val="none"/>
          <w:lang w:val="en-US" w:eastAsia="zh-CN"/>
        </w:rPr>
        <w:t>44</w:t>
      </w:r>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关于新疆锦运铁路投资开发有限责任公司红旗镇铁路专用线（胡杨河经济技术开发区</w:t>
      </w:r>
    </w:p>
    <w:p>
      <w:pPr>
        <w:spacing w:line="560" w:lineRule="exact"/>
        <w:jc w:val="center"/>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铁路专用线）项目环境影响</w:t>
      </w: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eastAsia="zh-CN"/>
        </w:rPr>
        <w:t>报告表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新疆锦运铁路投资开发有限责任公司：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w:t>
      </w:r>
      <w:r>
        <w:rPr>
          <w:rFonts w:hint="eastAsia" w:ascii="Times New Roman" w:hAnsi="Times New Roman" w:eastAsia="仿宋_GB2312" w:cs="Times New Roman"/>
          <w:sz w:val="32"/>
          <w:szCs w:val="32"/>
          <w:lang w:eastAsia="zh-CN"/>
        </w:rPr>
        <w:t>〈新疆锦运铁路投资开发有限责任公司红旗镇铁路专用线（胡杨河经济技术开发区铁路专用线）项目环境影响</w:t>
      </w:r>
      <w:r>
        <w:rPr>
          <w:rFonts w:hint="eastAsia" w:eastAsia="仿宋_GB2312" w:cs="Times New Roman"/>
          <w:sz w:val="32"/>
          <w:szCs w:val="32"/>
          <w:lang w:eastAsia="zh-CN"/>
        </w:rPr>
        <w:t>报告表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胡杨河市一三〇团，项目起点坐标：东经84°51′5.282″，北纬44°45′6.624″，终点坐标：东经84°51′55.262″，北纬44°46′18.801″，锦运装卸站坐标：东经84°51′28.462″，北纬44°46′8.876″。正线：新建线路正线全长2.98公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线路自奎北铁路既有中间站红旗镇站站房对侧，北屯端咽喉向北引出，并行既有奎北铁路走行约1.3公里后偏离既有线，折向东绕避中国华能克拉玛依光伏电站，于奎阿高速西侧设锦运装卸场。锦运装卸站：新建锦运装卸站，中心里程为DK2+500，站坪坡度为平坡；此专用线到达煤炭利用翻车机和正面吊进行装卸，1道为集装箱卸车线，用于到达卸车；2道为机走线，用于到达列车的本务机车调头；3道为重车线，用于重车走行；4道为空车线，用于翻车机卸煤后空车集结；新增集装箱卸车线、空车线、重车线有效长均满足850米。2道尽头可供机车调头使用，有效长55米；1道外侧设780×26米集装箱堆场1处</w:t>
      </w:r>
      <w:r>
        <w:rPr>
          <w:rFonts w:hint="eastAsia" w:ascii="Times New Roman" w:hAnsi="Times New Roman" w:eastAsia="仿宋_GB2312" w:cs="Times New Roman"/>
          <w:sz w:val="32"/>
          <w:szCs w:val="32"/>
          <w:lang w:eastAsia="zh-CN"/>
        </w:rPr>
        <w:t>。项目设置施工营地，位于装卸站旁边，总占地面积为1.18公顷</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主要包括材料堆场、临时堆土场、停车场，项目不设混凝土拌合站及预制场，使用的混凝土、预制件均为外购成品；项目线路施工段施工便道依托奎北铁路现有检修道路，在站场施工段新建施工道路1170米，平均宽度4.5米，占地面积为0.5265公顷，施工便道采取永临结合，施工期作为施工便道，施工结束后作为进场道路。项目总投资28441.19万元，其中环保投资490万元，占总投资的1.72%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eastAsia"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（一）严格落实大气污染防治措施。货物卸车时采用雾炮喷淋装置对装卸区喷洒水雾，</w:t>
      </w:r>
      <w:r>
        <w:rPr>
          <w:rFonts w:hint="eastAsia" w:eastAsia="仿宋_GB2312" w:cs="Times New Roman"/>
          <w:sz w:val="32"/>
          <w:szCs w:val="32"/>
          <w:lang w:val="en-US" w:eastAsia="zh-CN"/>
        </w:rPr>
        <w:t>采用</w:t>
      </w:r>
      <w:r>
        <w:rPr>
          <w:rFonts w:hint="default" w:ascii="Times New Roman" w:hAnsi="Times New Roman" w:eastAsia="仿宋_GB2312" w:cs="Times New Roman"/>
          <w:sz w:val="32"/>
          <w:szCs w:val="32"/>
        </w:rPr>
        <w:t>湿式作业（安装雾化喷头对水进行雾化，控制喷水量，仅增加物料表面含水率使其不易起尘，确保不会产生径流）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装卸区采取喷雾降尘措施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颗粒物</w:t>
      </w:r>
      <w:r>
        <w:rPr>
          <w:rFonts w:hint="eastAsia" w:ascii="Times New Roman" w:hAnsi="Times New Roman" w:eastAsia="仿宋_GB2312" w:cs="Times New Roman"/>
          <w:sz w:val="32"/>
          <w:szCs w:val="32"/>
          <w:lang w:val="en-US" w:eastAsia="zh-CN"/>
        </w:rPr>
        <w:t>无组织</w:t>
      </w:r>
      <w:r>
        <w:rPr>
          <w:rFonts w:hint="default" w:ascii="Times New Roman" w:hAnsi="Times New Roman" w:eastAsia="仿宋_GB2312" w:cs="Times New Roman"/>
          <w:sz w:val="32"/>
          <w:szCs w:val="32"/>
        </w:rPr>
        <w:t>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《煤炭工业污染物排放标准》（GB20426-2006）表5中无组织排放监控浓度限值要求</w:t>
      </w:r>
      <w:r>
        <w:rPr>
          <w:rFonts w:hint="default" w:ascii="Times New Roman" w:hAnsi="Times New Roman" w:eastAsia="仿宋_GB2312" w:cs="Times New Roman"/>
          <w:sz w:val="32"/>
          <w:szCs w:val="32"/>
        </w:rPr>
        <w:t>；装卸区道路及进出道路全部水泥硬化，注意道路维护，定期清扫路面，洒水抑尘；餐饮油烟经油烟净化器处理后由专用烟道排放，油烟排放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《饮食业油烟排放标准（试行）》（GB18483-2001）表2中小型灶头油烟最高允许排放浓度。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）严格落实水污染防治措施。车辆冲洗废水经沉淀池沉淀后回用；生活污水由锦运装卸站一体化污水处理设施进行处理达到《农村生活污水处理排放标准》（DB654275-2019）表2中B级标准后自流入防渗污水储存</w:t>
      </w:r>
      <w:r>
        <w:rPr>
          <w:rFonts w:hint="eastAsia" w:eastAsia="仿宋_GB2312" w:cs="Times New Roman"/>
          <w:sz w:val="32"/>
          <w:szCs w:val="32"/>
          <w:lang w:val="en-US" w:eastAsia="zh-CN"/>
        </w:rPr>
        <w:t>池</w:t>
      </w:r>
      <w:r>
        <w:rPr>
          <w:rFonts w:hint="default" w:ascii="Times New Roman" w:hAnsi="Times New Roman" w:eastAsia="仿宋_GB2312" w:cs="Times New Roman"/>
          <w:sz w:val="32"/>
          <w:szCs w:val="32"/>
        </w:rPr>
        <w:t>，用于荒漠灌溉。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bCs/>
          <w:color w:val="auto"/>
          <w:kern w:val="0"/>
          <w:sz w:val="32"/>
          <w:szCs w:val="32"/>
          <w:highlight w:val="none"/>
          <w:lang w:val="en-US" w:eastAsia="zh-CN" w:bidi="ar-SA"/>
        </w:rPr>
        <w:t>严格落实噪声污染防治措施。对铁路沿线区域进行合理规划，使用建筑物功能转换等手段，积极缓减铁路噪声；加强现场运输车辆出入的管理，车辆进入现场禁止鸣笛，不得随意扔、丢、抛、倒，减少金属件的碰击声。铁路边界30米处噪声排放满足《铁路边界噪声限值及其测量方法》（GB12525-</w:t>
      </w:r>
      <w:bookmarkStart w:id="0" w:name="_GoBack"/>
      <w:bookmarkEnd w:id="0"/>
      <w:r>
        <w:rPr>
          <w:rFonts w:hint="default" w:ascii="Times New Roman" w:hAnsi="Times New Roman" w:eastAsia="仿宋_GB2312" w:cs="Times New Roman"/>
          <w:bCs/>
          <w:color w:val="auto"/>
          <w:kern w:val="0"/>
          <w:sz w:val="32"/>
          <w:szCs w:val="32"/>
          <w:highlight w:val="none"/>
          <w:lang w:val="en-US" w:eastAsia="zh-CN" w:bidi="ar-SA"/>
        </w:rPr>
        <w:t>90）及其修改方案中新建铁路标准要求，锦运装卸站噪声排放满足《工业企业厂界环境噪声排放标准》（GB12348-2008）中的2类标准要求。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采取</w:t>
      </w:r>
      <w:r>
        <w:rPr>
          <w:rFonts w:hint="eastAsia" w:eastAsia="仿宋_GB2312" w:cs="Times New Roman"/>
          <w:sz w:val="32"/>
          <w:szCs w:val="32"/>
          <w:lang w:eastAsia="zh-CN"/>
        </w:rPr>
        <w:t>减轻车辆自重，采用无缝钢轨，增加轨道弹性</w:t>
      </w:r>
      <w:r>
        <w:rPr>
          <w:rFonts w:hint="eastAsia" w:eastAsia="仿宋_GB2312" w:cs="Times New Roman"/>
          <w:sz w:val="32"/>
          <w:szCs w:val="32"/>
          <w:lang w:val="en-US" w:eastAsia="zh-CN"/>
        </w:rPr>
        <w:t>等减振措施</w:t>
      </w:r>
      <w:r>
        <w:rPr>
          <w:rFonts w:hint="eastAsia" w:eastAsia="仿宋_GB2312" w:cs="Times New Roman"/>
          <w:sz w:val="32"/>
          <w:szCs w:val="32"/>
          <w:lang w:eastAsia="zh-CN"/>
        </w:rPr>
        <w:t>，振动昼夜间均</w:t>
      </w:r>
      <w:r>
        <w:rPr>
          <w:rFonts w:hint="eastAsia" w:eastAsia="仿宋_GB2312" w:cs="Times New Roman"/>
          <w:sz w:val="32"/>
          <w:szCs w:val="32"/>
          <w:lang w:val="en-US" w:eastAsia="zh-CN"/>
        </w:rPr>
        <w:t>执行</w:t>
      </w:r>
      <w:r>
        <w:rPr>
          <w:rFonts w:hint="eastAsia" w:eastAsia="仿宋_GB2312" w:cs="Times New Roman"/>
          <w:sz w:val="32"/>
          <w:szCs w:val="32"/>
          <w:lang w:eastAsia="zh-CN"/>
        </w:rPr>
        <w:t>《城市区域环境振动标准》（GB10070-88）铁路边界昼、夜间80分贝的标准要求。</w:t>
      </w:r>
    </w:p>
    <w:p>
      <w:pPr>
        <w:pStyle w:val="14"/>
        <w:keepNext w:val="0"/>
        <w:keepLines w:val="0"/>
        <w:pageBreakBefore w:val="0"/>
        <w:widowControl w:val="0"/>
        <w:kinsoku/>
        <w:wordWrap/>
        <w:overflowPunct/>
        <w:topLinePunct w:val="0"/>
        <w:autoSpaceDE/>
        <w:autoSpaceDN/>
        <w:bidi w:val="0"/>
        <w:adjustRightInd/>
        <w:snapToGrid/>
        <w:spacing w:after="0" w:line="500" w:lineRule="exact"/>
        <w:ind w:leftChars="0" w:firstLine="640" w:firstLineChars="200"/>
        <w:textAlignment w:val="auto"/>
        <w:rPr>
          <w:rFonts w:hint="eastAsia" w:eastAsia="仿宋_GB2312" w:cs="Times New Roman"/>
          <w:sz w:val="32"/>
          <w:szCs w:val="32"/>
          <w:lang w:eastAsia="zh-CN"/>
        </w:rPr>
      </w:pPr>
      <w:r>
        <w:rPr>
          <w:rFonts w:hint="eastAsia" w:eastAsia="仿宋_GB2312" w:cs="Times New Roman"/>
          <w:bCs/>
          <w:color w:val="auto"/>
          <w:kern w:val="0"/>
          <w:sz w:val="32"/>
          <w:szCs w:val="32"/>
          <w:highlight w:val="none"/>
          <w:lang w:val="en-US" w:eastAsia="zh-CN" w:bidi="ar-SA"/>
        </w:rPr>
        <w:t>（四）</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固体废物实施分类管理并妥善处理处置。沉淀池煤泥残渣由电厂回收综合利用；职工的生活垃圾集中收集后，定期由当地环卫部门拉运处理</w:t>
      </w:r>
      <w:r>
        <w:rPr>
          <w:rFonts w:hint="eastAsia" w:ascii="Times New Roman" w:hAnsi="Times New Roman" w:eastAsia="仿宋_GB2312" w:cs="Times New Roman"/>
          <w:bCs/>
          <w:color w:val="auto"/>
          <w:kern w:val="0"/>
          <w:sz w:val="32"/>
          <w:szCs w:val="32"/>
          <w:highlight w:val="none"/>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after="0" w:line="500" w:lineRule="exact"/>
        <w:ind w:lef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bCs/>
          <w:sz w:val="32"/>
          <w:szCs w:val="32"/>
        </w:rPr>
        <w:t>强化各项环境风险防范措施，有效防范环境风险。建立健全管理制度，严格操作规范</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制定应急预案，定期开展环境风险应急培训和演练，落实各项应急环境管理措施以及风险防范措施，确保风险事故得到有效控制</w:t>
      </w:r>
      <w:r>
        <w:rPr>
          <w:rFonts w:hint="eastAsia" w:ascii="Times New Roman" w:hAnsi="Times New Roman" w:eastAsia="仿宋_GB2312" w:cs="Times New Roman"/>
          <w:bCs/>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after="0" w:line="500" w:lineRule="exact"/>
        <w:ind w:leftChars="0" w:firstLine="640" w:firstLineChars="200"/>
        <w:textAlignment w:val="auto"/>
        <w:rPr>
          <w:rFonts w:hint="eastAsia"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）在工程运营过程中，应建立畅通的公众参与平台，加强宣传与沟通工作，及时解决公众提出的合理环境诉求。定期发布环境信息，并主动接受社会监督。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六、1</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rPr>
        <w:t>团经济发展办公室，并按规定接受各级生态环境主管部门的监督检查。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eastAsia"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rPr>
        <w:t>月</w:t>
      </w:r>
      <w:r>
        <w:rPr>
          <w:rFonts w:hint="eastAsia" w:eastAsia="仿宋_GB2312" w:cs="Times New Roman"/>
          <w:bCs/>
          <w:sz w:val="32"/>
          <w:szCs w:val="32"/>
          <w:highlight w:val="none"/>
          <w:lang w:val="en-US" w:eastAsia="zh-CN"/>
        </w:rPr>
        <w:t>24</w:t>
      </w:r>
      <w:r>
        <w:rPr>
          <w:rFonts w:hint="default" w:ascii="Times New Roman" w:hAnsi="Times New Roman" w:eastAsia="仿宋_GB2312" w:cs="Times New Roman"/>
          <w:bCs/>
          <w:sz w:val="32"/>
          <w:szCs w:val="32"/>
          <w:highlight w:val="none"/>
        </w:rPr>
        <w:t>日</w:t>
      </w:r>
    </w:p>
    <w:p>
      <w:pPr>
        <w:pStyle w:val="5"/>
        <w:keepNext w:val="0"/>
        <w:keepLines w:val="0"/>
        <w:pageBreakBefore w:val="0"/>
        <w:widowControl w:val="0"/>
        <w:numPr>
          <w:ilvl w:val="3"/>
          <w:numId w:val="0"/>
        </w:numPr>
        <w:kinsoku/>
        <w:wordWrap/>
        <w:overflowPunct/>
        <w:topLinePunct w:val="0"/>
        <w:autoSpaceDE/>
        <w:autoSpaceDN/>
        <w:bidi w:val="0"/>
        <w:adjustRightInd/>
        <w:snapToGrid/>
        <w:spacing w:line="700" w:lineRule="exact"/>
        <w:ind w:leftChars="0"/>
        <w:textAlignment w:val="auto"/>
        <w:rPr>
          <w:rFonts w:hint="eastAsia"/>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404495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95pt;margin-top:31.85pt;height:0pt;width:464.65pt;z-index:251660288;mso-width-relative:page;mso-height-relative:page;" filled="f" stroked="t" coordsize="21600,21600" o:gfxdata="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CYzo1gAAAAkBAAAPAAAAAAAAAAEAIAAAACIAAABkcnMvZG93bnJldi54bWxQ&#10;SwECFAAUAAAACACHTuJAcVZKSPkBAADxAwAADgAAAAAAAAABACAAAAAlAQAAZHJzL2Uyb0RvYy54&#10;bWxQSwUGAAAAAAYABgBZAQAAkAU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right="210" w:rightChars="100" w:hanging="840" w:hangingChars="3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w:t>抄送：</w:t>
      </w:r>
      <w:r>
        <w:rPr>
          <w:rFonts w:hint="eastAsia" w:ascii="仿宋_GB2312" w:hAnsi="华文仿宋" w:eastAsia="仿宋_GB2312" w:cs="仿宋_GB2312"/>
          <w:sz w:val="28"/>
          <w:szCs w:val="28"/>
          <w:highlight w:val="none"/>
          <w:lang w:val="en-US" w:eastAsia="zh-CN"/>
        </w:rPr>
        <w:t>师市</w:t>
      </w:r>
      <w:r>
        <w:rPr>
          <w:rFonts w:hint="eastAsia" w:ascii="仿宋_GB2312" w:hAnsi="华文仿宋" w:eastAsia="仿宋_GB2312" w:cs="仿宋_GB2312"/>
          <w:sz w:val="28"/>
          <w:szCs w:val="28"/>
          <w:highlight w:val="none"/>
        </w:rPr>
        <w:t>生态环境保护综合行政执法支队、生态环境监测站、130团经济发展办公室。</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兵团第七师胡杨河市生态环境局              202</w:t>
      </w:r>
      <w:r>
        <w:rPr>
          <w:rFonts w:hint="eastAsia" w:ascii="仿宋_GB2312" w:hAnsi="华文仿宋" w:eastAsia="仿宋_GB2312" w:cs="仿宋_GB2312"/>
          <w:sz w:val="28"/>
          <w:szCs w:val="28"/>
          <w:highlight w:val="none"/>
          <w:lang w:val="en-US" w:eastAsia="zh-CN"/>
        </w:rPr>
        <w:t>4</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6</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24</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footerReference r:id="rId3" w:type="default"/>
      <w:pgSz w:w="11906" w:h="16838"/>
      <w:pgMar w:top="2098" w:right="1361"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ECCd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3"/>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0F01BF"/>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A8455AD"/>
    <w:rsid w:val="0BD82C34"/>
    <w:rsid w:val="0BFB278E"/>
    <w:rsid w:val="0C280139"/>
    <w:rsid w:val="0CBB4B8B"/>
    <w:rsid w:val="0D083900"/>
    <w:rsid w:val="0D0850F4"/>
    <w:rsid w:val="0D0857D3"/>
    <w:rsid w:val="0D1D0A27"/>
    <w:rsid w:val="0D6F614B"/>
    <w:rsid w:val="0E82541D"/>
    <w:rsid w:val="0EAE2D6B"/>
    <w:rsid w:val="0F9D2257"/>
    <w:rsid w:val="0FD22917"/>
    <w:rsid w:val="10694FCD"/>
    <w:rsid w:val="10D51AC3"/>
    <w:rsid w:val="10F7065C"/>
    <w:rsid w:val="11176767"/>
    <w:rsid w:val="114A24FF"/>
    <w:rsid w:val="117977C8"/>
    <w:rsid w:val="119D38E8"/>
    <w:rsid w:val="11B3721E"/>
    <w:rsid w:val="11B554D8"/>
    <w:rsid w:val="11C12C43"/>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EA7F0C"/>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4E75A3"/>
    <w:rsid w:val="1F9520E1"/>
    <w:rsid w:val="1FAA0A5D"/>
    <w:rsid w:val="1FC811C8"/>
    <w:rsid w:val="206B2153"/>
    <w:rsid w:val="215B3AD4"/>
    <w:rsid w:val="217817F1"/>
    <w:rsid w:val="21E85A71"/>
    <w:rsid w:val="239E037B"/>
    <w:rsid w:val="24386783"/>
    <w:rsid w:val="252E6DA6"/>
    <w:rsid w:val="25E709A2"/>
    <w:rsid w:val="26763683"/>
    <w:rsid w:val="26A711AF"/>
    <w:rsid w:val="270C1642"/>
    <w:rsid w:val="27CF3097"/>
    <w:rsid w:val="280C5501"/>
    <w:rsid w:val="28705070"/>
    <w:rsid w:val="28792B0F"/>
    <w:rsid w:val="28874489"/>
    <w:rsid w:val="29974C98"/>
    <w:rsid w:val="2ADD0909"/>
    <w:rsid w:val="2B3E762F"/>
    <w:rsid w:val="2B500AD0"/>
    <w:rsid w:val="2CBB25B6"/>
    <w:rsid w:val="2D0502BF"/>
    <w:rsid w:val="2D395F18"/>
    <w:rsid w:val="2D3F3CB9"/>
    <w:rsid w:val="2D466457"/>
    <w:rsid w:val="2D4C5E5B"/>
    <w:rsid w:val="2DA1663F"/>
    <w:rsid w:val="2DCA2536"/>
    <w:rsid w:val="2E471017"/>
    <w:rsid w:val="2E667463"/>
    <w:rsid w:val="2EC63306"/>
    <w:rsid w:val="2EF32ED4"/>
    <w:rsid w:val="2F0470B2"/>
    <w:rsid w:val="2F144540"/>
    <w:rsid w:val="2F3A1488"/>
    <w:rsid w:val="2F493346"/>
    <w:rsid w:val="2F906F9E"/>
    <w:rsid w:val="2FB26E35"/>
    <w:rsid w:val="302D0A79"/>
    <w:rsid w:val="32562ADC"/>
    <w:rsid w:val="329D3C76"/>
    <w:rsid w:val="331956B0"/>
    <w:rsid w:val="34153A96"/>
    <w:rsid w:val="345968B4"/>
    <w:rsid w:val="34AD3E21"/>
    <w:rsid w:val="34F84858"/>
    <w:rsid w:val="350605AB"/>
    <w:rsid w:val="358360C4"/>
    <w:rsid w:val="35916CC5"/>
    <w:rsid w:val="35A15C29"/>
    <w:rsid w:val="3621061F"/>
    <w:rsid w:val="36624964"/>
    <w:rsid w:val="369260AD"/>
    <w:rsid w:val="37447511"/>
    <w:rsid w:val="37A0651B"/>
    <w:rsid w:val="380900D2"/>
    <w:rsid w:val="381A2A9B"/>
    <w:rsid w:val="38210799"/>
    <w:rsid w:val="386F43A6"/>
    <w:rsid w:val="39011657"/>
    <w:rsid w:val="391E278A"/>
    <w:rsid w:val="395B7D07"/>
    <w:rsid w:val="396A50BF"/>
    <w:rsid w:val="39E82FD1"/>
    <w:rsid w:val="3AC26165"/>
    <w:rsid w:val="3ACD20A4"/>
    <w:rsid w:val="3B2D4B6E"/>
    <w:rsid w:val="3B3F320C"/>
    <w:rsid w:val="3BF07AFD"/>
    <w:rsid w:val="3C3E7B4A"/>
    <w:rsid w:val="3CAD164C"/>
    <w:rsid w:val="3D5146A8"/>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D67D64"/>
    <w:rsid w:val="45EC2C50"/>
    <w:rsid w:val="46B64BCA"/>
    <w:rsid w:val="46E14C12"/>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BD5522"/>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0A418F"/>
    <w:rsid w:val="51890FBD"/>
    <w:rsid w:val="51A00F7F"/>
    <w:rsid w:val="51C012A4"/>
    <w:rsid w:val="5358411B"/>
    <w:rsid w:val="5362156F"/>
    <w:rsid w:val="539B67A3"/>
    <w:rsid w:val="53A13F5E"/>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953AAF"/>
    <w:rsid w:val="58AB38E0"/>
    <w:rsid w:val="59382688"/>
    <w:rsid w:val="59715FF1"/>
    <w:rsid w:val="59AB4C5B"/>
    <w:rsid w:val="59CB4F4F"/>
    <w:rsid w:val="5A332211"/>
    <w:rsid w:val="5A63075C"/>
    <w:rsid w:val="5A7C6850"/>
    <w:rsid w:val="5AD523F3"/>
    <w:rsid w:val="5AFC14D7"/>
    <w:rsid w:val="5B58426B"/>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9127AF"/>
    <w:rsid w:val="63CE3853"/>
    <w:rsid w:val="63EF2C60"/>
    <w:rsid w:val="64517CD7"/>
    <w:rsid w:val="648D53F9"/>
    <w:rsid w:val="648E070A"/>
    <w:rsid w:val="64AF209B"/>
    <w:rsid w:val="65276CAA"/>
    <w:rsid w:val="658B78B3"/>
    <w:rsid w:val="65FD087F"/>
    <w:rsid w:val="660C47CD"/>
    <w:rsid w:val="665C7047"/>
    <w:rsid w:val="66E6101E"/>
    <w:rsid w:val="67353E45"/>
    <w:rsid w:val="67457DC9"/>
    <w:rsid w:val="676F6487"/>
    <w:rsid w:val="67922349"/>
    <w:rsid w:val="68014F2E"/>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AC17A0"/>
    <w:rsid w:val="6DF667CF"/>
    <w:rsid w:val="6DFF2601"/>
    <w:rsid w:val="6E8329B6"/>
    <w:rsid w:val="6ED93540"/>
    <w:rsid w:val="6F6275F7"/>
    <w:rsid w:val="6F9B1553"/>
    <w:rsid w:val="71237A52"/>
    <w:rsid w:val="71585173"/>
    <w:rsid w:val="715B6DC4"/>
    <w:rsid w:val="71DE0D44"/>
    <w:rsid w:val="71EB593E"/>
    <w:rsid w:val="731256D6"/>
    <w:rsid w:val="73280CCD"/>
    <w:rsid w:val="73451021"/>
    <w:rsid w:val="735262F3"/>
    <w:rsid w:val="73E000C1"/>
    <w:rsid w:val="74225AD5"/>
    <w:rsid w:val="742D744A"/>
    <w:rsid w:val="748627F8"/>
    <w:rsid w:val="74D70B60"/>
    <w:rsid w:val="74E526A5"/>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802062"/>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7F24B4"/>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autoRedefine/>
    <w:qFormat/>
    <w:uiPriority w:val="99"/>
    <w:pPr>
      <w:keepNext/>
      <w:keepLines/>
      <w:numPr>
        <w:ilvl w:val="3"/>
        <w:numId w:val="1"/>
      </w:numPr>
      <w:spacing w:line="360" w:lineRule="auto"/>
      <w:outlineLvl w:val="3"/>
    </w:pPr>
    <w:rPr>
      <w:rFonts w:ascii="Arial" w:hAnsi="Arial"/>
      <w:b/>
      <w:sz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semiHidden/>
    <w:unhideWhenUsed/>
    <w:qFormat/>
    <w:uiPriority w:val="99"/>
    <w:pPr>
      <w:ind w:firstLine="420" w:firstLineChars="200"/>
    </w:pPr>
    <w:rPr>
      <w:sz w:val="32"/>
    </w:rPr>
  </w:style>
  <w:style w:type="paragraph" w:customStyle="1" w:styleId="3">
    <w:name w:val="表头"/>
    <w:basedOn w:val="4"/>
    <w:next w:val="1"/>
    <w:autoRedefine/>
    <w:qFormat/>
    <w:uiPriority w:val="0"/>
    <w:pPr>
      <w:numPr>
        <w:ilvl w:val="0"/>
        <w:numId w:val="2"/>
      </w:numPr>
      <w:adjustRightInd w:val="0"/>
      <w:snapToGrid w:val="0"/>
      <w:jc w:val="center"/>
    </w:pPr>
    <w:rPr>
      <w:b/>
      <w:color w:val="000000"/>
      <w:szCs w:val="21"/>
    </w:rPr>
  </w:style>
  <w:style w:type="paragraph" w:styleId="4">
    <w:name w:val="List"/>
    <w:basedOn w:val="1"/>
    <w:next w:val="1"/>
    <w:autoRedefine/>
    <w:qFormat/>
    <w:uiPriority w:val="0"/>
    <w:pPr>
      <w:ind w:left="200" w:hanging="200" w:hangingChars="200"/>
    </w:p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0"/>
    <w:rPr>
      <w:rFonts w:eastAsia="华文中宋"/>
      <w:b/>
      <w:bCs/>
      <w:w w:val="90"/>
      <w:sz w:val="44"/>
    </w:rPr>
  </w:style>
  <w:style w:type="paragraph" w:styleId="8">
    <w:name w:val="Body Text Indent"/>
    <w:basedOn w:val="1"/>
    <w:next w:val="9"/>
    <w:link w:val="25"/>
    <w:autoRedefine/>
    <w:qFormat/>
    <w:uiPriority w:val="0"/>
    <w:pPr>
      <w:ind w:firstLine="752" w:firstLineChars="235"/>
    </w:pPr>
    <w:rPr>
      <w:sz w:val="32"/>
    </w:rPr>
  </w:style>
  <w:style w:type="paragraph" w:styleId="9">
    <w:name w:val="Body Text First Indent 2"/>
    <w:basedOn w:val="8"/>
    <w:next w:val="10"/>
    <w:autoRedefine/>
    <w:qFormat/>
    <w:uiPriority w:val="0"/>
    <w:pPr>
      <w:ind w:firstLine="420" w:firstLineChars="200"/>
    </w:pPr>
    <w:rPr>
      <w:b/>
      <w:kern w:val="44"/>
      <w:sz w:val="44"/>
    </w:rPr>
  </w:style>
  <w:style w:type="paragraph" w:styleId="10">
    <w:name w:val="Body Text First Indent"/>
    <w:basedOn w:val="7"/>
    <w:next w:val="9"/>
    <w:autoRedefine/>
    <w:qFormat/>
    <w:uiPriority w:val="0"/>
    <w:pPr>
      <w:spacing w:line="360" w:lineRule="auto"/>
      <w:ind w:firstLine="496" w:firstLineChars="200"/>
    </w:pPr>
    <w:rPr>
      <w:rFonts w:hAnsi="宋体"/>
      <w:spacing w:val="4"/>
      <w:kern w:val="24"/>
      <w:sz w:val="24"/>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Body Text 2"/>
    <w:basedOn w:val="1"/>
    <w:autoRedefine/>
    <w:unhideWhenUsed/>
    <w:qFormat/>
    <w:uiPriority w:val="99"/>
    <w:pPr>
      <w:spacing w:after="120" w:line="480" w:lineRule="auto"/>
    </w:pPr>
  </w:style>
  <w:style w:type="paragraph" w:styleId="15">
    <w:name w:val="Normal (Web)"/>
    <w:basedOn w:val="1"/>
    <w:autoRedefine/>
    <w:semiHidden/>
    <w:unhideWhenUsed/>
    <w:qFormat/>
    <w:uiPriority w:val="99"/>
    <w:pPr>
      <w:spacing w:beforeAutospacing="1" w:afterAutospacing="1"/>
      <w:jc w:val="left"/>
    </w:pPr>
    <w:rPr>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paragraph" w:customStyle="1" w:styleId="20">
    <w:name w:val="样式 首行缩进:  2 字符1"/>
    <w:basedOn w:val="1"/>
    <w:autoRedefine/>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1">
    <w:name w:val="Default"/>
    <w:basedOn w:val="22"/>
    <w:next w:val="1"/>
    <w:autoRedefine/>
    <w:qFormat/>
    <w:uiPriority w:val="0"/>
    <w:pPr>
      <w:widowControl w:val="0"/>
      <w:tabs>
        <w:tab w:val="left" w:pos="2760"/>
      </w:tabs>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纯文本1"/>
    <w:basedOn w:val="1"/>
    <w:autoRedefine/>
    <w:qFormat/>
    <w:uiPriority w:val="0"/>
    <w:pPr>
      <w:tabs>
        <w:tab w:val="left" w:pos="2760"/>
      </w:tabs>
      <w:adjustRightInd w:val="0"/>
    </w:pPr>
    <w:rPr>
      <w:rFonts w:ascii="宋体" w:hAnsi="Courier New"/>
    </w:rPr>
  </w:style>
  <w:style w:type="character" w:customStyle="1" w:styleId="23">
    <w:name w:val="页眉 字符"/>
    <w:basedOn w:val="18"/>
    <w:link w:val="13"/>
    <w:autoRedefine/>
    <w:qFormat/>
    <w:uiPriority w:val="99"/>
    <w:rPr>
      <w:sz w:val="18"/>
      <w:szCs w:val="18"/>
    </w:rPr>
  </w:style>
  <w:style w:type="character" w:customStyle="1" w:styleId="24">
    <w:name w:val="页脚 字符"/>
    <w:basedOn w:val="18"/>
    <w:link w:val="12"/>
    <w:autoRedefine/>
    <w:qFormat/>
    <w:uiPriority w:val="99"/>
    <w:rPr>
      <w:sz w:val="18"/>
      <w:szCs w:val="18"/>
    </w:rPr>
  </w:style>
  <w:style w:type="character" w:customStyle="1" w:styleId="25">
    <w:name w:val="正文文本缩进 字符"/>
    <w:basedOn w:val="18"/>
    <w:link w:val="8"/>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1720</Words>
  <Characters>1923</Characters>
  <Lines>16</Lines>
  <Paragraphs>4</Paragraphs>
  <TotalTime>6</TotalTime>
  <ScaleCrop>false</ScaleCrop>
  <LinksUpToDate>false</LinksUpToDate>
  <CharactersWithSpaces>1971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2024-06-21T12:11:10Z</cp:lastPrinted>
  <dcterms:modified xsi:type="dcterms:W3CDTF">2024-06-21T12:15:50Z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3EB1FC64C16D478D807A1811DA7669F0_13</vt:lpwstr>
  </property>
</Properties>
</file>