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68"/>
        <w:gridCol w:w="2700"/>
        <w:gridCol w:w="1863"/>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建设项目名称</w:t>
            </w:r>
          </w:p>
        </w:tc>
        <w:tc>
          <w:tcPr>
            <w:tcW w:w="7202" w:type="dxa"/>
            <w:gridSpan w:val="3"/>
            <w:vAlign w:val="center"/>
          </w:tcPr>
          <w:p>
            <w:pPr>
              <w:pStyle w:val="15"/>
              <w:keepNext w:val="0"/>
              <w:keepLines w:val="0"/>
              <w:suppressLineNumbers w:val="0"/>
              <w:spacing w:before="0" w:beforeAutospacing="0" w:after="0" w:afterAutospacing="0"/>
              <w:ind w:left="0" w:right="0"/>
              <w:rPr>
                <w:rFonts w:hint="default"/>
              </w:rPr>
            </w:pPr>
            <w:r>
              <w:rPr>
                <w:rFonts w:hint="default"/>
              </w:rPr>
              <w:t>广合商品混凝土有限责任公司克拉玛依分公司预制光伏桩建设项目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项目代码</w:t>
            </w:r>
          </w:p>
        </w:tc>
        <w:tc>
          <w:tcPr>
            <w:tcW w:w="7202" w:type="dxa"/>
            <w:gridSpan w:val="3"/>
            <w:vAlign w:val="center"/>
          </w:tcPr>
          <w:p>
            <w:pPr>
              <w:pStyle w:val="15"/>
              <w:keepNext w:val="0"/>
              <w:keepLines w:val="0"/>
              <w:suppressLineNumbers w:val="0"/>
              <w:spacing w:before="0" w:beforeAutospacing="0" w:after="0" w:afterAutospacing="0"/>
              <w:ind w:left="0" w:right="0"/>
              <w:rPr>
                <w:rFonts w:hint="default"/>
              </w:rPr>
            </w:pPr>
            <w:r>
              <w:rPr>
                <w:rFonts w:hint="eastAsia"/>
              </w:rPr>
              <w:t>2401-660791-04-01-740170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建设单位联系人</w:t>
            </w:r>
          </w:p>
        </w:tc>
        <w:tc>
          <w:tcPr>
            <w:tcW w:w="2700" w:type="dxa"/>
            <w:vAlign w:val="center"/>
          </w:tcPr>
          <w:p>
            <w:pPr>
              <w:pStyle w:val="15"/>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王兵建</w:t>
            </w:r>
          </w:p>
        </w:tc>
        <w:tc>
          <w:tcPr>
            <w:tcW w:w="1863" w:type="dxa"/>
            <w:vAlign w:val="center"/>
          </w:tcPr>
          <w:p>
            <w:pPr>
              <w:pStyle w:val="15"/>
              <w:keepNext w:val="0"/>
              <w:keepLines w:val="0"/>
              <w:suppressLineNumbers w:val="0"/>
              <w:spacing w:before="0" w:beforeAutospacing="0" w:after="0" w:afterAutospacing="0"/>
              <w:ind w:left="0" w:right="0"/>
              <w:rPr>
                <w:rFonts w:hint="default"/>
              </w:rPr>
            </w:pPr>
            <w:r>
              <w:rPr>
                <w:rFonts w:hint="default"/>
              </w:rPr>
              <w:t>联系方式</w:t>
            </w:r>
          </w:p>
        </w:tc>
        <w:tc>
          <w:tcPr>
            <w:tcW w:w="2639" w:type="dxa"/>
            <w:vAlign w:val="center"/>
          </w:tcPr>
          <w:p>
            <w:pPr>
              <w:pStyle w:val="15"/>
              <w:keepNext w:val="0"/>
              <w:keepLines w:val="0"/>
              <w:suppressLineNumbers w:val="0"/>
              <w:spacing w:before="0" w:beforeAutospacing="0" w:after="0" w:afterAutospacing="0"/>
              <w:ind w:left="0" w:right="0"/>
              <w:rPr>
                <w:rFonts w:hint="default"/>
              </w:rPr>
            </w:pPr>
            <w:r>
              <w:rPr>
                <w:rFonts w:hint="default"/>
              </w:rPr>
              <w:t>13579173205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建设地点</w:t>
            </w:r>
          </w:p>
        </w:tc>
        <w:tc>
          <w:tcPr>
            <w:tcW w:w="7202" w:type="dxa"/>
            <w:gridSpan w:val="3"/>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新疆生产建设兵团第七师胡杨河经济技术开发区工业大道18号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地理坐标</w:t>
            </w:r>
          </w:p>
        </w:tc>
        <w:tc>
          <w:tcPr>
            <w:tcW w:w="7202" w:type="dxa"/>
            <w:gridSpan w:val="3"/>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E84°52'06.882"，N44°47'51.947"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国民经济</w:t>
            </w:r>
          </w:p>
          <w:p>
            <w:pPr>
              <w:pStyle w:val="15"/>
              <w:keepNext w:val="0"/>
              <w:keepLines w:val="0"/>
              <w:suppressLineNumbers w:val="0"/>
              <w:spacing w:before="0" w:beforeAutospacing="0" w:after="0" w:afterAutospacing="0"/>
              <w:ind w:left="0" w:right="0"/>
              <w:rPr>
                <w:rFonts w:hint="default"/>
              </w:rPr>
            </w:pPr>
            <w:r>
              <w:rPr>
                <w:rFonts w:hint="default"/>
              </w:rPr>
              <w:t>行业类别</w:t>
            </w:r>
          </w:p>
        </w:tc>
        <w:tc>
          <w:tcPr>
            <w:tcW w:w="2700"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水泥制品制造C3021 </w:t>
            </w:r>
          </w:p>
        </w:tc>
        <w:tc>
          <w:tcPr>
            <w:tcW w:w="186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bookmarkStart w:id="0" w:name="_Hlk49843745"/>
            <w:r>
              <w:rPr>
                <w:rFonts w:hint="default"/>
                <w:color w:val="000000" w:themeColor="text1"/>
                <w14:textFill>
                  <w14:solidFill>
                    <w14:schemeClr w14:val="tx1"/>
                  </w14:solidFill>
                </w14:textFill>
              </w:rPr>
              <w:t>建设项目</w:t>
            </w:r>
          </w:p>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行业类别</w:t>
            </w:r>
            <w:bookmarkEnd w:id="0"/>
          </w:p>
        </w:tc>
        <w:tc>
          <w:tcPr>
            <w:tcW w:w="2639" w:type="dxa"/>
            <w:vAlign w:val="center"/>
          </w:tcPr>
          <w:p>
            <w:pPr>
              <w:pStyle w:val="15"/>
              <w:keepNext w:val="0"/>
              <w:keepLines w:val="0"/>
              <w:suppressLineNumbers w:val="0"/>
              <w:spacing w:before="0" w:beforeAutospacing="0" w:after="0" w:afterAutospacing="0"/>
              <w:ind w:left="0" w:right="0"/>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二十七、非金属矿物制品业55---石膏、水泥制品及类似制品制造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建设性质</w:t>
            </w:r>
          </w:p>
        </w:tc>
        <w:tc>
          <w:tcPr>
            <w:tcW w:w="2700" w:type="dxa"/>
            <w:vAlign w:val="center"/>
          </w:tcPr>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新建（迁建）</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改建</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扩建</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技术改造</w:t>
            </w:r>
          </w:p>
        </w:tc>
        <w:tc>
          <w:tcPr>
            <w:tcW w:w="186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建设项目</w:t>
            </w:r>
          </w:p>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申报情形</w:t>
            </w:r>
          </w:p>
        </w:tc>
        <w:tc>
          <w:tcPr>
            <w:tcW w:w="2639" w:type="dxa"/>
            <w:vAlign w:val="center"/>
          </w:tcPr>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 xml:space="preserve">首次申报项目             </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不予批准后再次申报项目</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 xml:space="preserve">超五年重新审核项目     </w:t>
            </w:r>
          </w:p>
          <w:p>
            <w:pPr>
              <w:pStyle w:val="15"/>
              <w:keepNext w:val="0"/>
              <w:keepLines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项目审批（核准/</w:t>
            </w:r>
          </w:p>
          <w:p>
            <w:pPr>
              <w:pStyle w:val="15"/>
              <w:keepNext w:val="0"/>
              <w:keepLines w:val="0"/>
              <w:suppressLineNumbers w:val="0"/>
              <w:spacing w:before="0" w:beforeAutospacing="0" w:after="0" w:afterAutospacing="0"/>
              <w:ind w:left="0" w:right="0"/>
              <w:rPr>
                <w:rFonts w:hint="default"/>
              </w:rPr>
            </w:pPr>
            <w:r>
              <w:rPr>
                <w:rFonts w:hint="default"/>
              </w:rPr>
              <w:t>备案）部门（选填）</w:t>
            </w:r>
          </w:p>
        </w:tc>
        <w:tc>
          <w:tcPr>
            <w:tcW w:w="2700" w:type="dxa"/>
            <w:vAlign w:val="center"/>
          </w:tcPr>
          <w:p>
            <w:pPr>
              <w:pStyle w:val="15"/>
              <w:keepNext w:val="0"/>
              <w:keepLines w:val="0"/>
              <w:suppressLineNumbers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胡杨河经济技术开发区</w:t>
            </w:r>
          </w:p>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经济发展局</w:t>
            </w:r>
          </w:p>
        </w:tc>
        <w:tc>
          <w:tcPr>
            <w:tcW w:w="186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项目审批（核准/</w:t>
            </w:r>
          </w:p>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备案）文号（选填）</w:t>
            </w:r>
          </w:p>
        </w:tc>
        <w:tc>
          <w:tcPr>
            <w:tcW w:w="263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经发</w:t>
            </w:r>
            <w:r>
              <w:rPr>
                <w:rFonts w:hint="eastAsia"/>
                <w:color w:val="000000" w:themeColor="text1"/>
                <w:sz w:val="21"/>
                <w:szCs w:val="21"/>
                <w:lang w:val="en-US" w:eastAsia="zh-CN"/>
                <w14:textFill>
                  <w14:solidFill>
                    <w14:schemeClr w14:val="tx1"/>
                  </w14:solidFill>
                </w14:textFill>
              </w:rPr>
              <w:t>局备</w:t>
            </w:r>
            <w:r>
              <w:rPr>
                <w:rFonts w:hint="eastAsia"/>
                <w:sz w:val="21"/>
                <w:szCs w:val="21"/>
                <w:lang w:eastAsia="zh-CN"/>
              </w:rPr>
              <w:t>〔20</w:t>
            </w:r>
            <w:r>
              <w:rPr>
                <w:rFonts w:hint="eastAsia"/>
                <w:sz w:val="21"/>
                <w:szCs w:val="21"/>
                <w:lang w:val="en-US" w:eastAsia="zh-CN"/>
              </w:rPr>
              <w:t>24</w:t>
            </w:r>
            <w:r>
              <w:rPr>
                <w:rFonts w:hint="eastAsia"/>
                <w:sz w:val="21"/>
                <w:szCs w:val="21"/>
                <w:lang w:eastAsia="zh-CN"/>
              </w:rPr>
              <w:t>〕</w:t>
            </w:r>
            <w:r>
              <w:rPr>
                <w:rFonts w:hint="eastAsia"/>
                <w:sz w:val="21"/>
                <w:szCs w:val="21"/>
                <w:lang w:val="en-US" w:eastAsia="zh-CN"/>
              </w:rPr>
              <w:t>006号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总投资（万元）</w:t>
            </w:r>
          </w:p>
        </w:tc>
        <w:tc>
          <w:tcPr>
            <w:tcW w:w="2700"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4986</w:t>
            </w:r>
          </w:p>
        </w:tc>
        <w:tc>
          <w:tcPr>
            <w:tcW w:w="1863"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环保投资（万元）</w:t>
            </w:r>
          </w:p>
        </w:tc>
        <w:tc>
          <w:tcPr>
            <w:tcW w:w="263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rPr>
            </w:pPr>
            <w:r>
              <w:rPr>
                <w:rFonts w:hint="default"/>
              </w:rPr>
              <w:t>环保投资占比（%）</w:t>
            </w:r>
          </w:p>
        </w:tc>
        <w:tc>
          <w:tcPr>
            <w:tcW w:w="2700"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1.89</w:t>
            </w:r>
          </w:p>
        </w:tc>
        <w:tc>
          <w:tcPr>
            <w:tcW w:w="1863"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施工工期</w:t>
            </w:r>
          </w:p>
        </w:tc>
        <w:tc>
          <w:tcPr>
            <w:tcW w:w="2639" w:type="dxa"/>
            <w:vAlign w:val="center"/>
          </w:tcPr>
          <w:p>
            <w:pPr>
              <w:pStyle w:val="15"/>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68"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是否开工建设</w:t>
            </w:r>
          </w:p>
        </w:tc>
        <w:tc>
          <w:tcPr>
            <w:tcW w:w="2700" w:type="dxa"/>
            <w:vAlign w:val="center"/>
          </w:tcPr>
          <w:p>
            <w:pPr>
              <w:pStyle w:val="15"/>
              <w:keepNext w:val="0"/>
              <w:keepLines w:val="0"/>
              <w:suppressLineNumbers w:val="0"/>
              <w:spacing w:before="0" w:beforeAutospacing="0" w:after="0" w:afterAutospacing="0"/>
              <w:ind w:left="0" w:right="0"/>
              <w:jc w:val="both"/>
              <w:rPr>
                <w:rFonts w:hint="default"/>
                <w:color w:val="auto"/>
                <w:highlight w:val="none"/>
              </w:rPr>
            </w:pPr>
            <w:r>
              <w:rPr>
                <w:rFonts w:hint="eastAsia"/>
                <w:color w:val="auto"/>
                <w:highlight w:val="none"/>
              </w:rPr>
              <w:t>□</w:t>
            </w:r>
            <w:r>
              <w:rPr>
                <w:rFonts w:hint="default"/>
                <w:color w:val="auto"/>
                <w:highlight w:val="none"/>
              </w:rPr>
              <w:t>否</w:t>
            </w:r>
          </w:p>
          <w:p>
            <w:pPr>
              <w:pStyle w:val="15"/>
              <w:keepNext w:val="0"/>
              <w:keepLines w:val="0"/>
              <w:suppressLineNumbers w:val="0"/>
              <w:spacing w:before="0" w:beforeAutospacing="0" w:after="0" w:afterAutospacing="0"/>
              <w:ind w:left="0" w:right="0"/>
              <w:jc w:val="both"/>
              <w:rPr>
                <w:rFonts w:hint="default"/>
                <w:color w:val="auto"/>
                <w:highlight w:val="none"/>
              </w:rPr>
            </w:pPr>
            <w:r>
              <w:rPr>
                <w:rFonts w:hint="eastAsia"/>
                <w:color w:val="auto"/>
                <w:highlight w:val="none"/>
              </w:rPr>
              <w:t>■</w:t>
            </w:r>
            <w:r>
              <w:rPr>
                <w:rFonts w:hint="default"/>
                <w:color w:val="auto"/>
                <w:highlight w:val="none"/>
              </w:rPr>
              <w:t>是：</w:t>
            </w:r>
            <w:r>
              <w:rPr>
                <w:rFonts w:hint="eastAsia"/>
                <w:color w:val="auto"/>
                <w:highlight w:val="none"/>
                <w:lang w:val="en-US" w:eastAsia="zh-CN"/>
              </w:rPr>
              <w:t>企业依托现有生产厂房、建设120搅拌站生产光伏桩，目前已投入运营。</w:t>
            </w:r>
            <w:r>
              <w:rPr>
                <w:rFonts w:hint="default"/>
                <w:color w:val="auto"/>
                <w:highlight w:val="none"/>
              </w:rPr>
              <w:t xml:space="preserve">        </w:t>
            </w:r>
          </w:p>
        </w:tc>
        <w:tc>
          <w:tcPr>
            <w:tcW w:w="1863" w:type="dxa"/>
            <w:tcMar>
              <w:top w:w="16" w:type="dxa"/>
              <w:left w:w="16" w:type="dxa"/>
              <w:right w:w="16" w:type="dxa"/>
            </w:tcMar>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用地（用海）面积（m</w:t>
            </w:r>
            <w:r>
              <w:rPr>
                <w:rFonts w:hint="default"/>
                <w:color w:val="auto"/>
                <w:highlight w:val="none"/>
                <w:vertAlign w:val="superscript"/>
              </w:rPr>
              <w:t>2</w:t>
            </w:r>
            <w:r>
              <w:rPr>
                <w:rFonts w:hint="default"/>
                <w:color w:val="auto"/>
                <w:highlight w:val="none"/>
              </w:rPr>
              <w:t>）</w:t>
            </w:r>
          </w:p>
        </w:tc>
        <w:tc>
          <w:tcPr>
            <w:tcW w:w="263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pStyle w:val="15"/>
              <w:keepNext w:val="0"/>
              <w:keepLines w:val="0"/>
              <w:suppressLineNumbers w:val="0"/>
              <w:spacing w:before="0" w:beforeAutospacing="0" w:after="0" w:afterAutospacing="0"/>
              <w:ind w:left="0" w:right="0"/>
              <w:rPr>
                <w:rFonts w:hint="default"/>
              </w:rPr>
            </w:pPr>
            <w:r>
              <w:rPr>
                <w:rFonts w:hint="default"/>
              </w:rPr>
              <w:t>专项评价设置</w:t>
            </w:r>
          </w:p>
          <w:p>
            <w:pPr>
              <w:pStyle w:val="15"/>
              <w:keepNext w:val="0"/>
              <w:keepLines w:val="0"/>
              <w:suppressLineNumbers w:val="0"/>
              <w:spacing w:before="0" w:beforeAutospacing="0" w:after="0" w:afterAutospacing="0"/>
              <w:ind w:left="0" w:right="0"/>
              <w:rPr>
                <w:rFonts w:hint="default"/>
              </w:rPr>
            </w:pPr>
            <w:r>
              <w:rPr>
                <w:rFonts w:hint="default"/>
              </w:rPr>
              <w:t>情况</w:t>
            </w:r>
          </w:p>
        </w:tc>
        <w:tc>
          <w:tcPr>
            <w:tcW w:w="7202" w:type="dxa"/>
            <w:gridSpan w:val="3"/>
            <w:vAlign w:val="center"/>
          </w:tcPr>
          <w:p>
            <w:pPr>
              <w:pStyle w:val="15"/>
              <w:keepNext w:val="0"/>
              <w:keepLines w:val="0"/>
              <w:suppressLineNumbers w:val="0"/>
              <w:spacing w:before="0" w:beforeAutospacing="0" w:after="0" w:afterAutospacing="0"/>
              <w:ind w:left="0" w:right="0"/>
              <w:rPr>
                <w:rFonts w:hint="default"/>
              </w:rPr>
            </w:pPr>
            <w:r>
              <w:rPr>
                <w:rFonts w:hint="default"/>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668" w:type="dxa"/>
            <w:vAlign w:val="center"/>
          </w:tcPr>
          <w:p>
            <w:pPr>
              <w:pStyle w:val="15"/>
              <w:keepNext w:val="0"/>
              <w:keepLines w:val="0"/>
              <w:suppressLineNumbers w:val="0"/>
              <w:spacing w:before="0" w:beforeAutospacing="0" w:after="0" w:afterAutospacing="0"/>
              <w:ind w:left="0" w:right="0"/>
              <w:rPr>
                <w:rFonts w:hint="default"/>
              </w:rPr>
            </w:pPr>
            <w:r>
              <w:rPr>
                <w:rFonts w:hint="default"/>
              </w:rPr>
              <w:t>规划情况</w:t>
            </w:r>
          </w:p>
        </w:tc>
        <w:tc>
          <w:tcPr>
            <w:tcW w:w="7202" w:type="dxa"/>
            <w:gridSpan w:val="3"/>
            <w:vAlign w:val="center"/>
          </w:tcPr>
          <w:p>
            <w:pPr>
              <w:keepNext w:val="0"/>
              <w:keepLines w:val="0"/>
              <w:suppressLineNumbers w:val="0"/>
              <w:autoSpaceDE w:val="0"/>
              <w:autoSpaceDN w:val="0"/>
              <w:spacing w:before="0" w:beforeAutospacing="0" w:after="0" w:afterAutospacing="0"/>
              <w:ind w:left="0" w:right="0" w:firstLine="0" w:firstLineChars="0"/>
              <w:rPr>
                <w:rFonts w:hint="default"/>
                <w:color w:val="000000" w:themeColor="text1"/>
                <w:szCs w:val="24"/>
                <w14:textFill>
                  <w14:solidFill>
                    <w14:schemeClr w14:val="tx1"/>
                  </w14:solidFill>
                </w14:textFill>
              </w:rPr>
            </w:pPr>
            <w:r>
              <w:rPr>
                <w:rFonts w:hint="eastAsia" w:cs="Times New Roman"/>
                <w:color w:val="000000" w:themeColor="text1"/>
                <w:kern w:val="0"/>
                <w14:textFill>
                  <w14:solidFill>
                    <w14:schemeClr w14:val="tx1"/>
                  </w14:solidFill>
                </w14:textFill>
              </w:rPr>
              <w:t>规划名称：</w:t>
            </w:r>
            <w:r>
              <w:rPr>
                <w:rFonts w:hint="eastAsia"/>
                <w:color w:val="000000" w:themeColor="text1"/>
                <w:spacing w:val="-6"/>
                <w:szCs w:val="24"/>
                <w14:textFill>
                  <w14:solidFill>
                    <w14:schemeClr w14:val="tx1"/>
                  </w14:solidFill>
                </w14:textFill>
              </w:rPr>
              <w:t>胡杨河经济技术开发区总体规划（2021-2035）</w:t>
            </w:r>
          </w:p>
          <w:p>
            <w:pPr>
              <w:keepNext w:val="0"/>
              <w:keepLines w:val="0"/>
              <w:suppressLineNumbers w:val="0"/>
              <w:autoSpaceDE w:val="0"/>
              <w:autoSpaceDN w:val="0"/>
              <w:spacing w:before="0" w:beforeAutospacing="0" w:after="0" w:afterAutospacing="0"/>
              <w:ind w:left="0" w:right="0" w:firstLine="0" w:firstLineChars="0"/>
              <w:rPr>
                <w:rFonts w:hint="default" w:eastAsia="宋体" w:cs="Times New Roman"/>
                <w:color w:val="000000" w:themeColor="text1"/>
                <w:kern w:val="0"/>
                <w:lang w:val="en-US" w:eastAsia="zh-CN"/>
                <w14:textFill>
                  <w14:solidFill>
                    <w14:schemeClr w14:val="tx1"/>
                  </w14:solidFill>
                </w14:textFill>
              </w:rPr>
            </w:pPr>
            <w:r>
              <w:rPr>
                <w:rFonts w:hint="eastAsia"/>
                <w:color w:val="000000" w:themeColor="text1"/>
                <w:szCs w:val="24"/>
                <w14:textFill>
                  <w14:solidFill>
                    <w14:schemeClr w14:val="tx1"/>
                  </w14:solidFill>
                </w14:textFill>
              </w:rPr>
              <w:t>审批机关：</w:t>
            </w:r>
            <w:r>
              <w:rPr>
                <w:rFonts w:hint="eastAsia" w:cs="Times New Roman"/>
                <w:color w:val="000000" w:themeColor="text1"/>
                <w:kern w:val="0"/>
                <w:lang w:val="en-US" w:eastAsia="zh-CN"/>
                <w14:textFill>
                  <w14:solidFill>
                    <w14:schemeClr w14:val="tx1"/>
                  </w14:solidFill>
                </w14:textFill>
              </w:rPr>
              <w:t>新疆生产建设兵团</w:t>
            </w:r>
          </w:p>
          <w:p>
            <w:pPr>
              <w:keepNext w:val="0"/>
              <w:keepLines w:val="0"/>
              <w:suppressLineNumbers w:val="0"/>
              <w:autoSpaceDE w:val="0"/>
              <w:autoSpaceDN w:val="0"/>
              <w:spacing w:before="0" w:beforeAutospacing="0" w:after="0" w:afterAutospacing="0"/>
              <w:ind w:left="0" w:right="0" w:firstLine="0" w:firstLineChars="0"/>
              <w:rPr>
                <w:rFonts w:hint="default" w:eastAsia="宋体"/>
                <w:color w:val="000000" w:themeColor="text1"/>
                <w:lang w:val="en-US" w:eastAsia="zh-CN"/>
                <w14:textFill>
                  <w14:solidFill>
                    <w14:schemeClr w14:val="tx1"/>
                  </w14:solidFill>
                </w14:textFill>
              </w:rPr>
            </w:pPr>
            <w:r>
              <w:rPr>
                <w:rFonts w:hint="eastAsia" w:cs="Times New Roman"/>
                <w:color w:val="000000" w:themeColor="text1"/>
                <w:kern w:val="0"/>
                <w14:textFill>
                  <w14:solidFill>
                    <w14:schemeClr w14:val="tx1"/>
                  </w14:solidFill>
                </w14:textFill>
              </w:rPr>
              <w:t>审批文件名称及文号：</w:t>
            </w:r>
            <w:r>
              <w:rPr>
                <w:rFonts w:hint="eastAsia" w:cs="Times New Roman"/>
                <w:color w:val="000000" w:themeColor="text1"/>
                <w:kern w:val="0"/>
                <w:lang w:val="en-US" w:eastAsia="zh-CN"/>
                <w14:textFill>
                  <w14:solidFill>
                    <w14:schemeClr w14:val="tx1"/>
                  </w14:solidFill>
                </w14:textFill>
              </w:rPr>
              <w:t>《兵团关于第七师</w:t>
            </w:r>
            <w:r>
              <w:rPr>
                <w:rFonts w:hint="eastAsia"/>
                <w:color w:val="000000" w:themeColor="text1"/>
                <w:spacing w:val="-6"/>
                <w:szCs w:val="24"/>
                <w14:textFill>
                  <w14:solidFill>
                    <w14:schemeClr w14:val="tx1"/>
                  </w14:solidFill>
                </w14:textFill>
              </w:rPr>
              <w:t>胡杨河</w:t>
            </w:r>
            <w:r>
              <w:rPr>
                <w:rFonts w:hint="eastAsia"/>
                <w:color w:val="000000" w:themeColor="text1"/>
                <w:spacing w:val="-6"/>
                <w:szCs w:val="24"/>
                <w:lang w:val="en-US" w:eastAsia="zh-CN"/>
                <w14:textFill>
                  <w14:solidFill>
                    <w14:schemeClr w14:val="tx1"/>
                  </w14:solidFill>
                </w14:textFill>
              </w:rPr>
              <w:t>市</w:t>
            </w:r>
            <w:r>
              <w:rPr>
                <w:rFonts w:hint="eastAsia"/>
                <w:color w:val="000000" w:themeColor="text1"/>
                <w:spacing w:val="-6"/>
                <w:szCs w:val="24"/>
                <w14:textFill>
                  <w14:solidFill>
                    <w14:schemeClr w14:val="tx1"/>
                  </w14:solidFill>
                </w14:textFill>
              </w:rPr>
              <w:t>开发区</w:t>
            </w:r>
            <w:r>
              <w:rPr>
                <w:rFonts w:hint="eastAsia"/>
                <w:color w:val="000000" w:themeColor="text1"/>
                <w:spacing w:val="-6"/>
                <w:szCs w:val="24"/>
                <w:lang w:eastAsia="zh-CN"/>
                <w14:textFill>
                  <w14:solidFill>
                    <w14:schemeClr w14:val="tx1"/>
                  </w14:solidFill>
                </w14:textFill>
              </w:rPr>
              <w:t>（</w:t>
            </w:r>
            <w:r>
              <w:rPr>
                <w:rFonts w:hint="eastAsia"/>
                <w:color w:val="000000" w:themeColor="text1"/>
                <w:spacing w:val="-6"/>
                <w:szCs w:val="24"/>
                <w:lang w:val="en-US" w:eastAsia="zh-CN"/>
                <w14:textFill>
                  <w14:solidFill>
                    <w14:schemeClr w14:val="tx1"/>
                  </w14:solidFill>
                </w14:textFill>
              </w:rPr>
              <w:t>园区</w:t>
            </w:r>
            <w:r>
              <w:rPr>
                <w:rFonts w:hint="eastAsia"/>
                <w:color w:val="000000" w:themeColor="text1"/>
                <w:spacing w:val="-6"/>
                <w:szCs w:val="24"/>
                <w:lang w:eastAsia="zh-CN"/>
                <w14:textFill>
                  <w14:solidFill>
                    <w14:schemeClr w14:val="tx1"/>
                  </w14:solidFill>
                </w14:textFill>
              </w:rPr>
              <w:t>）</w:t>
            </w:r>
            <w:r>
              <w:rPr>
                <w:rFonts w:hint="eastAsia" w:cs="Times New Roman"/>
                <w:color w:val="000000" w:themeColor="text1"/>
                <w:kern w:val="0"/>
                <w:lang w:val="en-US" w:eastAsia="zh-CN"/>
                <w14:textFill>
                  <w14:solidFill>
                    <w14:schemeClr w14:val="tx1"/>
                  </w14:solidFill>
                </w14:textFill>
              </w:rPr>
              <w:t>清理整顿方案的批复》</w:t>
            </w:r>
            <w:r>
              <w:rPr>
                <w:rFonts w:hint="eastAsia" w:cs="Times New Roman"/>
                <w:color w:val="000000" w:themeColor="text1"/>
                <w:kern w:val="0"/>
                <w14:textFill>
                  <w14:solidFill>
                    <w14:schemeClr w14:val="tx1"/>
                  </w14:solidFill>
                </w14:textFill>
              </w:rPr>
              <w:t>(新</w:t>
            </w:r>
            <w:r>
              <w:rPr>
                <w:rFonts w:hint="eastAsia" w:cs="Times New Roman"/>
                <w:color w:val="000000" w:themeColor="text1"/>
                <w:kern w:val="0"/>
                <w:lang w:val="en-US" w:eastAsia="zh-CN"/>
                <w14:textFill>
                  <w14:solidFill>
                    <w14:schemeClr w14:val="tx1"/>
                  </w14:solidFill>
                </w14:textFill>
              </w:rPr>
              <w:t>兵</w:t>
            </w:r>
            <w:r>
              <w:rPr>
                <w:rFonts w:hint="eastAsia" w:cs="Times New Roman"/>
                <w:color w:val="000000" w:themeColor="text1"/>
                <w:kern w:val="0"/>
                <w14:textFill>
                  <w14:solidFill>
                    <w14:schemeClr w14:val="tx1"/>
                  </w14:solidFill>
                </w14:textFill>
              </w:rPr>
              <w:t>函</w:t>
            </w:r>
            <w:r>
              <w:rPr>
                <w:rFonts w:hint="eastAsia"/>
                <w:sz w:val="21"/>
                <w:szCs w:val="21"/>
                <w:lang w:eastAsia="zh-CN"/>
              </w:rPr>
              <w:t>〔20</w:t>
            </w:r>
            <w:r>
              <w:rPr>
                <w:rFonts w:hint="eastAsia"/>
                <w:sz w:val="21"/>
                <w:szCs w:val="21"/>
                <w:lang w:val="en-US" w:eastAsia="zh-CN"/>
              </w:rPr>
              <w:t>20</w:t>
            </w:r>
            <w:r>
              <w:rPr>
                <w:rFonts w:hint="eastAsia"/>
                <w:sz w:val="21"/>
                <w:szCs w:val="21"/>
                <w:lang w:eastAsia="zh-CN"/>
              </w:rPr>
              <w:t>〕</w:t>
            </w:r>
            <w:r>
              <w:rPr>
                <w:rFonts w:hint="eastAsia" w:cs="Times New Roman"/>
                <w:color w:val="000000" w:themeColor="text1"/>
                <w:kern w:val="0"/>
                <w:lang w:val="en-US" w:eastAsia="zh-CN"/>
                <w14:textFill>
                  <w14:solidFill>
                    <w14:schemeClr w14:val="tx1"/>
                  </w14:solidFill>
                </w14:textFill>
              </w:rPr>
              <w:t>24</w:t>
            </w:r>
            <w:r>
              <w:rPr>
                <w:rFonts w:hint="eastAsia" w:cs="Times New Roman"/>
                <w:color w:val="000000" w:themeColor="text1"/>
                <w:kern w:val="0"/>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668" w:type="dxa"/>
            <w:vAlign w:val="center"/>
          </w:tcPr>
          <w:p>
            <w:pPr>
              <w:pStyle w:val="15"/>
              <w:keepNext w:val="0"/>
              <w:keepLines w:val="0"/>
              <w:suppressLineNumbers w:val="0"/>
              <w:spacing w:before="0" w:beforeAutospacing="0" w:after="0" w:afterAutospacing="0"/>
              <w:ind w:left="0" w:right="0"/>
              <w:rPr>
                <w:rFonts w:hint="default"/>
              </w:rPr>
            </w:pPr>
            <w:r>
              <w:rPr>
                <w:rFonts w:hint="default"/>
              </w:rPr>
              <w:t>规划环境影响</w:t>
            </w:r>
          </w:p>
          <w:p>
            <w:pPr>
              <w:pStyle w:val="15"/>
              <w:keepNext w:val="0"/>
              <w:keepLines w:val="0"/>
              <w:suppressLineNumbers w:val="0"/>
              <w:spacing w:before="0" w:beforeAutospacing="0" w:after="0" w:afterAutospacing="0"/>
              <w:ind w:left="0" w:right="0"/>
              <w:rPr>
                <w:rFonts w:hint="default"/>
              </w:rPr>
            </w:pPr>
            <w:r>
              <w:rPr>
                <w:rFonts w:hint="default"/>
              </w:rPr>
              <w:t>评价情况</w:t>
            </w:r>
          </w:p>
        </w:tc>
        <w:tc>
          <w:tcPr>
            <w:tcW w:w="7202" w:type="dxa"/>
            <w:gridSpan w:val="3"/>
            <w:vAlign w:val="center"/>
          </w:tcPr>
          <w:p>
            <w:pPr>
              <w:keepNext w:val="0"/>
              <w:keepLines w:val="0"/>
              <w:suppressLineNumbers w:val="0"/>
              <w:autoSpaceDE w:val="0"/>
              <w:autoSpaceDN w:val="0"/>
              <w:spacing w:before="0" w:beforeAutospacing="0" w:after="0" w:afterAutospacing="0"/>
              <w:ind w:left="0" w:right="0" w:firstLine="0" w:firstLineChars="0"/>
              <w:rPr>
                <w:rFonts w:hint="default"/>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规划环评名称：</w:t>
            </w:r>
            <w:r>
              <w:rPr>
                <w:rFonts w:hint="eastAsia"/>
                <w:color w:val="000000" w:themeColor="text1"/>
                <w:spacing w:val="-6"/>
                <w:szCs w:val="24"/>
                <w14:textFill>
                  <w14:solidFill>
                    <w14:schemeClr w14:val="tx1"/>
                  </w14:solidFill>
                </w14:textFill>
              </w:rPr>
              <w:t>胡杨河经济技术开发区总体规划（2021-2035）环境影响报告书</w:t>
            </w:r>
          </w:p>
          <w:p>
            <w:pPr>
              <w:keepNext w:val="0"/>
              <w:keepLines w:val="0"/>
              <w:suppressLineNumbers w:val="0"/>
              <w:autoSpaceDE w:val="0"/>
              <w:autoSpaceDN w:val="0"/>
              <w:spacing w:before="0" w:beforeAutospacing="0" w:after="0" w:afterAutospacing="0"/>
              <w:ind w:left="0" w:right="0" w:firstLine="0" w:firstLineChars="0"/>
              <w:rPr>
                <w:rFonts w:hint="eastAsia" w:eastAsia="宋体"/>
                <w:color w:val="000000" w:themeColor="text1"/>
                <w:szCs w:val="24"/>
                <w:lang w:eastAsia="zh-CN"/>
                <w14:textFill>
                  <w14:solidFill>
                    <w14:schemeClr w14:val="tx1"/>
                  </w14:solidFill>
                </w14:textFill>
              </w:rPr>
            </w:pPr>
            <w:r>
              <w:rPr>
                <w:rFonts w:hint="eastAsia"/>
                <w:color w:val="000000" w:themeColor="text1"/>
                <w:szCs w:val="24"/>
                <w14:textFill>
                  <w14:solidFill>
                    <w14:schemeClr w14:val="tx1"/>
                  </w14:solidFill>
                </w14:textFill>
              </w:rPr>
              <w:t>召集审查机关：新疆</w:t>
            </w:r>
            <w:r>
              <w:rPr>
                <w:rFonts w:hint="eastAsia"/>
                <w:color w:val="000000" w:themeColor="text1"/>
                <w:szCs w:val="24"/>
                <w:lang w:val="en-US" w:eastAsia="zh-CN"/>
                <w14:textFill>
                  <w14:solidFill>
                    <w14:schemeClr w14:val="tx1"/>
                  </w14:solidFill>
                </w14:textFill>
              </w:rPr>
              <w:t>生产建设兵团</w:t>
            </w:r>
            <w:r>
              <w:rPr>
                <w:rFonts w:hint="eastAsia"/>
                <w:color w:val="000000" w:themeColor="text1"/>
                <w:szCs w:val="24"/>
                <w14:textFill>
                  <w14:solidFill>
                    <w14:schemeClr w14:val="tx1"/>
                  </w14:solidFill>
                </w14:textFill>
              </w:rPr>
              <w:t>生态环境</w:t>
            </w:r>
            <w:r>
              <w:rPr>
                <w:rFonts w:hint="eastAsia"/>
                <w:color w:val="000000" w:themeColor="text1"/>
                <w:szCs w:val="24"/>
                <w:lang w:val="en-US" w:eastAsia="zh-CN"/>
                <w14:textFill>
                  <w14:solidFill>
                    <w14:schemeClr w14:val="tx1"/>
                  </w14:solidFill>
                </w14:textFill>
              </w:rPr>
              <w:t>局</w:t>
            </w:r>
          </w:p>
          <w:p>
            <w:pPr>
              <w:keepNext w:val="0"/>
              <w:keepLines w:val="0"/>
              <w:suppressLineNumbers w:val="0"/>
              <w:autoSpaceDE w:val="0"/>
              <w:autoSpaceDN w:val="0"/>
              <w:spacing w:before="0" w:beforeAutospacing="0" w:after="0" w:afterAutospacing="0"/>
              <w:ind w:left="0" w:right="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szCs w:val="24"/>
                <w14:textFill>
                  <w14:solidFill>
                    <w14:schemeClr w14:val="tx1"/>
                  </w14:solidFill>
                </w14:textFill>
              </w:rPr>
              <w:t>审查文件名称及文号：</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关于胡杨河经济技术开发区总体规划（2021-2035）环境影响报告书的审查意见》(</w:t>
            </w:r>
            <w:r>
              <w:rPr>
                <w:rFonts w:hint="eastAsia"/>
                <w:color w:val="000000" w:themeColor="text1"/>
                <w:szCs w:val="24"/>
                <w:lang w:val="en-US" w:eastAsia="zh-CN"/>
                <w14:textFill>
                  <w14:solidFill>
                    <w14:schemeClr w14:val="tx1"/>
                  </w14:solidFill>
                </w14:textFill>
              </w:rPr>
              <w:t>兵</w:t>
            </w:r>
            <w:r>
              <w:rPr>
                <w:rFonts w:hint="eastAsia"/>
                <w:color w:val="000000" w:themeColor="text1"/>
                <w:szCs w:val="24"/>
                <w14:textFill>
                  <w14:solidFill>
                    <w14:schemeClr w14:val="tx1"/>
                  </w14:solidFill>
                </w14:textFill>
              </w:rPr>
              <w:t>环</w:t>
            </w:r>
            <w:r>
              <w:rPr>
                <w:rFonts w:hint="eastAsia"/>
                <w:color w:val="000000" w:themeColor="text1"/>
                <w:szCs w:val="24"/>
                <w:lang w:val="en-US" w:eastAsia="zh-CN"/>
                <w14:textFill>
                  <w14:solidFill>
                    <w14:schemeClr w14:val="tx1"/>
                  </w14:solidFill>
                </w14:textFill>
              </w:rPr>
              <w:t>审</w:t>
            </w:r>
            <w:r>
              <w:rPr>
                <w:rFonts w:hint="eastAsia"/>
                <w:sz w:val="21"/>
                <w:szCs w:val="21"/>
                <w:lang w:eastAsia="zh-CN"/>
              </w:rPr>
              <w:t>〔20</w:t>
            </w:r>
            <w:r>
              <w:rPr>
                <w:rFonts w:hint="eastAsia"/>
                <w:sz w:val="21"/>
                <w:szCs w:val="21"/>
                <w:lang w:val="en-US" w:eastAsia="zh-CN"/>
              </w:rPr>
              <w:t>22</w:t>
            </w:r>
            <w:r>
              <w:rPr>
                <w:rFonts w:hint="eastAsia"/>
                <w:sz w:val="21"/>
                <w:szCs w:val="21"/>
                <w:lang w:eastAsia="zh-CN"/>
              </w:rPr>
              <w:t>〕</w:t>
            </w:r>
            <w:r>
              <w:rPr>
                <w:rFonts w:hint="eastAsia"/>
                <w:color w:val="000000" w:themeColor="text1"/>
                <w:szCs w:val="24"/>
                <w:lang w:val="en-US" w:eastAsia="zh-CN"/>
                <w14:textFill>
                  <w14:solidFill>
                    <w14:schemeClr w14:val="tx1"/>
                  </w14:solidFill>
                </w14:textFill>
              </w:rPr>
              <w:t>2</w:t>
            </w:r>
            <w:r>
              <w:rPr>
                <w:rFonts w:hint="eastAsia"/>
                <w:color w:val="000000" w:themeColor="text1"/>
                <w:szCs w:val="24"/>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8" w:type="dxa"/>
            <w:vAlign w:val="center"/>
          </w:tcPr>
          <w:p>
            <w:pPr>
              <w:pStyle w:val="15"/>
              <w:keepNext w:val="0"/>
              <w:keepLines w:val="0"/>
              <w:suppressLineNumbers w:val="0"/>
              <w:spacing w:before="0" w:beforeAutospacing="0" w:after="0" w:afterAutospacing="0"/>
              <w:ind w:left="0" w:right="0"/>
              <w:rPr>
                <w:rFonts w:hint="default"/>
              </w:rPr>
            </w:pPr>
            <w:r>
              <w:rPr>
                <w:rFonts w:hint="default"/>
              </w:rPr>
              <w:t>规划及规划环境影响评价符合性分析</w:t>
            </w:r>
          </w:p>
        </w:tc>
        <w:tc>
          <w:tcPr>
            <w:tcW w:w="7202" w:type="dxa"/>
            <w:gridSpan w:val="3"/>
            <w:vAlign w:val="center"/>
          </w:tcPr>
          <w:p>
            <w:pPr>
              <w:keepNext w:val="0"/>
              <w:keepLines w:val="0"/>
              <w:suppressLineNumbers w:val="0"/>
              <w:spacing w:before="0" w:beforeAutospacing="0" w:after="0" w:afterAutospacing="0"/>
              <w:ind w:left="0" w:right="0" w:firstLine="420"/>
              <w:rPr>
                <w:rFonts w:hint="eastAsia" w:cs="Times New Roman"/>
                <w:color w:val="000000" w:themeColor="text1"/>
                <w:kern w:val="0"/>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胡杨河经济技术开发区总体规划</w:t>
            </w:r>
            <w:r>
              <w:rPr>
                <w:rFonts w:hint="eastAsia" w:cs="Times New Roman"/>
                <w:color w:val="000000" w:themeColor="text1"/>
                <w:kern w:val="0"/>
                <w14:textFill>
                  <w14:solidFill>
                    <w14:schemeClr w14:val="tx1"/>
                  </w14:solidFill>
                </w14:textFill>
              </w:rPr>
              <w:t>由南园区、北园区、胡杨河纺织工业园区形成“一区三园”构架。其中，南园区位于129团五五新镇东南侧与胡杨河市东北侧，规划范围北至奎克高速立交(奎车公路、奎克高速公路交汇处)，南至130团20连耕地，东邻130团公益林，西到奎北铁路，规划面积53.82平方公里。规划产业定位以精细化工、新材料为主导产业，新型建材、仓储物流业为辅助产业，装备制造业、创新科技产业、农产品加工、电子元器件产业作为淮安援疆产城融合发展产业。</w:t>
            </w:r>
          </w:p>
          <w:p>
            <w:pPr>
              <w:keepNext w:val="0"/>
              <w:keepLines w:val="0"/>
              <w:suppressLineNumbers w:val="0"/>
              <w:spacing w:before="0" w:beforeAutospacing="0" w:after="0" w:afterAutospacing="0"/>
              <w:ind w:left="0" w:right="0" w:firstLine="420"/>
              <w:rPr>
                <w:rFonts w:hint="eastAsia"/>
                <w:color w:val="000000" w:themeColor="text1"/>
                <w:szCs w:val="24"/>
                <w:lang w:val="en-US" w:eastAsia="zh-CN"/>
                <w14:textFill>
                  <w14:solidFill>
                    <w14:schemeClr w14:val="tx1"/>
                  </w14:solidFill>
                </w14:textFill>
              </w:rPr>
            </w:pPr>
            <w:r>
              <w:rPr>
                <w:rFonts w:hint="eastAsia"/>
                <w:color w:val="000000" w:themeColor="text1"/>
                <w:szCs w:val="24"/>
                <w14:textFill>
                  <w14:solidFill>
                    <w14:schemeClr w14:val="tx1"/>
                  </w14:solidFill>
                </w14:textFill>
              </w:rPr>
              <w:t>规划环评中提出，严格控制“两高”行业发展规模，优化规划布局、产业结构与实施时序。严守生态保护红线，加强空间管控。坚守环境质量底线,严格污染物总量管控</w:t>
            </w:r>
            <w:r>
              <w:rPr>
                <w:rFonts w:hint="eastAsia"/>
                <w:color w:val="000000" w:themeColor="text1"/>
                <w:szCs w:val="24"/>
                <w:lang w:eastAsia="zh-CN"/>
                <w14:textFill>
                  <w14:solidFill>
                    <w14:schemeClr w14:val="tx1"/>
                  </w14:solidFill>
                </w14:textFill>
              </w:rPr>
              <w:t>，各类污染物排放须满足国</w:t>
            </w:r>
            <w:r>
              <w:rPr>
                <w:rFonts w:hint="eastAsia"/>
                <w:color w:val="000000" w:themeColor="text1"/>
                <w:szCs w:val="24"/>
                <w:lang w:val="en-US" w:eastAsia="zh-CN"/>
                <w14:textFill>
                  <w14:solidFill>
                    <w14:schemeClr w14:val="tx1"/>
                  </w14:solidFill>
                </w14:textFill>
              </w:rPr>
              <w:t>家及自治区最新污染物排放标准要求。严格能源消费总量和消耗强度“双控”，坚持“以水定产、以水定量”，严格入园产业和项目的生态环境准入。严格按照规划产业布局入驻企业，结合区域发展定位、开发布局、生态环境保护目标，实行入园企业环保准入审核制度，不符合产业政策、行业准入条件、生态环境准入清单及自治区党委明令禁止的“三高”项目一律不得入驻园区。严格按照国家有关规定，依法、依规、合理地贮存、处置和处理危险废物。强化开发区环境风险管理，强化应急响应联动机制，保障城市人居环境安全和生态环境安全。</w:t>
            </w:r>
          </w:p>
          <w:p>
            <w:pPr>
              <w:keepNext w:val="0"/>
              <w:keepLines w:val="0"/>
              <w:suppressLineNumbers w:val="0"/>
              <w:spacing w:before="0" w:beforeAutospacing="0" w:after="0" w:afterAutospacing="0"/>
              <w:ind w:left="0" w:right="0" w:firstLine="420"/>
              <w:rPr>
                <w:rFonts w:hint="default"/>
              </w:rPr>
            </w:pPr>
            <w:r>
              <w:rPr>
                <w:rFonts w:hint="eastAsia"/>
                <w:color w:val="auto"/>
                <w:szCs w:val="24"/>
                <w:highlight w:val="none"/>
              </w:rPr>
              <w:t>本项目</w:t>
            </w:r>
            <w:r>
              <w:rPr>
                <w:rFonts w:hint="eastAsia"/>
                <w:color w:val="auto"/>
                <w:szCs w:val="24"/>
                <w:highlight w:val="none"/>
                <w:lang w:val="en-US" w:eastAsia="zh-CN"/>
              </w:rPr>
              <w:t>光伏桩</w:t>
            </w:r>
            <w:r>
              <w:rPr>
                <w:rFonts w:hint="eastAsia"/>
                <w:color w:val="auto"/>
                <w:szCs w:val="24"/>
                <w:highlight w:val="none"/>
              </w:rPr>
              <w:t>属于</w:t>
            </w:r>
            <w:r>
              <w:rPr>
                <w:rFonts w:hint="eastAsia"/>
                <w:color w:val="auto"/>
                <w:szCs w:val="24"/>
                <w:highlight w:val="none"/>
                <w:lang w:val="en-US" w:eastAsia="zh-CN"/>
              </w:rPr>
              <w:t>光伏产业基础，所属行业为</w:t>
            </w:r>
            <w:r>
              <w:rPr>
                <w:rFonts w:hint="eastAsia"/>
                <w:color w:val="auto"/>
                <w:szCs w:val="24"/>
                <w:highlight w:val="none"/>
              </w:rPr>
              <w:t>水泥制品，</w:t>
            </w:r>
            <w:r>
              <w:rPr>
                <w:rFonts w:hint="eastAsia"/>
                <w:color w:val="auto"/>
                <w:szCs w:val="24"/>
                <w:highlight w:val="none"/>
                <w:lang w:val="en-US" w:eastAsia="zh-CN"/>
              </w:rPr>
              <w:t>不属于“两高”行业，选址位于胡杨河经济技术开发区</w:t>
            </w:r>
            <w:r>
              <w:rPr>
                <w:rFonts w:hint="eastAsia" w:cs="Times New Roman"/>
                <w:color w:val="auto"/>
                <w:kern w:val="0"/>
                <w:highlight w:val="none"/>
              </w:rPr>
              <w:t>新型建材</w:t>
            </w:r>
            <w:r>
              <w:rPr>
                <w:rFonts w:hint="eastAsia" w:cs="Times New Roman"/>
                <w:color w:val="auto"/>
                <w:kern w:val="0"/>
                <w:highlight w:val="none"/>
                <w:lang w:val="en-US" w:eastAsia="zh-CN"/>
              </w:rPr>
              <w:t>区，</w:t>
            </w:r>
            <w:r>
              <w:rPr>
                <w:rFonts w:hint="eastAsia"/>
                <w:color w:val="auto"/>
                <w:szCs w:val="24"/>
                <w:highlight w:val="none"/>
                <w:lang w:val="en-US" w:eastAsia="zh-CN"/>
              </w:rPr>
              <w:t>企业新建混凝土搅拌系统、砂石料贮存设施进行混凝土生产，进而制造光伏桩，</w:t>
            </w:r>
            <w:r>
              <w:rPr>
                <w:rFonts w:hint="eastAsia"/>
                <w:color w:val="auto"/>
                <w:szCs w:val="24"/>
                <w:highlight w:val="none"/>
              </w:rPr>
              <w:t>产业定位符合园区</w:t>
            </w:r>
            <w:r>
              <w:rPr>
                <w:rFonts w:hint="eastAsia"/>
                <w:color w:val="auto"/>
                <w:szCs w:val="24"/>
                <w:highlight w:val="none"/>
                <w:lang w:val="en-US" w:eastAsia="zh-CN"/>
              </w:rPr>
              <w:t>定位</w:t>
            </w:r>
            <w:r>
              <w:rPr>
                <w:rFonts w:hint="eastAsia"/>
                <w:color w:val="auto"/>
                <w:szCs w:val="24"/>
                <w:highlight w:val="none"/>
              </w:rPr>
              <w:t>要求，</w:t>
            </w:r>
            <w:r>
              <w:rPr>
                <w:rFonts w:hint="eastAsia"/>
                <w:color w:val="auto"/>
                <w:szCs w:val="24"/>
                <w:highlight w:val="none"/>
                <w:lang w:val="en-US" w:eastAsia="zh-CN"/>
              </w:rPr>
              <w:t>污染物采用高效治理措施并进行总量控制，</w:t>
            </w:r>
            <w:r>
              <w:rPr>
                <w:rFonts w:hint="eastAsia" w:cs="Times New Roman"/>
                <w:color w:val="auto"/>
                <w:kern w:val="0"/>
                <w:highlight w:val="none"/>
              </w:rPr>
              <w:t>符合规划及规划环评的要求。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cs="Times New Roman"/>
                <w:kern w:val="0"/>
              </w:rPr>
            </w:pPr>
            <w:r>
              <w:rPr>
                <w:rFonts w:hint="default" w:cs="Times New Roman"/>
                <w:kern w:val="0"/>
              </w:rPr>
              <w:t>其他符合性</w:t>
            </w:r>
          </w:p>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cs="Times New Roman"/>
                <w:kern w:val="0"/>
              </w:rPr>
            </w:pPr>
            <w:r>
              <w:rPr>
                <w:rFonts w:hint="default" w:cs="Times New Roman"/>
                <w:kern w:val="0"/>
              </w:rPr>
              <w:t>分析</w:t>
            </w:r>
          </w:p>
        </w:tc>
        <w:tc>
          <w:tcPr>
            <w:tcW w:w="7202" w:type="dxa"/>
            <w:gridSpan w:val="3"/>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1、“三线一单”符合性分析</w:t>
            </w:r>
          </w:p>
          <w:p>
            <w:pPr>
              <w:keepNext w:val="0"/>
              <w:keepLines w:val="0"/>
              <w:suppressLineNumbers w:val="0"/>
              <w:spacing w:before="0" w:beforeAutospacing="0" w:after="0" w:afterAutospacing="0"/>
              <w:ind w:left="0" w:right="0" w:firstLine="420"/>
              <w:rPr>
                <w:rFonts w:hint="default"/>
              </w:rPr>
            </w:pPr>
            <w:r>
              <w:rPr>
                <w:rFonts w:hint="default"/>
              </w:rPr>
              <w:t>依据《兵团第七师胡杨河市</w:t>
            </w:r>
            <w:r>
              <w:rPr>
                <w:rFonts w:hint="eastAsia"/>
                <w:lang w:eastAsia="zh-CN"/>
              </w:rPr>
              <w:t>“</w:t>
            </w:r>
            <w:r>
              <w:rPr>
                <w:rFonts w:hint="default"/>
              </w:rPr>
              <w:t>三线一单</w:t>
            </w:r>
            <w:r>
              <w:rPr>
                <w:rFonts w:hint="eastAsia"/>
                <w:lang w:eastAsia="zh-CN"/>
              </w:rPr>
              <w:t>”</w:t>
            </w:r>
            <w:r>
              <w:rPr>
                <w:rFonts w:hint="default"/>
              </w:rPr>
              <w:t>（2018-2035年）》，本项目与</w:t>
            </w:r>
            <w:r>
              <w:rPr>
                <w:rFonts w:hint="eastAsia"/>
                <w:lang w:val="en-US" w:eastAsia="zh-CN"/>
              </w:rPr>
              <w:t>胡杨河市</w:t>
            </w:r>
            <w:r>
              <w:rPr>
                <w:rFonts w:hint="default"/>
              </w:rPr>
              <w:t>“三线一单”的符合性见下述。</w:t>
            </w:r>
          </w:p>
          <w:p>
            <w:pPr>
              <w:keepNext w:val="0"/>
              <w:keepLines w:val="0"/>
              <w:suppressLineNumbers w:val="0"/>
              <w:spacing w:before="0" w:beforeAutospacing="0" w:after="0" w:afterAutospacing="0"/>
              <w:ind w:left="0" w:right="0" w:firstLine="420"/>
              <w:rPr>
                <w:rFonts w:hint="default"/>
              </w:rPr>
            </w:pPr>
            <w:r>
              <w:rPr>
                <w:rFonts w:hint="default"/>
              </w:rPr>
              <w:t>（1）生态保护红线。按照“生态功能不降低、面积不减少、性质不改变”的基本要求，对划定的生态保护红线实施严格管控，保障和维护师市生态安全的底线和生命线。</w:t>
            </w:r>
          </w:p>
          <w:p>
            <w:pPr>
              <w:keepNext w:val="0"/>
              <w:keepLines w:val="0"/>
              <w:suppressLineNumbers w:val="0"/>
              <w:spacing w:before="0" w:beforeAutospacing="0" w:after="0" w:afterAutospacing="0"/>
              <w:ind w:left="0" w:right="0" w:firstLine="420"/>
              <w:rPr>
                <w:rFonts w:hint="default"/>
              </w:rPr>
            </w:pPr>
            <w:r>
              <w:rPr>
                <w:rFonts w:hint="default"/>
              </w:rPr>
              <w:t>本项目位于</w:t>
            </w:r>
            <w:r>
              <w:rPr>
                <w:rFonts w:hint="eastAsia"/>
                <w:color w:val="000000" w:themeColor="text1"/>
                <w:spacing w:val="-6"/>
                <w:szCs w:val="24"/>
                <w14:textFill>
                  <w14:solidFill>
                    <w14:schemeClr w14:val="tx1"/>
                  </w14:solidFill>
                </w14:textFill>
              </w:rPr>
              <w:t>胡杨河经济技术开发区</w:t>
            </w:r>
            <w:r>
              <w:rPr>
                <w:rFonts w:hint="eastAsia"/>
                <w:color w:val="000000" w:themeColor="text1"/>
                <w:spacing w:val="-6"/>
                <w:szCs w:val="24"/>
                <w:lang w:val="en-US" w:eastAsia="zh-CN"/>
                <w14:textFill>
                  <w14:solidFill>
                    <w14:schemeClr w14:val="tx1"/>
                  </w14:solidFill>
                </w14:textFill>
              </w:rPr>
              <w:t>南区</w:t>
            </w:r>
            <w:r>
              <w:rPr>
                <w:rFonts w:hint="default"/>
              </w:rPr>
              <w:t>，选址不涉及自然保护区、森林公园、风景名胜区、世界文化和自然遗产地、饮用水源保护区及其他重要生态功能区和生态环境敏感区、脆弱区内，符合生态保护红线要求。</w:t>
            </w:r>
            <w:r>
              <w:rPr>
                <w:rFonts w:hint="eastAsia"/>
              </w:rPr>
              <w:t>详见附图1。</w:t>
            </w:r>
          </w:p>
          <w:p>
            <w:pPr>
              <w:keepNext w:val="0"/>
              <w:keepLines w:val="0"/>
              <w:suppressLineNumbers w:val="0"/>
              <w:spacing w:before="0" w:beforeAutospacing="0" w:after="0" w:afterAutospacing="0"/>
              <w:ind w:left="0" w:right="0" w:firstLine="0" w:firstLineChars="0"/>
              <w:rPr>
                <w:rFonts w:hint="default"/>
              </w:rPr>
            </w:pPr>
            <w:r>
              <w:rPr>
                <w:rFonts w:hint="default"/>
              </w:rPr>
              <w:t xml:space="preserve">   （2）环境质量底线。师市河流、湖库、水源地水质总体保持稳定，饮用水安全保障水平持续提升，水生态环境状况继续好转。奎屯河老龙口断面和黄沟二库断面水质保持Ⅱ类标准，奎屯河大桥断面、白杨河乌尔禾断面和古尔图河柳沟水库断面水质保持Ⅲ类标准，泉沟水库、奎屯水库、车排子水库和柳沟水库断面水质保持Ⅲ类标准。环境空气质量稳步提升，重污染天数持续减少。土壤环境质量保持稳定，农用地和建设用地土壤环境安全得到有效保障，土壤环境风险得到有效管控。受污染耕地安全利用率达到93%以上，污染地块安全利用率达到93%以上。</w:t>
            </w:r>
          </w:p>
          <w:p>
            <w:pPr>
              <w:keepNext w:val="0"/>
              <w:keepLines w:val="0"/>
              <w:suppressLineNumbers w:val="0"/>
              <w:autoSpaceDE w:val="0"/>
              <w:autoSpaceDN w:val="0"/>
              <w:spacing w:before="0" w:beforeAutospacing="0" w:after="0" w:afterAutospacing="0"/>
              <w:ind w:left="0" w:right="0" w:firstLine="42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根据2022年新疆环境质量公报中</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奎-独-乌</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地区</w:t>
            </w:r>
            <w:r>
              <w:rPr>
                <w:rFonts w:hint="eastAsia"/>
                <w:color w:val="000000" w:themeColor="text1"/>
                <w:highlight w:val="none"/>
                <w14:textFill>
                  <w14:solidFill>
                    <w14:schemeClr w14:val="tx1"/>
                  </w14:solidFill>
                </w14:textFill>
              </w:rPr>
              <w:t>基本污染物统计数据可知，</w:t>
            </w:r>
            <w:r>
              <w:rPr>
                <w:rFonts w:hint="eastAsia"/>
                <w:color w:val="000000" w:themeColor="text1"/>
                <w:highlight w:val="none"/>
                <w:lang w:val="en-US" w:eastAsia="zh-CN"/>
                <w14:textFill>
                  <w14:solidFill>
                    <w14:schemeClr w14:val="tx1"/>
                  </w14:solidFill>
                </w14:textFill>
              </w:rPr>
              <w:t>现状6项基本污染物全部达标</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区域涉及</w:t>
            </w:r>
            <w:r>
              <w:rPr>
                <w:rFonts w:hint="default"/>
                <w:color w:val="000000" w:themeColor="text1"/>
                <w:highlight w:val="none"/>
                <w14:textFill>
                  <w14:solidFill>
                    <w14:schemeClr w14:val="tx1"/>
                  </w14:solidFill>
                </w14:textFill>
              </w:rPr>
              <w:t>地表水例行监测均可满足相应质量标准。项目产污简单，</w:t>
            </w:r>
            <w:r>
              <w:rPr>
                <w:rFonts w:hint="eastAsia"/>
                <w:color w:val="000000" w:themeColor="text1"/>
                <w:highlight w:val="none"/>
                <w14:textFill>
                  <w14:solidFill>
                    <w14:schemeClr w14:val="tx1"/>
                  </w14:solidFill>
                </w14:textFill>
              </w:rPr>
              <w:t>大气污染物颗粒物</w:t>
            </w:r>
            <w:r>
              <w:rPr>
                <w:rFonts w:hint="default"/>
                <w:color w:val="000000" w:themeColor="text1"/>
                <w:highlight w:val="none"/>
                <w14:textFill>
                  <w14:solidFill>
                    <w14:schemeClr w14:val="tx1"/>
                  </w14:solidFill>
                </w14:textFill>
              </w:rPr>
              <w:t>可</w:t>
            </w:r>
            <w:r>
              <w:rPr>
                <w:rFonts w:hint="eastAsia"/>
                <w:color w:val="000000" w:themeColor="text1"/>
                <w:highlight w:val="none"/>
                <w:lang w:val="en-US" w:eastAsia="zh-CN"/>
                <w14:textFill>
                  <w14:solidFill>
                    <w14:schemeClr w14:val="tx1"/>
                  </w14:solidFill>
                </w14:textFill>
              </w:rPr>
              <w:t>满足</w:t>
            </w:r>
            <w:r>
              <w:rPr>
                <w:rFonts w:hint="default"/>
                <w:color w:val="000000" w:themeColor="text1"/>
                <w:highlight w:val="none"/>
                <w14:textFill>
                  <w14:solidFill>
                    <w14:schemeClr w14:val="tx1"/>
                  </w14:solidFill>
                </w14:textFill>
              </w:rPr>
              <w:t>达标排放</w:t>
            </w:r>
            <w:r>
              <w:rPr>
                <w:rFonts w:hint="eastAsia"/>
                <w:color w:val="000000" w:themeColor="text1"/>
                <w:highlight w:val="none"/>
                <w:lang w:val="en-US" w:eastAsia="zh-CN"/>
                <w14:textFill>
                  <w14:solidFill>
                    <w14:schemeClr w14:val="tx1"/>
                  </w14:solidFill>
                </w14:textFill>
              </w:rPr>
              <w:t>要求</w:t>
            </w:r>
            <w:r>
              <w:rPr>
                <w:rFonts w:hint="default"/>
                <w:color w:val="000000" w:themeColor="text1"/>
                <w:highlight w:val="none"/>
                <w14:textFill>
                  <w14:solidFill>
                    <w14:schemeClr w14:val="tx1"/>
                  </w14:solidFill>
                </w14:textFill>
              </w:rPr>
              <w:t>，项目建设后不会突破环境质量底线。</w:t>
            </w:r>
          </w:p>
          <w:p>
            <w:pPr>
              <w:keepNext w:val="0"/>
              <w:keepLines w:val="0"/>
              <w:suppressLineNumbers w:val="0"/>
              <w:spacing w:before="0" w:beforeAutospacing="0" w:after="0" w:afterAutospacing="0"/>
              <w:ind w:left="0" w:right="0" w:firstLine="420"/>
              <w:rPr>
                <w:rFonts w:hint="default"/>
              </w:rPr>
            </w:pPr>
            <w:r>
              <w:rPr>
                <w:rFonts w:hint="default"/>
              </w:rPr>
              <w:t>（3）资源利用上线。强化节约集约利用，持续提升资源能源利用效率，水资源、土地资源、能源消耗达到国家、兵团下达的总量和强度控制目标，地下水超采得到严格控制。加快低碳发展，积极推动低碳试点建设，发挥低碳试点示范引领作用。</w:t>
            </w:r>
          </w:p>
          <w:p>
            <w:pPr>
              <w:keepNext w:val="0"/>
              <w:keepLines w:val="0"/>
              <w:suppressLineNumbers w:val="0"/>
              <w:autoSpaceDE w:val="0"/>
              <w:autoSpaceDN w:val="0"/>
              <w:spacing w:before="0" w:beforeAutospacing="0" w:after="0" w:afterAutospacing="0"/>
              <w:ind w:left="0" w:right="0" w:firstLine="420"/>
              <w:rPr>
                <w:rFonts w:hint="default"/>
                <w:color w:val="auto"/>
                <w:highlight w:val="none"/>
              </w:rPr>
            </w:pPr>
            <w:r>
              <w:rPr>
                <w:rFonts w:hint="default"/>
                <w:color w:val="auto"/>
                <w:highlight w:val="none"/>
              </w:rPr>
              <w:t>本项目水、电均依托</w:t>
            </w:r>
            <w:r>
              <w:rPr>
                <w:rFonts w:hint="eastAsia"/>
                <w:color w:val="auto"/>
                <w:highlight w:val="none"/>
              </w:rPr>
              <w:t>园区</w:t>
            </w:r>
            <w:r>
              <w:rPr>
                <w:rFonts w:hint="default"/>
                <w:color w:val="auto"/>
                <w:highlight w:val="none"/>
              </w:rPr>
              <w:t>现有基础设施，消耗量相对区域资源利用总量较小，符合资源利用上限要求。</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（4）</w:t>
            </w:r>
            <w:r>
              <w:rPr>
                <w:rFonts w:hint="default"/>
              </w:rPr>
              <w:t>生态环境分区管控</w:t>
            </w:r>
          </w:p>
          <w:p>
            <w:pPr>
              <w:keepNext w:val="0"/>
              <w:keepLines w:val="0"/>
              <w:suppressLineNumbers w:val="0"/>
              <w:spacing w:before="0" w:beforeAutospacing="0" w:after="0" w:afterAutospacing="0"/>
              <w:ind w:left="0" w:right="0" w:firstLine="420"/>
              <w:rPr>
                <w:rFonts w:hint="eastAsia"/>
              </w:rPr>
            </w:pPr>
            <w:r>
              <w:rPr>
                <w:rFonts w:hint="eastAsia"/>
              </w:rPr>
              <w:t>师市共划定环境管控单元66个，分为优先保护单元、重点管控单元、一般管控单元三大类。</w:t>
            </w:r>
          </w:p>
          <w:p>
            <w:pPr>
              <w:keepNext w:val="0"/>
              <w:keepLines w:val="0"/>
              <w:suppressLineNumbers w:val="0"/>
              <w:spacing w:before="0" w:beforeAutospacing="0" w:after="0" w:afterAutospacing="0"/>
              <w:ind w:left="0" w:right="0" w:firstLine="420"/>
              <w:rPr>
                <w:rFonts w:hint="eastAsia"/>
              </w:rPr>
            </w:pPr>
            <w:r>
              <w:rPr>
                <w:rFonts w:hint="eastAsia"/>
              </w:rPr>
              <w:t>优先保护单元23个，占师市总面积的35.86%。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pPr>
              <w:keepNext w:val="0"/>
              <w:keepLines w:val="0"/>
              <w:suppressLineNumbers w:val="0"/>
              <w:spacing w:before="0" w:beforeAutospacing="0" w:after="0" w:afterAutospacing="0"/>
              <w:ind w:left="0" w:right="0" w:firstLine="420"/>
              <w:rPr>
                <w:rFonts w:hint="eastAsia"/>
              </w:rPr>
            </w:pPr>
            <w:r>
              <w:rPr>
                <w:rFonts w:hint="eastAsia"/>
              </w:rPr>
              <w:t>重点管控单元31个，占师市总面积的30.90%。主要包括胡杨河市市区、各团（场）部区域、胡杨河经济技术开发区和天北经济技术开发区以及开发强度大、污染物排放强度高及存在环境风险的其他区域。该区域应优化空间布局，加强污染物排放控制和环境风险防控，不断提升资源利用效率，重点解决突出生态环境问题，切实推动生态环境质量持续改善。</w:t>
            </w:r>
          </w:p>
          <w:p>
            <w:pPr>
              <w:keepNext w:val="0"/>
              <w:keepLines w:val="0"/>
              <w:suppressLineNumbers w:val="0"/>
              <w:spacing w:before="0" w:beforeAutospacing="0" w:after="0" w:afterAutospacing="0"/>
              <w:ind w:left="0" w:right="0" w:firstLine="420"/>
              <w:rPr>
                <w:rFonts w:hint="eastAsia"/>
              </w:rPr>
            </w:pPr>
            <w:r>
              <w:rPr>
                <w:rFonts w:hint="eastAsia"/>
              </w:rPr>
              <w:t>一般管控单元12个，占师市总面积的33.24%。主要指优先保护单元和重点管控单元之外的区域。该区域以经济社会可持续发展为导向，生态环境保护与适度开发相结合，开发建设应落实现行生态环境保护基本要求。</w:t>
            </w:r>
          </w:p>
          <w:p>
            <w:pPr>
              <w:keepNext w:val="0"/>
              <w:keepLines w:val="0"/>
              <w:suppressLineNumbers w:val="0"/>
              <w:spacing w:before="0" w:beforeAutospacing="0" w:after="0" w:afterAutospacing="0"/>
              <w:ind w:left="0" w:right="0" w:firstLine="420"/>
              <w:rPr>
                <w:rFonts w:hint="default"/>
              </w:rPr>
            </w:pPr>
            <w:r>
              <w:rPr>
                <w:rFonts w:hint="eastAsia"/>
              </w:rPr>
              <w:t>本项目位于胡杨河经济技术开发区管控要求</w:t>
            </w:r>
            <w:r>
              <w:rPr>
                <w:rFonts w:hint="eastAsia"/>
                <w:lang w:val="en-US" w:eastAsia="zh-CN"/>
              </w:rPr>
              <w:t>南区新型建材区</w:t>
            </w:r>
            <w:r>
              <w:rPr>
                <w:rFonts w:hint="eastAsia"/>
              </w:rPr>
              <w:t>，属重点管控单元，单元编码：</w:t>
            </w:r>
            <w:r>
              <w:rPr>
                <w:rFonts w:hint="default" w:ascii="Times New Roman" w:hAnsi="Times New Roman"/>
                <w:szCs w:val="21"/>
              </w:rPr>
              <w:t>ZH65771220001</w:t>
            </w:r>
            <w:r>
              <w:rPr>
                <w:rFonts w:hint="eastAsia"/>
              </w:rPr>
              <w:t>。其具体管控要求见下述。</w:t>
            </w:r>
          </w:p>
          <w:p>
            <w:pPr>
              <w:keepNext w:val="0"/>
              <w:keepLines w:val="0"/>
              <w:suppressLineNumbers w:val="0"/>
              <w:spacing w:before="0" w:beforeAutospacing="0" w:after="0" w:afterAutospacing="0" w:line="240" w:lineRule="auto"/>
              <w:ind w:left="0" w:right="0" w:firstLine="420"/>
              <w:rPr>
                <w:rFonts w:hint="default"/>
              </w:rPr>
            </w:pPr>
            <w:r>
              <w:rPr>
                <w:rFonts w:hint="eastAsia"/>
              </w:rPr>
              <w:t xml:space="preserve">表1     </w:t>
            </w:r>
            <w:r>
              <w:rPr>
                <w:rFonts w:hint="eastAsia"/>
                <w:lang w:val="en-US" w:eastAsia="zh-CN"/>
              </w:rPr>
              <w:t xml:space="preserve">      </w:t>
            </w:r>
            <w:r>
              <w:rPr>
                <w:rFonts w:hint="eastAsia"/>
              </w:rPr>
              <w:t>胡杨河经济技术开发区管控要求</w:t>
            </w:r>
          </w:p>
          <w:tbl>
            <w:tblPr>
              <w:tblStyle w:val="1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5451"/>
              <w:gridCol w:w="8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类别</w:t>
                  </w:r>
                </w:p>
              </w:tc>
              <w:tc>
                <w:tcPr>
                  <w:tcW w:w="390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重点管控单元管控要求</w:t>
                  </w:r>
                </w:p>
              </w:tc>
              <w:tc>
                <w:tcPr>
                  <w:tcW w:w="620"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本项目分析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空间布局约束</w:t>
                  </w:r>
                </w:p>
              </w:tc>
              <w:tc>
                <w:tcPr>
                  <w:tcW w:w="39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（1）园区主导产业是：化工、新材料、纺织，园区以主导产业及其下游产业链为主要方向发展产业，准入产业需符合《产业结构调整指导目录（2019年本）》相关要求。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【禁止类】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1.1.1）严格治理园区现有化工项目，提高化工项目入驻标准，重点发展精细化工、新材料等新兴产业。禁止类产业有：《指导目录》中的淘汰类和《清单草案》中的禁止准入类，以及不具备区域资源禀赋条件、不符合所处重点生态功能区开发管制原则的限制类、允许类、鼓励类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1.1.2）禁止新建或扩建棉浆粕生产项目；禁止在《关于促进新疆纺织服装产业健康可持续发展的指导意见》（新政发[2017]155号）布局要求以外建设印染项目；禁止新建使用禁用的直接染料（冰染色基包括C.I.冰染色基11、C.I.冰染色基48、C.I.冰染色基112、C.I冰染色基113等）进行棉印染精加工的印染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（1.1.3）劳动力密集型的非化工企业不得与化工企业混建在同一园区内。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1.1.4）在城市规划区边界外2千米（现有城市居民供气项目和钢铁生产企业厂区内配套项目除外）以内，主要河流两岸、高速公路两旁和其他严防污染的食品、药品等企业周边1千米以内禁止建设焦化项目，已在上述区域内投产运营的焦化企业，要根据该区域规划要求，在一定期限内，通过“搬迁、转产”等方式逐步退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1.1.5）兰炭产能过剩地区不得批准新建兰炭项目，除了在原有基础上进行技改以及煤化工配套的兰炭项目以外，对新建没有后续产业的兰炭项目原则上一律不予审批，另外自治区划定的大气污染联防联控区内严禁建设任何性质焦化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1.1.6）城市规划区边界外2千米以内，主要河流两岸、公路、铁路、水路干线两侧和其它严防污染的食品、药品、精密制造产品等企业周边1千米以内及大气污染防治重点控制区内，禁止新增电石生产装置、电石法聚氯乙烯和烧碱生产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【限制类】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（1.2.1）限制类产业有：《指导目录》中的限制类和《清单草案》中的限制准入类（已列入清单禁止类的产业除外），以及与所处重点生态功能区发展方向和开发管制原则不相符合的允许类、鼓励类产业。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（1.2.2）对于高耗能项目，必须实行能源及环境评估，其指标不得高于同行业能耗标准值。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（1.2.3）劳动力密集型的非化工企业与化工企业应分区建设。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（1.2.4）合理产业布局，优化资源配置，将污染相对较大的工业项目布局在北区，远离胡杨河市。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1.2.5）棉浆粕、粘胶纤维项目卫生防护距离通过环境影响评价计算确定，棉纺、印染项目卫生防护距离执行《纺织业卫生防护距离第1部分：棉、化纤纺织及印染精加工业》（GB18080.1）。项目卫生防护距离内不得规划、建设居民区、学校、医院等环境敏感目标，对于已存在的环境敏感目标要采取合理措施加以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【鼓励类】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（1.3.1）围绕交通运输、轻工纺织、化学建材、电子信息产业等行业积极开发化工新材料；发展精细化工产业。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（1.3.2）加快发展合成纤维。积极发展多功能纤维和生物质纤维。全力发展服装、家纺、针织产业，加快培育产业用纺织品产业。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（1.3.3）鼓励七师胡杨河市发展煤化工及氯碱化工深加工项目、纺织服装深加工项目和碳、铝、硅基新材料项目。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szCs w:val="21"/>
                    </w:rPr>
                  </w:pPr>
                  <w:r>
                    <w:rPr>
                      <w:rFonts w:hint="default" w:ascii="Times New Roman" w:hAnsi="Times New Roman"/>
                      <w:szCs w:val="21"/>
                    </w:rPr>
                    <w:t>（1.3.4）支持企业充分利用新疆石油、煤炭和盐3大优势资源向下游产业发展。延伸烯烃、芳烃产业链，围绕交通运输、轻工纺织、化学建材、电子信息产业等行业积极开发化工新材料；发展精细化工产业。有序发展煤制燃料、煤制烯烃、煤制乙二醇、煤制芳烃（甲醇制芳烃）、煤炭提质转化、煤炭综合利用等现代煤化工项目；推进油煤共炼工艺技术的产业化应用。</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rPr>
                  </w:pPr>
                  <w:r>
                    <w:rPr>
                      <w:rFonts w:hint="default" w:ascii="Times New Roman" w:hAnsi="Times New Roman"/>
                      <w:szCs w:val="21"/>
                    </w:rPr>
                    <w:t>（1.4）化工园区内凡存在重大事故隐患、生产工艺技术落后、不具备安全生产条件的企业，责令停产整顿，整改无望的或整改后仍不能达到要求的企业，应依法予以关闭。</w:t>
                  </w:r>
                </w:p>
              </w:tc>
              <w:tc>
                <w:tcPr>
                  <w:tcW w:w="620" w:type="pct"/>
                  <w:tcBorders>
                    <w:tl2br w:val="nil"/>
                    <w:tr2bl w:val="nil"/>
                  </w:tcBorders>
                  <w:vAlign w:val="center"/>
                </w:tcPr>
                <w:p>
                  <w:pPr>
                    <w:pStyle w:val="15"/>
                    <w:keepNext w:val="0"/>
                    <w:keepLines w:val="0"/>
                    <w:suppressLineNumbers w:val="0"/>
                    <w:spacing w:before="0" w:beforeAutospacing="0" w:after="0" w:afterAutospacing="0"/>
                    <w:ind w:left="0" w:right="0"/>
                    <w:jc w:val="both"/>
                    <w:rPr>
                      <w:rFonts w:hint="default"/>
                    </w:rPr>
                  </w:pPr>
                  <w:r>
                    <w:rPr>
                      <w:rFonts w:hint="eastAsia"/>
                    </w:rPr>
                    <w:t>本项目属于水泥制品制造，符合园区产业定位。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污染物排放管控</w:t>
                  </w:r>
                </w:p>
              </w:tc>
              <w:tc>
                <w:tcPr>
                  <w:tcW w:w="3903" w:type="pct"/>
                  <w:tcBorders>
                    <w:tl2br w:val="nil"/>
                    <w:tr2bl w:val="nil"/>
                  </w:tcBorders>
                  <w:vAlign w:val="center"/>
                </w:tcPr>
                <w:p>
                  <w:pPr>
                    <w:pStyle w:val="15"/>
                    <w:keepNext w:val="0"/>
                    <w:keepLines w:val="0"/>
                    <w:suppressLineNumbers w:val="0"/>
                    <w:spacing w:before="0" w:beforeAutospacing="0" w:after="0" w:afterAutospacing="0"/>
                    <w:ind w:left="0" w:right="0"/>
                    <w:jc w:val="both"/>
                    <w:rPr>
                      <w:rFonts w:hint="default"/>
                    </w:rPr>
                  </w:pPr>
                  <w:r>
                    <w:rPr>
                      <w:rFonts w:hint="default"/>
                    </w:rPr>
                    <w:t>（2.1）废水处理：</w:t>
                  </w:r>
                </w:p>
                <w:p>
                  <w:pPr>
                    <w:pStyle w:val="15"/>
                    <w:keepNext w:val="0"/>
                    <w:keepLines w:val="0"/>
                    <w:suppressLineNumbers w:val="0"/>
                    <w:spacing w:before="0" w:beforeAutospacing="0" w:after="0" w:afterAutospacing="0"/>
                    <w:ind w:left="0" w:right="0"/>
                    <w:jc w:val="both"/>
                    <w:rPr>
                      <w:rFonts w:hint="default"/>
                    </w:rPr>
                  </w:pPr>
                  <w:r>
                    <w:rPr>
                      <w:rFonts w:hint="default"/>
                    </w:rPr>
                    <w:t>（2.1.1）企业预处理达标废水经园区污水处理厂和中水厂处理满足中水回用标准，用于企业循环冷却、园区绿化、洒水降尘等。</w:t>
                  </w:r>
                </w:p>
                <w:p>
                  <w:pPr>
                    <w:pStyle w:val="15"/>
                    <w:keepNext w:val="0"/>
                    <w:keepLines w:val="0"/>
                    <w:suppressLineNumbers w:val="0"/>
                    <w:spacing w:before="0" w:beforeAutospacing="0" w:after="0" w:afterAutospacing="0"/>
                    <w:ind w:left="0" w:right="0"/>
                    <w:jc w:val="both"/>
                    <w:rPr>
                      <w:rFonts w:hint="default"/>
                    </w:rPr>
                  </w:pPr>
                  <w:r>
                    <w:rPr>
                      <w:rFonts w:hint="default"/>
                    </w:rPr>
                    <w:t>（2.1.2）各企业按清污分流原则建立完善的排水系统和事故池，严禁将高浓度废水稀释排放。选择节水工艺，鼓励一水多用，减少废水排放。</w:t>
                  </w:r>
                </w:p>
                <w:p>
                  <w:pPr>
                    <w:pStyle w:val="15"/>
                    <w:keepNext w:val="0"/>
                    <w:keepLines w:val="0"/>
                    <w:suppressLineNumbers w:val="0"/>
                    <w:spacing w:before="0" w:beforeAutospacing="0" w:after="0" w:afterAutospacing="0"/>
                    <w:ind w:left="0" w:right="0"/>
                    <w:jc w:val="both"/>
                    <w:rPr>
                      <w:rFonts w:hint="default"/>
                    </w:rPr>
                  </w:pPr>
                  <w:r>
                    <w:rPr>
                      <w:rFonts w:hint="default"/>
                    </w:rPr>
                    <w:t>（2.1.3）园区废水集中收集，分质处理。强化高盐污水处理处置，制定中水回用及处置去向。污水处理装置具体规模的设置应根据园区建设的进程予以协调，设置中水回用装置，减少外排水量。</w:t>
                  </w:r>
                </w:p>
                <w:p>
                  <w:pPr>
                    <w:pStyle w:val="15"/>
                    <w:keepNext w:val="0"/>
                    <w:keepLines w:val="0"/>
                    <w:suppressLineNumbers w:val="0"/>
                    <w:spacing w:before="0" w:beforeAutospacing="0" w:after="0" w:afterAutospacing="0"/>
                    <w:ind w:left="0" w:right="0"/>
                    <w:jc w:val="both"/>
                    <w:rPr>
                      <w:rFonts w:hint="default"/>
                    </w:rPr>
                  </w:pPr>
                  <w:r>
                    <w:rPr>
                      <w:rFonts w:hint="default"/>
                    </w:rPr>
                    <w:t>（2.1.4）新入驻企业场内必须设置污水处理及中水回用及消防设施装置。</w:t>
                  </w:r>
                </w:p>
                <w:p>
                  <w:pPr>
                    <w:pStyle w:val="15"/>
                    <w:keepNext w:val="0"/>
                    <w:keepLines w:val="0"/>
                    <w:suppressLineNumbers w:val="0"/>
                    <w:spacing w:before="0" w:beforeAutospacing="0" w:after="0" w:afterAutospacing="0"/>
                    <w:ind w:left="0" w:right="0"/>
                    <w:jc w:val="both"/>
                    <w:rPr>
                      <w:rFonts w:hint="default"/>
                    </w:rPr>
                  </w:pPr>
                  <w:r>
                    <w:rPr>
                      <w:rFonts w:hint="default"/>
                    </w:rPr>
                    <w:t>（2.2）废气处理：</w:t>
                  </w:r>
                </w:p>
                <w:p>
                  <w:pPr>
                    <w:pStyle w:val="15"/>
                    <w:keepNext w:val="0"/>
                    <w:keepLines w:val="0"/>
                    <w:suppressLineNumbers w:val="0"/>
                    <w:spacing w:before="0" w:beforeAutospacing="0" w:after="0" w:afterAutospacing="0"/>
                    <w:ind w:left="0" w:right="0"/>
                    <w:jc w:val="both"/>
                    <w:rPr>
                      <w:rFonts w:hint="default"/>
                    </w:rPr>
                  </w:pPr>
                  <w:r>
                    <w:rPr>
                      <w:rFonts w:hint="default"/>
                    </w:rPr>
                    <w:t>（2.2.1）严格控制有毒和有害气体的排放，并对有毒和有害气体排放实施在线自动检测仪监控。各装置反应尾气排放气、紧急事故排放气、罐区低压排放气等视其情况或送入各装置的火炬系统、焚烧炉或进入燃料气系统回收利用。煤化工项目采用高效的除尘设备。</w:t>
                  </w:r>
                </w:p>
                <w:p>
                  <w:pPr>
                    <w:pStyle w:val="15"/>
                    <w:keepNext w:val="0"/>
                    <w:keepLines w:val="0"/>
                    <w:suppressLineNumbers w:val="0"/>
                    <w:spacing w:before="0" w:beforeAutospacing="0" w:after="0" w:afterAutospacing="0"/>
                    <w:ind w:left="0" w:right="0"/>
                    <w:jc w:val="both"/>
                    <w:rPr>
                      <w:rFonts w:hint="default"/>
                    </w:rPr>
                  </w:pPr>
                  <w:r>
                    <w:rPr>
                      <w:rFonts w:hint="default"/>
                    </w:rPr>
                    <w:t>（2.2.2）加强对企业的粉尘、烟尘污染治理。开展金属制品业酸雾等工艺废气污染控制与治理，提升行业装备水平，完善废气收集系统，减少无组织排放，做到工艺废气排放浓度和厂界浓度双达标。</w:t>
                  </w:r>
                </w:p>
                <w:p>
                  <w:pPr>
                    <w:pStyle w:val="15"/>
                    <w:keepNext w:val="0"/>
                    <w:keepLines w:val="0"/>
                    <w:suppressLineNumbers w:val="0"/>
                    <w:spacing w:before="0" w:beforeAutospacing="0" w:after="0" w:afterAutospacing="0"/>
                    <w:ind w:left="0" w:right="0"/>
                    <w:jc w:val="both"/>
                    <w:rPr>
                      <w:rFonts w:hint="default"/>
                    </w:rPr>
                  </w:pPr>
                  <w:r>
                    <w:rPr>
                      <w:rFonts w:hint="default"/>
                    </w:rPr>
                    <w:t>（2.2.3）含尘炉气或利用后的再生气必须经除尘处理后达标排放，捕集后的粉尘不能造成二次污染。</w:t>
                  </w:r>
                </w:p>
                <w:p>
                  <w:pPr>
                    <w:pStyle w:val="15"/>
                    <w:keepNext w:val="0"/>
                    <w:keepLines w:val="0"/>
                    <w:suppressLineNumbers w:val="0"/>
                    <w:spacing w:before="0" w:beforeAutospacing="0" w:after="0" w:afterAutospacing="0"/>
                    <w:ind w:left="0" w:right="0"/>
                    <w:jc w:val="both"/>
                    <w:rPr>
                      <w:rFonts w:hint="default"/>
                    </w:rPr>
                  </w:pPr>
                  <w:r>
                    <w:rPr>
                      <w:rFonts w:hint="default"/>
                    </w:rPr>
                    <w:t>（2.3）固废处理：</w:t>
                  </w:r>
                </w:p>
                <w:p>
                  <w:pPr>
                    <w:pStyle w:val="15"/>
                    <w:keepNext w:val="0"/>
                    <w:keepLines w:val="0"/>
                    <w:suppressLineNumbers w:val="0"/>
                    <w:spacing w:before="0" w:beforeAutospacing="0" w:after="0" w:afterAutospacing="0"/>
                    <w:ind w:left="0" w:right="0"/>
                    <w:jc w:val="both"/>
                    <w:rPr>
                      <w:rFonts w:hint="default"/>
                    </w:rPr>
                  </w:pPr>
                  <w:r>
                    <w:rPr>
                      <w:rFonts w:hint="default"/>
                    </w:rPr>
                    <w:t>（2.3.1）工业园区的生活垃圾近期依托五五新镇生活垃圾填埋场进行处理。园区内产生的生活垃圾用专门容器收集后通过专用垃圾车运送市政生活垃圾处置设施进行处置。生活垃圾分类处理，无害化资源化处理。推广垃圾袋装化，对垃圾中有用的物质（如废纸、金属、玻璃等）回收。</w:t>
                  </w:r>
                </w:p>
                <w:p>
                  <w:pPr>
                    <w:pStyle w:val="15"/>
                    <w:keepNext w:val="0"/>
                    <w:keepLines w:val="0"/>
                    <w:suppressLineNumbers w:val="0"/>
                    <w:spacing w:before="0" w:beforeAutospacing="0" w:after="0" w:afterAutospacing="0"/>
                    <w:ind w:left="0" w:right="0"/>
                    <w:jc w:val="both"/>
                    <w:rPr>
                      <w:rFonts w:hint="default"/>
                    </w:rPr>
                  </w:pPr>
                  <w:r>
                    <w:rPr>
                      <w:rFonts w:hint="default"/>
                    </w:rPr>
                    <w:t>（2.3.2）一般固体废物实行综合利用，对不可综合利用的一般固体废物，应送往一般工业固体废物处理处置场所，进行安全填埋处置。园区产生的危险固体废弃物主要包括少量废旧催化剂、高沸物，污水处理装置产生的污泥，外送委托有相关危险废物处理资质的企业进行安全处置。在园区内建设危险废物临时贮存库，并进行防渗和排水设计。按照国家有关规定办理危险废物申报转移的“五联单”手续，并在贮运过程中严格执行危险化学品贮存、运输和监管的有关规定。</w:t>
                  </w:r>
                </w:p>
                <w:p>
                  <w:pPr>
                    <w:pStyle w:val="15"/>
                    <w:keepNext w:val="0"/>
                    <w:keepLines w:val="0"/>
                    <w:suppressLineNumbers w:val="0"/>
                    <w:spacing w:before="0" w:beforeAutospacing="0" w:after="0" w:afterAutospacing="0"/>
                    <w:ind w:left="0" w:right="0"/>
                    <w:jc w:val="both"/>
                    <w:rPr>
                      <w:rFonts w:hint="default"/>
                    </w:rPr>
                  </w:pPr>
                  <w:r>
                    <w:rPr>
                      <w:rFonts w:hint="default"/>
                    </w:rPr>
                    <w:t>（2.3.3）大力推进一般工业固体废物的减量化、资源化和无害化工作。园区一般固体废物综合利用率不低于60%，对于无法综合利用的固体废物，在区外建设灰渣填埋场填埋。</w:t>
                  </w:r>
                </w:p>
                <w:p>
                  <w:pPr>
                    <w:pStyle w:val="15"/>
                    <w:keepNext w:val="0"/>
                    <w:keepLines w:val="0"/>
                    <w:suppressLineNumbers w:val="0"/>
                    <w:spacing w:before="0" w:beforeAutospacing="0" w:after="0" w:afterAutospacing="0"/>
                    <w:ind w:left="0" w:right="0"/>
                    <w:jc w:val="both"/>
                    <w:rPr>
                      <w:rFonts w:hint="default"/>
                    </w:rPr>
                  </w:pPr>
                  <w:r>
                    <w:rPr>
                      <w:rFonts w:hint="default"/>
                    </w:rPr>
                    <w:t>（2.4）园区开展规划环评，需重点分析园区主要污染物排放对胡杨河市影响，确保胡杨河市环境空气质量稳定达标。</w:t>
                  </w:r>
                </w:p>
              </w:tc>
              <w:tc>
                <w:tcPr>
                  <w:tcW w:w="620" w:type="pct"/>
                  <w:tcBorders>
                    <w:tl2br w:val="nil"/>
                    <w:tr2bl w:val="nil"/>
                  </w:tcBorders>
                  <w:vAlign w:val="center"/>
                </w:tcPr>
                <w:p>
                  <w:pPr>
                    <w:pStyle w:val="15"/>
                    <w:keepNext w:val="0"/>
                    <w:keepLines w:val="0"/>
                    <w:suppressLineNumbers w:val="0"/>
                    <w:spacing w:before="0" w:beforeAutospacing="0" w:after="0" w:afterAutospacing="0"/>
                    <w:ind w:left="0" w:right="0"/>
                    <w:jc w:val="both"/>
                    <w:rPr>
                      <w:rFonts w:hint="default" w:eastAsia="宋体"/>
                      <w:lang w:val="en-US" w:eastAsia="zh-CN"/>
                    </w:rPr>
                  </w:pPr>
                  <w:r>
                    <w:rPr>
                      <w:rFonts w:hint="eastAsia"/>
                      <w:color w:val="000000" w:themeColor="text1"/>
                      <w:highlight w:val="none"/>
                      <w14:textFill>
                        <w14:solidFill>
                          <w14:schemeClr w14:val="tx1"/>
                        </w14:solidFill>
                      </w14:textFill>
                    </w:rPr>
                    <w:t>企业</w:t>
                  </w:r>
                  <w:r>
                    <w:rPr>
                      <w:rFonts w:hint="eastAsia"/>
                      <w:color w:val="000000" w:themeColor="text1"/>
                      <w:highlight w:val="none"/>
                      <w:lang w:val="en-US" w:eastAsia="zh-CN"/>
                      <w14:textFill>
                        <w14:solidFill>
                          <w14:schemeClr w14:val="tx1"/>
                        </w14:solidFill>
                      </w14:textFill>
                    </w:rPr>
                    <w:t>养护蒸汽经冷却、搅拌机清洗废水经沉淀后回用混凝土制备，物料贮存位于全封闭堆场及筒仓内，生产过程位于封闭车间，颗粒物可满足达标排放要求。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环境风险防控</w:t>
                  </w:r>
                </w:p>
              </w:tc>
              <w:tc>
                <w:tcPr>
                  <w:tcW w:w="390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园区自身：</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3.1）加强对风险概率高环节的定期检查、维护工作；定期对消防、消防报警和自控系统、防雷、防爆、防静电、防洪及管道泄露等安全措施和自动检测报警系统等全技术设施进行检修。化工园区安全生产管理机构应至少每五年开展一次化工园区整体性安全风险评估，评估安全风险，提出消除、降低、管控安全风险的对策措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3.2）严格把控行业安全发展准入条件，进一步加强化工行业管理，进一步提升行业装备水平，完善并落实危险化学品安全生产责任制，严格化工从业人员准入、提高从业人员素质，强化化学品事故应急救援体系建设，建设化工行业安全发展信息化平台。</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3.3）建设安全监管和应急救援信息平台，构建基础信息库和风险隐患数据库，至少应接入企业重大危险源（储罐区和库区）实时在线监测监控相关数据，并且化工园区应将接入数据上传至省、市级应急管理部门。</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（3.4）处于高安全风险等级的园区，要责令其限期整改提升，整改完成前将实行项目限批，原则上不得新、改、扩建危险化学品建设项目，有效降低安全风险。</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3.5）组织实施精准化安全风险排查评估，分类建立完善安全风险数据库和信息管理系统，区分“红、橙、黄、蓝”四级安全风险，突出一、二级重大危险源和有毒有害、易燃易爆化工企业，按照“一企一策”、“一园一策”原则，实施最严格的治理整顿。</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（3.6）加强地下水跟踪监测工作，观察地下水的污染动态，好提出适时提出保护措施。一旦发生地下水污染，立即启动地下水污染应急预案，采取有效的措施，保证在最短的时间内解决污染事故。</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行业企业：</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（3.7）易燃易爆的企业，自身要做好防护工作。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（3.8）企业存在重大安全隐患的，必须立即消除，消除前或消除过程中无法保证安全的，属地应急管理部门应依法责令暂时停产停业或者停止使用相关设施、设备。</w:t>
                  </w:r>
                </w:p>
              </w:tc>
              <w:tc>
                <w:tcPr>
                  <w:tcW w:w="620" w:type="pct"/>
                  <w:tcBorders>
                    <w:tl2br w:val="nil"/>
                    <w:tr2bl w:val="nil"/>
                  </w:tcBorders>
                  <w:vAlign w:val="center"/>
                </w:tcPr>
                <w:p>
                  <w:pPr>
                    <w:pStyle w:val="15"/>
                    <w:keepNext w:val="0"/>
                    <w:keepLines w:val="0"/>
                    <w:suppressLineNumbers w:val="0"/>
                    <w:spacing w:before="0" w:beforeAutospacing="0" w:after="0" w:afterAutospacing="0"/>
                    <w:ind w:left="0" w:right="0"/>
                    <w:jc w:val="both"/>
                    <w:rPr>
                      <w:rFonts w:hint="default"/>
                    </w:rPr>
                  </w:pPr>
                  <w:r>
                    <w:rPr>
                      <w:rFonts w:hint="eastAsia"/>
                    </w:rPr>
                    <w:t>企业生产涉及危险物质</w:t>
                  </w:r>
                  <w:r>
                    <w:rPr>
                      <w:rFonts w:hint="eastAsia"/>
                      <w:lang w:val="en-US" w:eastAsia="zh-CN"/>
                    </w:rPr>
                    <w:t>为废矿物油</w:t>
                  </w:r>
                  <w:r>
                    <w:rPr>
                      <w:rFonts w:hint="eastAsia"/>
                    </w:rPr>
                    <w:t>，建成后及时编制应急预案并备案</w:t>
                  </w:r>
                  <w:r>
                    <w:rPr>
                      <w:rFonts w:hint="eastAsia"/>
                      <w:lang w:eastAsia="zh-CN"/>
                    </w:rPr>
                    <w:t>，</w:t>
                  </w:r>
                  <w:r>
                    <w:rPr>
                      <w:rFonts w:hint="eastAsia"/>
                      <w:lang w:val="en-US" w:eastAsia="zh-CN"/>
                    </w:rPr>
                    <w:t>配备相应应急物资及人员</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资源利用效</w:t>
                  </w:r>
                  <w:r>
                    <w:rPr>
                      <w:rFonts w:hint="eastAsia"/>
                    </w:rPr>
                    <w:t>率</w:t>
                  </w:r>
                </w:p>
              </w:tc>
              <w:tc>
                <w:tcPr>
                  <w:tcW w:w="390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（4.1）到2025年，工业固体废物综合利用率达到95%，工业用水重复利用率75%。</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（4.2）合理利用土地，提高土地使用效率。</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rPr>
                  </w:pPr>
                  <w:r>
                    <w:rPr>
                      <w:rFonts w:hint="default"/>
                    </w:rPr>
                    <w:t>（4.3）加大环境保护政策实施力度，到2035年使园区工业用水循环利用率达到80%。</w:t>
                  </w:r>
                </w:p>
              </w:tc>
              <w:tc>
                <w:tcPr>
                  <w:tcW w:w="620"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rPr>
                      <w:rFonts w:hint="default"/>
                    </w:rPr>
                  </w:pPr>
                  <w:r>
                    <w:rPr>
                      <w:rFonts w:hint="eastAsia"/>
                    </w:rPr>
                    <w:t>企业生产利用资源主要为电力、水</w:t>
                  </w:r>
                  <w:r>
                    <w:rPr>
                      <w:rFonts w:hint="eastAsia"/>
                      <w:lang w:val="en-US" w:eastAsia="zh-CN"/>
                    </w:rPr>
                    <w:t>资源</w:t>
                  </w:r>
                  <w:r>
                    <w:rPr>
                      <w:rFonts w:hint="eastAsia"/>
                    </w:rPr>
                    <w:t>，符合能利用要求。</w:t>
                  </w:r>
                </w:p>
              </w:tc>
            </w:tr>
          </w:tbl>
          <w:p>
            <w:pPr>
              <w:keepNext w:val="0"/>
              <w:keepLines w:val="0"/>
              <w:suppressLineNumbers w:val="0"/>
              <w:autoSpaceDE w:val="0"/>
              <w:autoSpaceDN w:val="0"/>
              <w:spacing w:before="0" w:beforeAutospacing="0" w:after="0" w:afterAutospacing="0"/>
              <w:ind w:left="0" w:right="0" w:firstLine="420"/>
              <w:rPr>
                <w:rFonts w:hint="default"/>
              </w:rPr>
            </w:pPr>
            <w:r>
              <w:rPr>
                <w:rFonts w:hint="default"/>
              </w:rPr>
              <w:t>综上所述，</w:t>
            </w:r>
            <w:r>
              <w:rPr>
                <w:rFonts w:hint="eastAsia"/>
              </w:rPr>
              <w:t>本项目符合</w:t>
            </w:r>
            <w:bookmarkStart w:id="1" w:name="_Toc69742102"/>
            <w:bookmarkStart w:id="2" w:name="_Toc65173538"/>
            <w:r>
              <w:rPr>
                <w:rFonts w:hint="eastAsia"/>
              </w:rPr>
              <w:t>胡杨河经济技术开发区管控要求</w:t>
            </w:r>
            <w:bookmarkEnd w:id="1"/>
            <w:bookmarkEnd w:id="2"/>
            <w:r>
              <w:rPr>
                <w:rFonts w:hint="eastAsia"/>
              </w:rPr>
              <w:t>。</w:t>
            </w:r>
          </w:p>
          <w:p>
            <w:pPr>
              <w:keepNext w:val="0"/>
              <w:keepLines w:val="0"/>
              <w:suppressLineNumbers w:val="0"/>
              <w:autoSpaceDE w:val="0"/>
              <w:autoSpaceDN w:val="0"/>
              <w:spacing w:before="0" w:beforeAutospacing="0" w:after="0" w:afterAutospacing="0"/>
              <w:ind w:left="0" w:right="0" w:firstLine="0" w:firstLineChars="0"/>
              <w:rPr>
                <w:rFonts w:hint="default"/>
              </w:rPr>
            </w:pPr>
            <w:r>
              <w:rPr>
                <w:rFonts w:hint="eastAsia"/>
              </w:rPr>
              <w:t>2、与新疆维吾尔自治区大气污染防治条例符合性分析</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条例第四十三条 贮存易产生扬尘的煤炭、煤矸石、煤渣、煤灰、水泥、石灰、石膏、砂土等物料的堆场应当密闭；不能密闭的，贮存单位或者个人应当采取下列防尘措施：</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（一）堆场的场坪、路面应当进行硬化处理，并保持路面整洁；</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（二）堆场周边应当配备高于堆存物料的围挡、防风抑尘网等设施；</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（三）按照物料类别采取相应的覆盖、喷淋和围挡等防风抑尘措施。</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露天装卸物料应当采取密闭或者喷淋等抑尘措施；输送的物料应当在装料、卸料处配备吸尘、喷淋等防尘设施。</w:t>
            </w:r>
          </w:p>
          <w:p>
            <w:pPr>
              <w:keepNext w:val="0"/>
              <w:keepLines w:val="0"/>
              <w:suppressLineNumbers w:val="0"/>
              <w:autoSpaceDE w:val="0"/>
              <w:autoSpaceDN w:val="0"/>
              <w:spacing w:before="0" w:beforeAutospacing="0" w:after="0" w:afterAutospacing="0"/>
              <w:ind w:left="0" w:right="0" w:firstLine="420"/>
              <w:rPr>
                <w:rFonts w:hint="default"/>
                <w:color w:val="auto"/>
                <w:highlight w:val="none"/>
              </w:rPr>
            </w:pPr>
            <w:r>
              <w:rPr>
                <w:rFonts w:hint="eastAsia"/>
                <w:color w:val="auto"/>
                <w:highlight w:val="none"/>
              </w:rPr>
              <w:t>本项目不属于高污染、高能耗、高风险项目，</w:t>
            </w:r>
            <w:r>
              <w:rPr>
                <w:rFonts w:hint="eastAsia"/>
                <w:color w:val="auto"/>
                <w:highlight w:val="none"/>
                <w:lang w:val="en-US" w:eastAsia="zh-CN"/>
              </w:rPr>
              <w:t>新建全封闭堆场贮存砂石料，配套洒水降尘措施，水泥、矿粉、硅粉采用筒仓贮存并配套仓顶除尘器，企业</w:t>
            </w:r>
            <w:r>
              <w:rPr>
                <w:rFonts w:hint="eastAsia"/>
                <w:color w:val="auto"/>
                <w:highlight w:val="none"/>
              </w:rPr>
              <w:t>严格执行相关环境保护制度及要求，符合自治区大气污染防治条例的要求。</w:t>
            </w:r>
          </w:p>
          <w:p>
            <w:pPr>
              <w:keepNext w:val="0"/>
              <w:keepLines w:val="0"/>
              <w:suppressLineNumbers w:val="0"/>
              <w:autoSpaceDE w:val="0"/>
              <w:autoSpaceDN w:val="0"/>
              <w:spacing w:before="0" w:beforeAutospacing="0" w:after="0" w:afterAutospacing="0"/>
              <w:ind w:left="0" w:right="0" w:firstLine="0" w:firstLineChars="0"/>
              <w:rPr>
                <w:rFonts w:hint="default"/>
              </w:rPr>
            </w:pPr>
            <w:r>
              <w:rPr>
                <w:rFonts w:hint="eastAsia"/>
              </w:rPr>
              <w:t>3、与《新疆生产建设兵团</w:t>
            </w:r>
            <w:r>
              <w:rPr>
                <w:rFonts w:hint="eastAsia"/>
                <w:lang w:eastAsia="zh-CN"/>
              </w:rPr>
              <w:t>“</w:t>
            </w:r>
            <w:r>
              <w:rPr>
                <w:rFonts w:hint="eastAsia"/>
              </w:rPr>
              <w:t>十四五</w:t>
            </w:r>
            <w:r>
              <w:rPr>
                <w:rFonts w:hint="eastAsia"/>
                <w:lang w:eastAsia="zh-CN"/>
              </w:rPr>
              <w:t>”</w:t>
            </w:r>
            <w:r>
              <w:rPr>
                <w:rFonts w:hint="eastAsia"/>
              </w:rPr>
              <w:t>生态环境保护规划》</w:t>
            </w:r>
            <w:r>
              <w:rPr>
                <w:rFonts w:hint="eastAsia"/>
                <w:lang w:eastAsia="zh-CN"/>
              </w:rPr>
              <w:t>（</w:t>
            </w:r>
            <w:r>
              <w:rPr>
                <w:rFonts w:hint="eastAsia"/>
                <w:lang w:val="en-US" w:eastAsia="zh-CN"/>
              </w:rPr>
              <w:t>新兵发</w:t>
            </w:r>
            <w:r>
              <w:rPr>
                <w:rFonts w:hint="eastAsia"/>
                <w:sz w:val="21"/>
                <w:szCs w:val="21"/>
                <w:lang w:eastAsia="zh-CN"/>
              </w:rPr>
              <w:t>〔20</w:t>
            </w:r>
            <w:r>
              <w:rPr>
                <w:rFonts w:hint="eastAsia"/>
                <w:sz w:val="21"/>
                <w:szCs w:val="21"/>
                <w:lang w:val="en-US" w:eastAsia="zh-CN"/>
              </w:rPr>
              <w:t>221</w:t>
            </w:r>
            <w:r>
              <w:rPr>
                <w:rFonts w:hint="eastAsia"/>
                <w:sz w:val="21"/>
                <w:szCs w:val="21"/>
                <w:lang w:eastAsia="zh-CN"/>
              </w:rPr>
              <w:t>〕</w:t>
            </w:r>
            <w:r>
              <w:rPr>
                <w:rFonts w:hint="eastAsia"/>
                <w:color w:val="000000" w:themeColor="text1"/>
                <w:szCs w:val="24"/>
                <w:lang w:val="en-US" w:eastAsia="zh-CN"/>
                <w14:textFill>
                  <w14:solidFill>
                    <w14:schemeClr w14:val="tx1"/>
                  </w14:solidFill>
                </w14:textFill>
              </w:rPr>
              <w:t>36</w:t>
            </w:r>
            <w:r>
              <w:rPr>
                <w:rFonts w:hint="eastAsia"/>
                <w:color w:val="000000" w:themeColor="text1"/>
                <w:szCs w:val="24"/>
                <w14:textFill>
                  <w14:solidFill>
                    <w14:schemeClr w14:val="tx1"/>
                  </w14:solidFill>
                </w14:textFill>
              </w:rPr>
              <w:t>号</w:t>
            </w:r>
            <w:r>
              <w:rPr>
                <w:rFonts w:hint="eastAsia"/>
                <w:lang w:eastAsia="zh-CN"/>
              </w:rPr>
              <w:t>）</w:t>
            </w:r>
            <w:r>
              <w:rPr>
                <w:rFonts w:hint="eastAsia"/>
              </w:rPr>
              <w:t>符合性分析</w:t>
            </w:r>
          </w:p>
          <w:p>
            <w:pPr>
              <w:keepNext w:val="0"/>
              <w:keepLines w:val="0"/>
              <w:suppressLineNumbers w:val="0"/>
              <w:spacing w:before="0" w:beforeAutospacing="0" w:after="0" w:afterAutospacing="0"/>
              <w:ind w:left="0" w:right="0" w:firstLine="420"/>
              <w:rPr>
                <w:rFonts w:hint="default"/>
              </w:rPr>
            </w:pPr>
            <w:r>
              <w:rPr>
                <w:rFonts w:hint="eastAsia"/>
                <w:lang w:val="en-US" w:eastAsia="zh-CN"/>
              </w:rPr>
              <w:t>兵团</w:t>
            </w:r>
            <w:r>
              <w:rPr>
                <w:rFonts w:hint="eastAsia"/>
              </w:rPr>
              <w:t>生态环境保护“十四五”规划中提出：</w:t>
            </w:r>
          </w:p>
          <w:p>
            <w:pPr>
              <w:keepNext w:val="0"/>
              <w:keepLines w:val="0"/>
              <w:suppressLineNumbers w:val="0"/>
              <w:spacing w:before="0" w:beforeAutospacing="0" w:after="0" w:afterAutospacing="0"/>
              <w:ind w:left="0" w:right="0" w:firstLine="420"/>
              <w:rPr>
                <w:rFonts w:hint="eastAsia"/>
              </w:rPr>
            </w:pPr>
            <w:r>
              <w:rPr>
                <w:rFonts w:hint="eastAsia"/>
              </w:rPr>
              <w:t>深化工业污染源头治理。以“乌—昌一石”和“奎一独—乌”区域内师市为重点，开展工业污染深度治理，全面执行大气污染物特别排放限值要求，实现工业行业污染物排放总量进一步下降。深化煤化工、煤电硅、建材等产业的循环产业链条发展，全面推动循环经济建设和绿色清洁发展，通过改进工艺技术、提高原料利用率等，减少污染物源头产生量，力争污染物排放量最小化。加快推进钢铁、水泥、电解铝等行业超低排放改造和转型升级，加大石化化工行业整治力度。</w:t>
            </w:r>
          </w:p>
          <w:p>
            <w:pPr>
              <w:keepNext w:val="0"/>
              <w:keepLines w:val="0"/>
              <w:suppressLineNumbers w:val="0"/>
              <w:autoSpaceDE w:val="0"/>
              <w:autoSpaceDN w:val="0"/>
              <w:spacing w:before="0" w:beforeAutospacing="0" w:after="0" w:afterAutospacing="0"/>
              <w:ind w:left="0" w:right="0" w:firstLine="420"/>
              <w:rPr>
                <w:rFonts w:hint="eastAsia" w:eastAsia="宋体"/>
                <w:lang w:val="en-US" w:eastAsia="zh-CN"/>
              </w:rPr>
            </w:pPr>
            <w:r>
              <w:rPr>
                <w:rFonts w:hint="eastAsia"/>
              </w:rPr>
              <w:t>强化面源污染防控。加强城市扬尘综合防控，积极推进“智慧工地”建设，建筑工地扬尘防控标准化管理全覆盖。控制道路交通扬尘污染，加强城市道路清扫保洁和洒水抑尘，提高机械化</w:t>
            </w:r>
            <w:r>
              <w:rPr>
                <w:rFonts w:hint="eastAsia"/>
                <w:lang w:val="en-US" w:eastAsia="zh-CN"/>
              </w:rPr>
              <w:t>作业水平。</w:t>
            </w:r>
          </w:p>
          <w:p>
            <w:pPr>
              <w:keepNext w:val="0"/>
              <w:keepLines w:val="0"/>
              <w:suppressLineNumbers w:val="0"/>
              <w:autoSpaceDE w:val="0"/>
              <w:autoSpaceDN w:val="0"/>
              <w:spacing w:before="0" w:beforeAutospacing="0" w:after="0" w:afterAutospacing="0"/>
              <w:ind w:left="0" w:right="0" w:firstLine="420"/>
              <w:rPr>
                <w:rFonts w:hint="default"/>
                <w:color w:val="auto"/>
                <w:highlight w:val="none"/>
              </w:rPr>
            </w:pPr>
            <w:r>
              <w:rPr>
                <w:rFonts w:hint="eastAsia"/>
                <w:color w:val="auto"/>
                <w:highlight w:val="none"/>
              </w:rPr>
              <w:t>综上，本项目生产</w:t>
            </w:r>
            <w:r>
              <w:rPr>
                <w:rFonts w:hint="eastAsia"/>
                <w:color w:val="auto"/>
                <w:highlight w:val="none"/>
                <w:lang w:val="en-US" w:eastAsia="zh-CN"/>
              </w:rPr>
              <w:t>使用砂石</w:t>
            </w:r>
            <w:r>
              <w:rPr>
                <w:rFonts w:hint="eastAsia"/>
                <w:color w:val="auto"/>
                <w:highlight w:val="none"/>
              </w:rPr>
              <w:t>物料位于</w:t>
            </w:r>
            <w:r>
              <w:rPr>
                <w:rFonts w:hint="eastAsia"/>
                <w:color w:val="auto"/>
                <w:highlight w:val="none"/>
                <w:lang w:val="en-US" w:eastAsia="zh-CN"/>
              </w:rPr>
              <w:t>全</w:t>
            </w:r>
            <w:r>
              <w:rPr>
                <w:rFonts w:hint="eastAsia"/>
                <w:color w:val="auto"/>
                <w:highlight w:val="none"/>
              </w:rPr>
              <w:t>封闭</w:t>
            </w:r>
            <w:r>
              <w:rPr>
                <w:rFonts w:hint="eastAsia"/>
                <w:color w:val="auto"/>
                <w:highlight w:val="none"/>
                <w:lang w:val="en-US" w:eastAsia="zh-CN"/>
              </w:rPr>
              <w:t>堆场</w:t>
            </w:r>
            <w:r>
              <w:rPr>
                <w:rFonts w:hint="eastAsia"/>
                <w:color w:val="auto"/>
                <w:highlight w:val="none"/>
              </w:rPr>
              <w:t>贮存</w:t>
            </w:r>
            <w:r>
              <w:rPr>
                <w:rFonts w:hint="eastAsia"/>
                <w:color w:val="auto"/>
                <w:highlight w:val="none"/>
                <w:lang w:eastAsia="zh-CN"/>
              </w:rPr>
              <w:t>，</w:t>
            </w:r>
            <w:r>
              <w:rPr>
                <w:rFonts w:hint="eastAsia"/>
                <w:color w:val="auto"/>
                <w:highlight w:val="none"/>
                <w:lang w:val="en-US" w:eastAsia="zh-CN"/>
              </w:rPr>
              <w:t>配套洒水降尘措施，水泥、矿粉、硅粉筒仓贮存并配套仓顶除尘器，</w:t>
            </w:r>
            <w:r>
              <w:rPr>
                <w:rFonts w:hint="eastAsia"/>
                <w:color w:val="auto"/>
                <w:highlight w:val="none"/>
              </w:rPr>
              <w:t>生产车间</w:t>
            </w:r>
            <w:r>
              <w:rPr>
                <w:rFonts w:hint="eastAsia"/>
                <w:color w:val="auto"/>
                <w:highlight w:val="none"/>
                <w:lang w:val="en-US" w:eastAsia="zh-CN"/>
              </w:rPr>
              <w:t>全封闭</w:t>
            </w:r>
            <w:r>
              <w:rPr>
                <w:rFonts w:hint="eastAsia"/>
                <w:color w:val="auto"/>
                <w:highlight w:val="none"/>
              </w:rPr>
              <w:t>，符合新疆生产建设兵团</w:t>
            </w:r>
            <w:r>
              <w:rPr>
                <w:rFonts w:hint="eastAsia"/>
                <w:color w:val="auto"/>
                <w:highlight w:val="none"/>
                <w:lang w:eastAsia="zh-CN"/>
              </w:rPr>
              <w:t>“</w:t>
            </w:r>
            <w:r>
              <w:rPr>
                <w:rFonts w:hint="eastAsia"/>
                <w:color w:val="auto"/>
                <w:highlight w:val="none"/>
              </w:rPr>
              <w:t>十四五</w:t>
            </w:r>
            <w:r>
              <w:rPr>
                <w:rFonts w:hint="eastAsia"/>
                <w:color w:val="auto"/>
                <w:highlight w:val="none"/>
                <w:lang w:eastAsia="zh-CN"/>
              </w:rPr>
              <w:t>”</w:t>
            </w:r>
            <w:r>
              <w:rPr>
                <w:rFonts w:hint="eastAsia"/>
                <w:color w:val="auto"/>
                <w:highlight w:val="none"/>
              </w:rPr>
              <w:t>生态环境保护规划要求。</w:t>
            </w:r>
          </w:p>
          <w:p>
            <w:pPr>
              <w:keepNext w:val="0"/>
              <w:keepLines w:val="0"/>
              <w:suppressLineNumbers w:val="0"/>
              <w:spacing w:before="0" w:beforeAutospacing="0" w:after="0" w:afterAutospacing="0"/>
              <w:ind w:left="0" w:leftChars="0" w:right="0" w:firstLine="0" w:firstLineChars="0"/>
              <w:rPr>
                <w:rFonts w:hint="default"/>
              </w:rPr>
            </w:pPr>
          </w:p>
        </w:tc>
      </w:tr>
    </w:tbl>
    <w:p>
      <w:pPr>
        <w:widowControl/>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0"/>
        <w:tblW w:w="89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2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cs="宋体"/>
              </w:rPr>
              <w:t>建设</w:t>
            </w:r>
          </w:p>
          <w:p>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cs="宋体"/>
              </w:rPr>
              <w:t>内容</w:t>
            </w:r>
          </w:p>
        </w:tc>
        <w:tc>
          <w:tcPr>
            <w:tcW w:w="8547" w:type="dxa"/>
          </w:tcPr>
          <w:p>
            <w:pPr>
              <w:keepNext w:val="0"/>
              <w:keepLines w:val="0"/>
              <w:suppressLineNumbers w:val="0"/>
              <w:spacing w:before="0" w:beforeAutospacing="0" w:after="0" w:afterAutospacing="0"/>
              <w:ind w:left="0" w:right="0" w:firstLine="0" w:firstLineChars="0"/>
              <w:rPr>
                <w:rFonts w:hint="default"/>
              </w:rPr>
            </w:pPr>
            <w:r>
              <w:rPr>
                <w:rFonts w:hint="eastAsia"/>
              </w:rPr>
              <w:t>1、项目工程概况</w:t>
            </w:r>
          </w:p>
          <w:p>
            <w:pPr>
              <w:keepNext w:val="0"/>
              <w:keepLines w:val="0"/>
              <w:suppressLineNumbers w:val="0"/>
              <w:spacing w:before="0" w:beforeAutospacing="0" w:after="0" w:afterAutospacing="0"/>
              <w:ind w:left="0" w:right="0" w:firstLine="420"/>
              <w:rPr>
                <w:rFonts w:hint="default"/>
                <w:color w:val="auto"/>
                <w:highlight w:val="none"/>
              </w:rPr>
            </w:pPr>
            <w:r>
              <w:rPr>
                <w:rFonts w:hint="eastAsia"/>
                <w:color w:val="auto"/>
                <w:highlight w:val="none"/>
              </w:rPr>
              <w:t>项目位于</w:t>
            </w:r>
            <w:r>
              <w:rPr>
                <w:rFonts w:hint="eastAsia"/>
                <w:color w:val="auto"/>
                <w:highlight w:val="none"/>
                <w:lang w:val="en-US" w:eastAsia="zh-CN"/>
              </w:rPr>
              <w:t>胡杨河市经济技术开发区</w:t>
            </w:r>
            <w:r>
              <w:rPr>
                <w:rFonts w:hint="default"/>
                <w:color w:val="auto"/>
                <w:highlight w:val="none"/>
              </w:rPr>
              <w:t>广合商品混凝土有限责任公司克拉玛依分公司</w:t>
            </w:r>
            <w:r>
              <w:rPr>
                <w:rFonts w:hint="eastAsia"/>
                <w:color w:val="auto"/>
                <w:highlight w:val="none"/>
                <w:lang w:val="en-US" w:eastAsia="zh-CN"/>
              </w:rPr>
              <w:t>厂区内</w:t>
            </w:r>
            <w:r>
              <w:rPr>
                <w:rFonts w:hint="eastAsia"/>
                <w:color w:val="auto"/>
                <w:highlight w:val="none"/>
              </w:rPr>
              <w:t>，北侧为</w:t>
            </w:r>
            <w:r>
              <w:rPr>
                <w:rFonts w:hint="eastAsia"/>
                <w:color w:val="auto"/>
                <w:highlight w:val="none"/>
                <w:lang w:val="en-US" w:eastAsia="zh-CN"/>
              </w:rPr>
              <w:t>淮阴路</w:t>
            </w:r>
            <w:r>
              <w:rPr>
                <w:rFonts w:hint="eastAsia"/>
                <w:color w:val="auto"/>
                <w:highlight w:val="none"/>
              </w:rPr>
              <w:t>，东侧为</w:t>
            </w:r>
            <w:r>
              <w:rPr>
                <w:rFonts w:hint="eastAsia"/>
                <w:color w:val="auto"/>
                <w:highlight w:val="none"/>
                <w:lang w:val="en-US" w:eastAsia="zh-CN"/>
              </w:rPr>
              <w:t>园区水厂，</w:t>
            </w:r>
            <w:r>
              <w:rPr>
                <w:rFonts w:hint="eastAsia"/>
                <w:color w:val="auto"/>
                <w:highlight w:val="none"/>
              </w:rPr>
              <w:t>南侧为</w:t>
            </w:r>
            <w:r>
              <w:rPr>
                <w:rFonts w:hint="eastAsia"/>
                <w:color w:val="auto"/>
                <w:highlight w:val="none"/>
                <w:lang w:val="en-US" w:eastAsia="zh-CN"/>
              </w:rPr>
              <w:t>北方集团新材料公司，西侧为广合混凝土搅拌站（废弃），</w:t>
            </w:r>
            <w:r>
              <w:rPr>
                <w:rFonts w:hint="eastAsia"/>
                <w:color w:val="auto"/>
                <w:highlight w:val="none"/>
              </w:rPr>
              <w:t>详见附图2地理位置图、附图3卫星遥感图、附图4选址规划图</w:t>
            </w:r>
            <w:r>
              <w:rPr>
                <w:rFonts w:hint="eastAsia"/>
                <w:color w:val="auto"/>
                <w:highlight w:val="none"/>
                <w:lang w:eastAsia="zh-CN"/>
              </w:rPr>
              <w:t>、</w:t>
            </w:r>
            <w:r>
              <w:rPr>
                <w:rFonts w:hint="eastAsia"/>
                <w:color w:val="auto"/>
                <w:highlight w:val="none"/>
                <w:lang w:val="en-US" w:eastAsia="zh-CN"/>
              </w:rPr>
              <w:t>附图5土地利用规划图</w:t>
            </w:r>
            <w:r>
              <w:rPr>
                <w:rFonts w:hint="eastAsia"/>
                <w:color w:val="auto"/>
                <w:highlight w:val="none"/>
              </w:rPr>
              <w:t>。</w:t>
            </w:r>
          </w:p>
          <w:p>
            <w:pPr>
              <w:keepNext w:val="0"/>
              <w:keepLines w:val="0"/>
              <w:suppressLineNumbers w:val="0"/>
              <w:spacing w:before="0" w:beforeAutospacing="0" w:after="0" w:afterAutospacing="0"/>
              <w:ind w:left="0" w:right="0" w:firstLine="420"/>
              <w:rPr>
                <w:rFonts w:hint="default"/>
              </w:rPr>
            </w:pPr>
            <w:r>
              <w:rPr>
                <w:rFonts w:hint="eastAsia"/>
                <w:color w:val="auto"/>
                <w:highlight w:val="none"/>
                <w:lang w:val="en-US" w:eastAsia="zh-CN"/>
              </w:rPr>
              <w:t>工程主要</w:t>
            </w:r>
            <w:r>
              <w:rPr>
                <w:rFonts w:hint="eastAsia"/>
                <w:color w:val="auto"/>
                <w:highlight w:val="none"/>
              </w:rPr>
              <w:t>建设厂房，两栋耳房、料棚</w:t>
            </w:r>
            <w:r>
              <w:rPr>
                <w:rFonts w:hint="eastAsia"/>
                <w:color w:val="auto"/>
                <w:highlight w:val="none"/>
                <w:lang w:eastAsia="zh-CN"/>
              </w:rPr>
              <w:t>，</w:t>
            </w:r>
            <w:r>
              <w:rPr>
                <w:rFonts w:hint="eastAsia"/>
                <w:color w:val="auto"/>
                <w:highlight w:val="none"/>
              </w:rPr>
              <w:t>购置离心机、钢模、行车、立式120搅拌站。</w:t>
            </w:r>
            <w:r>
              <w:rPr>
                <w:rFonts w:hint="eastAsia"/>
              </w:rPr>
              <w:t>工程主要建设内容详见下表</w:t>
            </w:r>
            <w:r>
              <w:rPr>
                <w:rFonts w:hint="eastAsia"/>
                <w:lang w:val="en-US" w:eastAsia="zh-CN"/>
              </w:rPr>
              <w:t>2</w:t>
            </w:r>
            <w:r>
              <w:rPr>
                <w:rFonts w:hint="eastAsia"/>
              </w:rPr>
              <w:t>。</w:t>
            </w:r>
          </w:p>
          <w:p>
            <w:pPr>
              <w:keepNext w:val="0"/>
              <w:keepLines w:val="0"/>
              <w:suppressLineNumbers w:val="0"/>
              <w:spacing w:before="0" w:beforeAutospacing="0" w:after="0" w:afterAutospacing="0" w:line="240" w:lineRule="auto"/>
              <w:ind w:left="0" w:right="0" w:firstLine="420"/>
              <w:rPr>
                <w:rFonts w:hint="default"/>
              </w:rPr>
            </w:pPr>
            <w:r>
              <w:rPr>
                <w:rFonts w:hint="default"/>
              </w:rPr>
              <w:t>表</w:t>
            </w:r>
            <w:r>
              <w:rPr>
                <w:rFonts w:hint="eastAsia"/>
              </w:rPr>
              <w:t>2</w:t>
            </w:r>
            <w:r>
              <w:rPr>
                <w:rFonts w:hint="default"/>
              </w:rPr>
              <w:t xml:space="preserve"> </w:t>
            </w:r>
            <w:r>
              <w:rPr>
                <w:rFonts w:hint="eastAsia"/>
              </w:rPr>
              <w:t xml:space="preserve">                   工程主要建设内容及规模</w:t>
            </w:r>
          </w:p>
          <w:tbl>
            <w:tblPr>
              <w:tblStyle w:val="1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36"/>
              <w:gridCol w:w="6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建设内容</w:t>
                  </w: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名称</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w:t>
                  </w:r>
                  <w:r>
                    <w:rPr>
                      <w:rFonts w:hint="default"/>
                      <w:color w:val="000000" w:themeColor="text1"/>
                      <w:highlight w:val="none"/>
                      <w14:textFill>
                        <w14:solidFill>
                          <w14:schemeClr w14:val="tx1"/>
                        </w14:solidFill>
                      </w14:textFill>
                    </w:rPr>
                    <w:t>内容</w:t>
                  </w:r>
                  <w:r>
                    <w:rPr>
                      <w:rFonts w:hint="eastAsia"/>
                      <w:color w:val="000000" w:themeColor="text1"/>
                      <w:highlight w:val="none"/>
                      <w14:textFill>
                        <w14:solidFill>
                          <w14:schemeClr w14:val="tx1"/>
                        </w14:solidFill>
                      </w14:textFill>
                    </w:rPr>
                    <w:t>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主体工程</w:t>
                  </w: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生产厂房</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eastAsia="宋体"/>
                      <w:color w:val="0000FF"/>
                      <w:highlight w:val="green"/>
                      <w:lang w:val="en-US" w:eastAsia="zh-CN"/>
                    </w:rPr>
                  </w:pPr>
                  <w:r>
                    <w:rPr>
                      <w:rFonts w:hint="eastAsia"/>
                      <w:color w:val="auto"/>
                      <w:highlight w:val="none"/>
                    </w:rPr>
                    <w:t>厂房面积</w:t>
                  </w:r>
                  <w:r>
                    <w:rPr>
                      <w:rFonts w:hint="eastAsia"/>
                      <w:color w:val="auto"/>
                      <w:highlight w:val="none"/>
                      <w:lang w:val="en-US" w:eastAsia="zh-CN"/>
                    </w:rPr>
                    <w:t>4176</w:t>
                  </w:r>
                  <w:r>
                    <w:rPr>
                      <w:rFonts w:hint="eastAsia"/>
                      <w:color w:val="auto"/>
                      <w:highlight w:val="none"/>
                    </w:rPr>
                    <w:t>m</w:t>
                  </w:r>
                  <w:r>
                    <w:rPr>
                      <w:rFonts w:hint="eastAsia"/>
                      <w:color w:val="auto"/>
                      <w:highlight w:val="none"/>
                      <w:vertAlign w:val="superscript"/>
                    </w:rPr>
                    <w:t>2</w:t>
                  </w:r>
                  <w:r>
                    <w:rPr>
                      <w:rFonts w:hint="eastAsia"/>
                      <w:color w:val="auto"/>
                      <w:highlight w:val="none"/>
                    </w:rPr>
                    <w:t>，</w:t>
                  </w:r>
                  <w:r>
                    <w:rPr>
                      <w:rFonts w:hint="eastAsia"/>
                      <w:color w:val="auto"/>
                      <w:highlight w:val="none"/>
                      <w:lang w:val="en-US" w:eastAsia="zh-CN"/>
                    </w:rPr>
                    <w:t>尺寸87</w:t>
                  </w:r>
                  <w:r>
                    <w:rPr>
                      <w:rFonts w:hint="default" w:ascii="Arial" w:hAnsi="Arial" w:cs="Arial"/>
                      <w:color w:val="auto"/>
                      <w:highlight w:val="none"/>
                      <w:lang w:val="en-US" w:eastAsia="zh-CN"/>
                    </w:rPr>
                    <w:t>×</w:t>
                  </w:r>
                  <w:r>
                    <w:rPr>
                      <w:rFonts w:hint="eastAsia"/>
                      <w:color w:val="auto"/>
                      <w:highlight w:val="none"/>
                      <w:lang w:val="en-US" w:eastAsia="zh-CN"/>
                    </w:rPr>
                    <w:t>48m，</w:t>
                  </w:r>
                  <w:r>
                    <w:rPr>
                      <w:rFonts w:hint="eastAsia"/>
                      <w:color w:val="auto"/>
                      <w:highlight w:val="none"/>
                    </w:rPr>
                    <w:t>建设一条年产1</w:t>
                  </w:r>
                  <w:r>
                    <w:rPr>
                      <w:rFonts w:hint="eastAsia"/>
                      <w:color w:val="auto"/>
                      <w:highlight w:val="none"/>
                      <w:lang w:val="en-US" w:eastAsia="zh-CN"/>
                    </w:rPr>
                    <w:t>0</w:t>
                  </w:r>
                  <w:r>
                    <w:rPr>
                      <w:rFonts w:hint="eastAsia"/>
                      <w:color w:val="auto"/>
                      <w:highlight w:val="none"/>
                    </w:rPr>
                    <w:t>0万米预应力混凝土管桩生产线</w:t>
                  </w:r>
                  <w:r>
                    <w:rPr>
                      <w:rFonts w:hint="eastAsia"/>
                      <w:color w:val="auto"/>
                      <w:highlight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搅拌站</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eastAsia="宋体"/>
                      <w:color w:val="auto"/>
                      <w:highlight w:val="none"/>
                      <w:lang w:val="en-US" w:eastAsia="zh-CN"/>
                    </w:rPr>
                  </w:pPr>
                  <w:r>
                    <w:rPr>
                      <w:rFonts w:hint="eastAsia"/>
                      <w:color w:val="auto"/>
                      <w:highlight w:val="none"/>
                      <w:lang w:val="en-US" w:eastAsia="zh-CN"/>
                    </w:rPr>
                    <w:t>设置一台120搅拌站，为光伏桩生产提供混凝土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储运</w:t>
                  </w:r>
                  <w:r>
                    <w:rPr>
                      <w:rFonts w:hint="default"/>
                      <w:color w:val="000000" w:themeColor="text1"/>
                      <w:highlight w:val="none"/>
                      <w14:textFill>
                        <w14:solidFill>
                          <w14:schemeClr w14:val="tx1"/>
                        </w14:solidFill>
                      </w14:textFill>
                    </w:rPr>
                    <w:t>工程</w:t>
                  </w:r>
                </w:p>
              </w:tc>
              <w:tc>
                <w:tcPr>
                  <w:tcW w:w="681"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eastAsia"/>
                      <w:color w:val="auto"/>
                      <w:highlight w:val="none"/>
                      <w:lang w:val="en-US" w:eastAsia="zh-CN"/>
                    </w:rPr>
                  </w:pPr>
                  <w:r>
                    <w:rPr>
                      <w:rFonts w:hint="eastAsia"/>
                      <w:color w:val="auto"/>
                      <w:highlight w:val="none"/>
                      <w:lang w:val="en-US" w:eastAsia="zh-CN"/>
                    </w:rPr>
                    <w:t>筒仓</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jc w:val="left"/>
                    <w:rPr>
                      <w:rFonts w:hint="eastAsia"/>
                      <w:color w:val="auto"/>
                      <w:highlight w:val="none"/>
                      <w:lang w:val="en-US" w:eastAsia="zh-CN"/>
                    </w:rPr>
                  </w:pPr>
                  <w:r>
                    <w:rPr>
                      <w:rFonts w:hint="eastAsia"/>
                      <w:color w:val="auto"/>
                      <w:highlight w:val="none"/>
                      <w:lang w:val="en-US" w:eastAsia="zh-CN"/>
                    </w:rPr>
                    <w:t>搅拌站共计设置4台筒仓，其中2台200吨，用于贮存水泥，2台100吨，主要用于贮存矿粉、硅粉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耳房</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eastAsia" w:eastAsia="宋体"/>
                      <w:color w:val="auto"/>
                      <w:highlight w:val="none"/>
                      <w:lang w:eastAsia="zh-CN"/>
                    </w:rPr>
                  </w:pPr>
                  <w:r>
                    <w:rPr>
                      <w:rFonts w:hint="eastAsia"/>
                      <w:color w:val="auto"/>
                      <w:highlight w:val="none"/>
                      <w:lang w:val="en-US" w:eastAsia="zh-CN"/>
                    </w:rPr>
                    <w:t>2栋</w:t>
                  </w:r>
                  <w:r>
                    <w:rPr>
                      <w:rFonts w:hint="default"/>
                      <w:color w:val="auto"/>
                      <w:highlight w:val="none"/>
                    </w:rPr>
                    <w:t>，</w:t>
                  </w:r>
                  <w:r>
                    <w:rPr>
                      <w:rFonts w:hint="eastAsia"/>
                      <w:color w:val="auto"/>
                      <w:highlight w:val="none"/>
                      <w:lang w:val="en-US" w:eastAsia="zh-CN"/>
                    </w:rPr>
                    <w:t>生产厂房南北各1栋，单栋</w:t>
                  </w:r>
                  <w:r>
                    <w:rPr>
                      <w:rFonts w:hint="default"/>
                      <w:color w:val="auto"/>
                      <w:highlight w:val="none"/>
                    </w:rPr>
                    <w:t>建筑面积</w:t>
                  </w:r>
                  <w:r>
                    <w:rPr>
                      <w:rFonts w:hint="eastAsia"/>
                      <w:color w:val="auto"/>
                      <w:highlight w:val="none"/>
                      <w:lang w:val="en-US" w:eastAsia="zh-CN"/>
                    </w:rPr>
                    <w:t>870</w:t>
                  </w:r>
                  <w:r>
                    <w:rPr>
                      <w:rFonts w:hint="default"/>
                      <w:color w:val="auto"/>
                      <w:highlight w:val="none"/>
                    </w:rPr>
                    <w:t>m</w:t>
                  </w:r>
                  <w:r>
                    <w:rPr>
                      <w:rFonts w:hint="default"/>
                      <w:color w:val="auto"/>
                      <w:highlight w:val="none"/>
                      <w:vertAlign w:val="superscript"/>
                    </w:rPr>
                    <w:t>2</w:t>
                  </w:r>
                  <w:r>
                    <w:rPr>
                      <w:rFonts w:hint="eastAsia"/>
                      <w:color w:val="auto"/>
                      <w:highlight w:val="none"/>
                      <w:vertAlign w:val="baseline"/>
                      <w:lang w:eastAsia="zh-CN"/>
                    </w:rPr>
                    <w:t>，</w:t>
                  </w:r>
                  <w:r>
                    <w:rPr>
                      <w:rFonts w:hint="eastAsia"/>
                      <w:color w:val="auto"/>
                      <w:highlight w:val="none"/>
                      <w:lang w:val="en-US" w:eastAsia="zh-CN"/>
                    </w:rPr>
                    <w:t>尺寸87</w:t>
                  </w:r>
                  <w:r>
                    <w:rPr>
                      <w:rFonts w:hint="default" w:ascii="Arial" w:hAnsi="Arial" w:cs="Arial"/>
                      <w:color w:val="auto"/>
                      <w:highlight w:val="none"/>
                      <w:lang w:val="en-US" w:eastAsia="zh-CN"/>
                    </w:rPr>
                    <w:t>×</w:t>
                  </w:r>
                  <w:r>
                    <w:rPr>
                      <w:rFonts w:hint="eastAsia"/>
                      <w:color w:val="auto"/>
                      <w:highlight w:val="none"/>
                      <w:lang w:val="en-US" w:eastAsia="zh-CN"/>
                    </w:rPr>
                    <w:t>10m，</w:t>
                  </w:r>
                  <w:r>
                    <w:rPr>
                      <w:rFonts w:hint="eastAsia" w:ascii="宋体" w:hAnsi="宋体"/>
                      <w:color w:val="auto"/>
                      <w:highlight w:val="none"/>
                    </w:rPr>
                    <w:t>用于存放钢材、减水剂、脱模剂、</w:t>
                  </w:r>
                  <w:r>
                    <w:rPr>
                      <w:rFonts w:hint="eastAsia" w:ascii="宋体" w:hAnsi="宋体"/>
                      <w:color w:val="auto"/>
                      <w:highlight w:val="none"/>
                      <w:lang w:val="en-US" w:eastAsia="zh-CN"/>
                    </w:rPr>
                    <w:t>润滑油</w:t>
                  </w:r>
                  <w:r>
                    <w:rPr>
                      <w:rFonts w:hint="eastAsia" w:ascii="宋体" w:hAnsi="宋体"/>
                      <w:color w:val="auto"/>
                      <w:highlight w:val="none"/>
                    </w:rPr>
                    <w:t>等</w:t>
                  </w:r>
                  <w:r>
                    <w:rPr>
                      <w:rFonts w:hint="eastAsia" w:ascii="宋体" w:hAnsi="宋体"/>
                      <w:color w:val="auto"/>
                      <w:highlight w:val="none"/>
                      <w:lang w:val="en-US" w:eastAsia="zh-CN"/>
                    </w:rPr>
                    <w:t>生产</w:t>
                  </w:r>
                  <w:r>
                    <w:rPr>
                      <w:rFonts w:hint="eastAsia" w:ascii="宋体" w:hAnsi="宋体"/>
                      <w:color w:val="auto"/>
                      <w:highlight w:val="none"/>
                    </w:rPr>
                    <w:t>原辅料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料棚</w:t>
                  </w:r>
                </w:p>
              </w:tc>
              <w:tc>
                <w:tcPr>
                  <w:tcW w:w="3656"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eastAsia="宋体"/>
                      <w:color w:val="auto"/>
                      <w:highlight w:val="none"/>
                      <w:lang w:val="en-US" w:eastAsia="zh-CN"/>
                    </w:rPr>
                  </w:pPr>
                  <w:r>
                    <w:rPr>
                      <w:rFonts w:hint="eastAsia"/>
                      <w:color w:val="auto"/>
                      <w:highlight w:val="none"/>
                      <w:lang w:val="en-US" w:eastAsia="zh-CN"/>
                    </w:rPr>
                    <w:t>位于厂区东北侧，全封闭料棚，尺寸36</w:t>
                  </w:r>
                  <w:r>
                    <w:rPr>
                      <w:rFonts w:hint="default" w:ascii="Arial" w:hAnsi="Arial" w:cs="Arial"/>
                      <w:color w:val="auto"/>
                      <w:highlight w:val="none"/>
                      <w:lang w:val="en-US" w:eastAsia="zh-CN"/>
                    </w:rPr>
                    <w:t>×</w:t>
                  </w:r>
                  <w:r>
                    <w:rPr>
                      <w:rFonts w:hint="default" w:ascii="Times New Roman" w:hAnsi="Times New Roman" w:cs="Times New Roman"/>
                      <w:color w:val="auto"/>
                      <w:highlight w:val="none"/>
                      <w:lang w:val="en-US" w:eastAsia="zh-CN"/>
                    </w:rPr>
                    <w:t>26</w:t>
                  </w:r>
                  <w:r>
                    <w:rPr>
                      <w:rFonts w:hint="eastAsia" w:ascii="Times New Roman" w:hAnsi="Times New Roman" w:cs="Times New Roman"/>
                      <w:color w:val="auto"/>
                      <w:highlight w:val="none"/>
                      <w:lang w:val="en-US" w:eastAsia="zh-CN"/>
                    </w:rPr>
                    <w:t>m</w:t>
                  </w:r>
                  <w:r>
                    <w:rPr>
                      <w:rFonts w:hint="eastAsia"/>
                      <w:color w:val="auto"/>
                      <w:highlight w:val="none"/>
                      <w:lang w:val="en-US" w:eastAsia="zh-CN"/>
                    </w:rPr>
                    <w:t>，主要用于贮存不同粒径石料、砂料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依托工程</w:t>
                  </w:r>
                </w:p>
              </w:tc>
              <w:tc>
                <w:tcPr>
                  <w:tcW w:w="681"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stheme="minorBidi"/>
                      <w:color w:val="auto"/>
                      <w:kern w:val="0"/>
                      <w:sz w:val="21"/>
                      <w:szCs w:val="21"/>
                      <w:highlight w:val="none"/>
                      <w:lang w:val="en-US" w:eastAsia="zh-CN" w:bidi="ar-SA"/>
                    </w:rPr>
                  </w:pPr>
                  <w:r>
                    <w:rPr>
                      <w:rFonts w:hint="default"/>
                      <w:color w:val="auto"/>
                      <w:highlight w:val="none"/>
                    </w:rPr>
                    <w:t>办公</w:t>
                  </w:r>
                  <w:r>
                    <w:rPr>
                      <w:rFonts w:hint="eastAsia"/>
                      <w:color w:val="auto"/>
                      <w:highlight w:val="none"/>
                    </w:rPr>
                    <w:t>室</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jc w:val="left"/>
                    <w:rPr>
                      <w:rFonts w:hint="default" w:ascii="Times New Roman" w:hAnsi="Times New Roman" w:eastAsia="宋体" w:cstheme="minorBidi"/>
                      <w:color w:val="auto"/>
                      <w:kern w:val="0"/>
                      <w:sz w:val="21"/>
                      <w:szCs w:val="21"/>
                      <w:highlight w:val="none"/>
                      <w:lang w:val="en-US" w:eastAsia="zh-CN" w:bidi="ar-SA"/>
                    </w:rPr>
                  </w:pPr>
                  <w:r>
                    <w:rPr>
                      <w:rFonts w:hint="eastAsia"/>
                      <w:color w:val="auto"/>
                      <w:highlight w:val="none"/>
                      <w:lang w:val="en-US" w:eastAsia="zh-CN"/>
                    </w:rPr>
                    <w:t>2</w:t>
                  </w:r>
                  <w:r>
                    <w:rPr>
                      <w:rFonts w:hint="default"/>
                      <w:color w:val="auto"/>
                      <w:highlight w:val="none"/>
                    </w:rPr>
                    <w:t>层，建筑面积</w:t>
                  </w:r>
                  <w:r>
                    <w:rPr>
                      <w:rFonts w:hint="eastAsia"/>
                      <w:color w:val="auto"/>
                      <w:highlight w:val="none"/>
                      <w:lang w:val="en-US" w:eastAsia="zh-CN"/>
                    </w:rPr>
                    <w:t>620</w:t>
                  </w:r>
                  <w:r>
                    <w:rPr>
                      <w:rFonts w:hint="default"/>
                      <w:color w:val="auto"/>
                      <w:highlight w:val="none"/>
                    </w:rPr>
                    <w:t>m</w:t>
                  </w:r>
                  <w:r>
                    <w:rPr>
                      <w:rFonts w:hint="default"/>
                      <w:color w:val="auto"/>
                      <w:highlight w:val="none"/>
                      <w:vertAlign w:val="superscript"/>
                    </w:rPr>
                    <w:t>2</w:t>
                  </w:r>
                  <w:r>
                    <w:rPr>
                      <w:rFonts w:hint="eastAsia"/>
                      <w:color w:val="auto"/>
                      <w:highlight w:val="none"/>
                      <w:vertAlign w:val="baseline"/>
                      <w:lang w:eastAsia="zh-CN"/>
                    </w:rPr>
                    <w:t>，</w:t>
                  </w:r>
                  <w:r>
                    <w:rPr>
                      <w:rFonts w:hint="eastAsia"/>
                      <w:color w:val="auto"/>
                      <w:highlight w:val="none"/>
                      <w:vertAlign w:val="baseline"/>
                      <w:lang w:val="en-US" w:eastAsia="zh-CN"/>
                    </w:rPr>
                    <w:t>位于厂区北侧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heme="minorBidi"/>
                      <w:color w:val="auto"/>
                      <w:kern w:val="0"/>
                      <w:sz w:val="21"/>
                      <w:szCs w:val="21"/>
                      <w:highlight w:val="none"/>
                      <w:lang w:val="en-US" w:eastAsia="zh-CN" w:bidi="ar-SA"/>
                    </w:rPr>
                  </w:pPr>
                  <w:r>
                    <w:rPr>
                      <w:rFonts w:hint="eastAsia"/>
                      <w:color w:val="auto"/>
                      <w:highlight w:val="none"/>
                      <w:lang w:val="en-US" w:eastAsia="zh-CN"/>
                    </w:rPr>
                    <w:t>食堂宿舍</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jc w:val="left"/>
                    <w:rPr>
                      <w:rFonts w:hint="default" w:ascii="Times New Roman" w:hAnsi="Times New Roman" w:eastAsia="宋体" w:cstheme="minorBidi"/>
                      <w:color w:val="auto"/>
                      <w:kern w:val="0"/>
                      <w:sz w:val="21"/>
                      <w:szCs w:val="21"/>
                      <w:highlight w:val="none"/>
                      <w:lang w:val="en-US" w:eastAsia="zh-CN" w:bidi="ar-SA"/>
                    </w:rPr>
                  </w:pPr>
                  <w:r>
                    <w:rPr>
                      <w:rFonts w:hint="eastAsia"/>
                      <w:color w:val="auto"/>
                      <w:highlight w:val="none"/>
                      <w:lang w:val="en-US" w:eastAsia="zh-CN"/>
                    </w:rPr>
                    <w:t>1层，</w:t>
                  </w:r>
                  <w:r>
                    <w:rPr>
                      <w:rFonts w:hint="default"/>
                      <w:color w:val="auto"/>
                      <w:highlight w:val="none"/>
                    </w:rPr>
                    <w:t>建筑面积</w:t>
                  </w:r>
                  <w:r>
                    <w:rPr>
                      <w:rFonts w:hint="eastAsia"/>
                      <w:color w:val="auto"/>
                      <w:highlight w:val="none"/>
                      <w:lang w:val="en-US" w:eastAsia="zh-CN"/>
                    </w:rPr>
                    <w:t>800</w:t>
                  </w:r>
                  <w:r>
                    <w:rPr>
                      <w:rFonts w:hint="default"/>
                      <w:color w:val="auto"/>
                      <w:highlight w:val="none"/>
                    </w:rPr>
                    <w:t>m</w:t>
                  </w:r>
                  <w:r>
                    <w:rPr>
                      <w:rFonts w:hint="default"/>
                      <w:color w:val="auto"/>
                      <w:highlight w:val="none"/>
                      <w:vertAlign w:val="superscript"/>
                    </w:rPr>
                    <w:t>2</w:t>
                  </w:r>
                  <w:r>
                    <w:rPr>
                      <w:rFonts w:hint="eastAsia"/>
                      <w:color w:val="auto"/>
                      <w:highlight w:val="none"/>
                      <w:vertAlign w:val="baseline"/>
                      <w:lang w:eastAsia="zh-CN"/>
                    </w:rPr>
                    <w:t>，</w:t>
                  </w:r>
                  <w:r>
                    <w:rPr>
                      <w:rFonts w:hint="eastAsia"/>
                      <w:color w:val="auto"/>
                      <w:highlight w:val="none"/>
                      <w:vertAlign w:val="baseline"/>
                      <w:lang w:val="en-US" w:eastAsia="zh-CN"/>
                    </w:rPr>
                    <w:t>位于厂区北侧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auto"/>
                      <w:highlight w:val="none"/>
                    </w:rPr>
                  </w:pPr>
                  <w:r>
                    <w:rPr>
                      <w:rFonts w:hint="eastAsia"/>
                      <w:color w:val="auto"/>
                      <w:highlight w:val="none"/>
                      <w:lang w:val="en-US" w:eastAsia="zh-CN"/>
                    </w:rPr>
                    <w:t>成品堆场</w:t>
                  </w:r>
                </w:p>
              </w:tc>
              <w:tc>
                <w:tcPr>
                  <w:tcW w:w="3656"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eastAsia="宋体"/>
                      <w:color w:val="auto"/>
                      <w:highlight w:val="none"/>
                      <w:lang w:val="en-US" w:eastAsia="zh-CN"/>
                    </w:rPr>
                  </w:pPr>
                  <w:r>
                    <w:rPr>
                      <w:rFonts w:hint="eastAsia"/>
                      <w:color w:val="auto"/>
                      <w:highlight w:val="none"/>
                      <w:lang w:val="en-US" w:eastAsia="zh-CN"/>
                    </w:rPr>
                    <w:t>生产车间北侧</w:t>
                  </w:r>
                  <w:r>
                    <w:rPr>
                      <w:rFonts w:hint="eastAsia" w:ascii="宋体" w:hAnsi="宋体"/>
                      <w:color w:val="auto"/>
                      <w:highlight w:val="none"/>
                    </w:rPr>
                    <w:t>，</w:t>
                  </w:r>
                  <w:r>
                    <w:rPr>
                      <w:rFonts w:hint="eastAsia" w:ascii="宋体" w:hAnsi="宋体"/>
                      <w:color w:val="auto"/>
                      <w:highlight w:val="none"/>
                      <w:lang w:val="en-US" w:eastAsia="zh-CN"/>
                    </w:rPr>
                    <w:t>占地面积</w:t>
                  </w:r>
                  <w:r>
                    <w:rPr>
                      <w:rFonts w:hint="eastAsia" w:cs="Times New Roman"/>
                      <w:color w:val="auto"/>
                      <w:highlight w:val="none"/>
                      <w:lang w:val="en-US" w:eastAsia="zh-CN"/>
                    </w:rPr>
                    <w:t>4715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rPr>
                    <w:t>，</w:t>
                  </w:r>
                  <w:r>
                    <w:rPr>
                      <w:rFonts w:hint="eastAsia"/>
                      <w:color w:val="auto"/>
                      <w:highlight w:val="none"/>
                      <w:lang w:val="en-US" w:eastAsia="zh-CN"/>
                    </w:rPr>
                    <w:t>尺寸115</w:t>
                  </w:r>
                  <w:r>
                    <w:rPr>
                      <w:rFonts w:hint="default" w:ascii="Arial" w:hAnsi="Arial" w:cs="Arial"/>
                      <w:color w:val="auto"/>
                      <w:highlight w:val="none"/>
                      <w:lang w:val="en-US" w:eastAsia="zh-CN"/>
                    </w:rPr>
                    <w:t>×</w:t>
                  </w:r>
                  <w:r>
                    <w:rPr>
                      <w:rFonts w:hint="eastAsia" w:cs="Times New Roman"/>
                      <w:color w:val="auto"/>
                      <w:highlight w:val="none"/>
                      <w:lang w:val="en-US" w:eastAsia="zh-CN"/>
                    </w:rPr>
                    <w:t>41</w:t>
                  </w:r>
                  <w:r>
                    <w:rPr>
                      <w:rFonts w:hint="eastAsia" w:ascii="Times New Roman" w:hAnsi="Times New Roman" w:cs="Times New Roman"/>
                      <w:color w:val="auto"/>
                      <w:highlight w:val="none"/>
                      <w:lang w:val="en-US" w:eastAsia="zh-CN"/>
                    </w:rPr>
                    <w:t>m</w:t>
                  </w:r>
                  <w:r>
                    <w:rPr>
                      <w:rFonts w:hint="eastAsia" w:cs="Times New Roman"/>
                      <w:color w:val="auto"/>
                      <w:highlight w:val="none"/>
                      <w:lang w:val="en-US" w:eastAsia="zh-CN"/>
                    </w:rPr>
                    <w:t>，</w:t>
                  </w:r>
                  <w:r>
                    <w:rPr>
                      <w:rFonts w:hint="eastAsia" w:ascii="宋体" w:hAnsi="宋体"/>
                      <w:color w:val="auto"/>
                      <w:highlight w:val="none"/>
                      <w:lang w:val="en-US" w:eastAsia="zh-CN"/>
                    </w:rPr>
                    <w:t>用于成品堆放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公用工程</w:t>
                  </w: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供水</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eastAsia" w:eastAsia="宋体"/>
                      <w:color w:val="auto"/>
                      <w:highlight w:val="none"/>
                      <w:lang w:val="en-US" w:eastAsia="zh-CN"/>
                    </w:rPr>
                  </w:pPr>
                  <w:r>
                    <w:rPr>
                      <w:rFonts w:hint="eastAsia"/>
                      <w:color w:val="auto"/>
                      <w:highlight w:val="none"/>
                      <w:lang w:val="en-US" w:eastAsia="zh-CN"/>
                    </w:rPr>
                    <w:t>由</w:t>
                  </w:r>
                  <w:r>
                    <w:rPr>
                      <w:rFonts w:hint="default"/>
                      <w:color w:val="auto"/>
                      <w:highlight w:val="none"/>
                    </w:rPr>
                    <w:t>园区已建给水管网</w:t>
                  </w:r>
                  <w:r>
                    <w:rPr>
                      <w:rFonts w:hint="eastAsia"/>
                      <w:color w:val="auto"/>
                      <w:highlight w:val="none"/>
                      <w:lang w:val="en-US" w:eastAsia="zh-CN"/>
                    </w:rPr>
                    <w:t>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供电</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eastAsia" w:eastAsia="宋体"/>
                      <w:color w:val="auto"/>
                      <w:highlight w:val="none"/>
                      <w:lang w:eastAsia="zh-CN"/>
                    </w:rPr>
                  </w:pPr>
                  <w:r>
                    <w:rPr>
                      <w:rFonts w:hint="default"/>
                      <w:color w:val="auto"/>
                      <w:highlight w:val="none"/>
                    </w:rPr>
                    <w:t>由</w:t>
                  </w:r>
                  <w:r>
                    <w:rPr>
                      <w:rFonts w:hint="eastAsia"/>
                      <w:color w:val="auto"/>
                      <w:highlight w:val="none"/>
                    </w:rPr>
                    <w:t>园区</w:t>
                  </w:r>
                  <w:r>
                    <w:rPr>
                      <w:rFonts w:hint="eastAsia"/>
                      <w:color w:val="auto"/>
                      <w:highlight w:val="none"/>
                      <w:lang w:val="en-US" w:eastAsia="zh-CN"/>
                    </w:rPr>
                    <w:t>电力网</w:t>
                  </w:r>
                  <w:r>
                    <w:rPr>
                      <w:rFonts w:hint="eastAsia"/>
                      <w:color w:val="auto"/>
                      <w:highlight w:val="none"/>
                    </w:rPr>
                    <w:t>引入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供暖</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lang w:val="en-US" w:eastAsia="zh-CN"/>
                    </w:rPr>
                    <w:t>生产车间采用电热风机供暖，办公区、宿舍</w:t>
                  </w:r>
                  <w:r>
                    <w:rPr>
                      <w:rFonts w:hint="eastAsia"/>
                      <w:color w:val="auto"/>
                      <w:highlight w:val="none"/>
                    </w:rPr>
                    <w:t>冬季电采暖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供汽</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eastAsia="宋体"/>
                      <w:color w:val="0000FF"/>
                      <w:highlight w:val="green"/>
                      <w:lang w:val="en-US" w:eastAsia="zh-CN"/>
                    </w:rPr>
                  </w:pPr>
                  <w:r>
                    <w:rPr>
                      <w:rFonts w:hint="eastAsia"/>
                      <w:color w:val="auto"/>
                      <w:highlight w:val="none"/>
                      <w:lang w:val="en-US" w:eastAsia="zh-CN"/>
                    </w:rPr>
                    <w:t>生产用蒸汽由园区蒸汽管网提供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restar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环保工程</w:t>
                  </w:r>
                </w:p>
              </w:tc>
              <w:tc>
                <w:tcPr>
                  <w:tcW w:w="681" w:type="pct"/>
                  <w:vMerge w:val="restart"/>
                  <w:tcBorders>
                    <w:tl2br w:val="nil"/>
                    <w:tr2bl w:val="nil"/>
                  </w:tcBorders>
                  <w:vAlign w:val="center"/>
                </w:tcPr>
                <w:p>
                  <w:pPr>
                    <w:pStyle w:val="15"/>
                    <w:keepNext w:val="0"/>
                    <w:keepLines w:val="0"/>
                    <w:suppressLineNumbers w:val="0"/>
                    <w:spacing w:before="0" w:beforeAutospacing="0" w:after="0" w:afterAutospacing="0"/>
                    <w:ind w:left="0" w:leftChars="0" w:right="0" w:righ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废气治理</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eastAsia="宋体"/>
                      <w:color w:val="auto"/>
                      <w:highlight w:val="none"/>
                      <w:lang w:val="en-US" w:eastAsia="zh-CN"/>
                    </w:rPr>
                  </w:pPr>
                  <w:r>
                    <w:rPr>
                      <w:rFonts w:hint="eastAsia"/>
                      <w:color w:val="auto"/>
                      <w:highlight w:val="none"/>
                      <w:lang w:val="en-US" w:eastAsia="zh-CN"/>
                    </w:rPr>
                    <w:t>采用全封闭砂石料堆场贮存散装物料，厂区地面硬化，</w:t>
                  </w:r>
                  <w:r>
                    <w:rPr>
                      <w:rFonts w:hint="eastAsia"/>
                      <w:color w:val="auto"/>
                      <w:highlight w:val="none"/>
                    </w:rPr>
                    <w:t>选用环保脱模剂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color w:val="auto"/>
                      <w:highlight w:val="none"/>
                      <w:lang w:val="en-US" w:eastAsia="zh-CN"/>
                    </w:rPr>
                  </w:pPr>
                  <w:r>
                    <w:rPr>
                      <w:rFonts w:hint="eastAsia"/>
                      <w:color w:val="auto"/>
                      <w:highlight w:val="none"/>
                      <w:lang w:val="en-US" w:eastAsia="zh-CN"/>
                    </w:rPr>
                    <w:t>粉料筒仓设置4台仓顶除尘器，搅拌站设置1台除尘器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废水治理</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eastAsia="宋体"/>
                      <w:color w:val="auto"/>
                      <w:highlight w:val="none"/>
                      <w:lang w:val="en-US" w:eastAsia="zh-CN"/>
                    </w:rPr>
                  </w:pPr>
                  <w:r>
                    <w:rPr>
                      <w:rFonts w:hint="default" w:eastAsia="宋体"/>
                      <w:color w:val="auto"/>
                      <w:highlight w:val="none"/>
                      <w:lang w:val="en-US" w:eastAsia="zh-CN"/>
                    </w:rPr>
                    <w:t>蒸养冷凝水</w:t>
                  </w:r>
                  <w:r>
                    <w:rPr>
                      <w:rFonts w:hint="eastAsia"/>
                      <w:color w:val="auto"/>
                      <w:highlight w:val="none"/>
                      <w:lang w:val="en-US" w:eastAsia="zh-CN"/>
                    </w:rPr>
                    <w:t>由8座防渗养护池收集，单座规格为16.5</w:t>
                  </w:r>
                  <w:r>
                    <w:rPr>
                      <w:rFonts w:hint="default" w:ascii="Times New Roman" w:hAnsi="Times New Roman" w:cs="Times New Roman"/>
                      <w:color w:val="auto"/>
                      <w:highlight w:val="none"/>
                      <w:lang w:val="en-US" w:eastAsia="zh-CN"/>
                    </w:rPr>
                    <w:t>×3.2×2.7m，</w:t>
                  </w:r>
                  <w:r>
                    <w:rPr>
                      <w:rFonts w:hint="eastAsia"/>
                      <w:color w:val="auto"/>
                      <w:highlight w:val="none"/>
                      <w:lang w:val="en-US" w:eastAsia="zh-CN"/>
                    </w:rPr>
                    <w:t>除产品带走外，其余冷凝水泵至混凝土搅拌工序</w:t>
                  </w:r>
                  <w:r>
                    <w:rPr>
                      <w:rFonts w:hint="default" w:eastAsia="宋体"/>
                      <w:color w:val="auto"/>
                      <w:highlight w:val="none"/>
                      <w:lang w:val="en-US" w:eastAsia="zh-CN"/>
                    </w:rPr>
                    <w:t>循环</w:t>
                  </w:r>
                  <w:r>
                    <w:rPr>
                      <w:rFonts w:hint="eastAsia"/>
                      <w:color w:val="auto"/>
                      <w:highlight w:val="none"/>
                      <w:lang w:val="en-US" w:eastAsia="zh-CN"/>
                    </w:rPr>
                    <w:t>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噪声治理</w:t>
                  </w:r>
                </w:p>
              </w:tc>
              <w:tc>
                <w:tcPr>
                  <w:tcW w:w="3656" w:type="pct"/>
                  <w:tcBorders>
                    <w:tl2br w:val="nil"/>
                    <w:tr2bl w:val="nil"/>
                  </w:tcBorders>
                  <w:vAlign w:val="center"/>
                </w:tcPr>
                <w:p>
                  <w:pPr>
                    <w:pStyle w:val="15"/>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采用低噪声设备与工艺，并采取隔声、减震等措施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固废治理</w:t>
                  </w:r>
                </w:p>
              </w:tc>
              <w:tc>
                <w:tcPr>
                  <w:tcW w:w="3656"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cs="Times New Roman"/>
                      <w:color w:val="auto"/>
                      <w:highlight w:val="none"/>
                      <w:lang w:val="en-US" w:eastAsia="zh-CN"/>
                    </w:rPr>
                  </w:pPr>
                  <w:r>
                    <w:rPr>
                      <w:rFonts w:hint="default" w:ascii="Times New Roman" w:hAnsi="Times New Roman" w:cs="Times New Roman"/>
                      <w:color w:val="auto"/>
                      <w:highlight w:val="none"/>
                    </w:rPr>
                    <w:t>一般固废</w:t>
                  </w:r>
                  <w:r>
                    <w:rPr>
                      <w:rFonts w:hint="eastAsia" w:cs="Times New Roman"/>
                      <w:color w:val="auto"/>
                      <w:highlight w:val="none"/>
                      <w:lang w:val="en-US" w:eastAsia="zh-CN"/>
                    </w:rPr>
                    <w:t>废钢材等暂存于车间西侧废弃堆场，外售处理，</w:t>
                  </w:r>
                </w:p>
                <w:p>
                  <w:pPr>
                    <w:keepNext w:val="0"/>
                    <w:keepLines w:val="0"/>
                    <w:suppressLineNumbers w:val="0"/>
                    <w:spacing w:before="0" w:beforeAutospacing="0" w:after="0" w:afterAutospacing="0" w:line="240" w:lineRule="auto"/>
                    <w:ind w:left="0" w:right="0" w:firstLine="0" w:firstLineChars="0"/>
                    <w:jc w:val="left"/>
                    <w:rPr>
                      <w:rFonts w:hint="default"/>
                      <w:color w:val="auto"/>
                      <w:highlight w:val="none"/>
                      <w:lang w:val="en-US"/>
                    </w:rPr>
                  </w:pPr>
                  <w:r>
                    <w:rPr>
                      <w:rFonts w:hint="eastAsia" w:cs="Times New Roman"/>
                      <w:color w:val="000000" w:themeColor="text1"/>
                      <w:highlight w:val="none"/>
                      <w:lang w:val="en-US" w:eastAsia="zh-CN"/>
                      <w14:textFill>
                        <w14:solidFill>
                          <w14:schemeClr w14:val="tx1"/>
                        </w14:solidFill>
                      </w14:textFill>
                    </w:rPr>
                    <w:t>设置危废贮存间，废矿物油集中收集，定期委托资质单位处理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3656"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color w:val="auto"/>
                      <w:highlight w:val="none"/>
                    </w:rPr>
                  </w:pPr>
                  <w:r>
                    <w:rPr>
                      <w:rFonts w:hint="eastAsia"/>
                      <w:color w:val="auto"/>
                      <w:highlight w:val="none"/>
                      <w:lang w:val="en-US" w:eastAsia="zh-CN"/>
                    </w:rPr>
                    <w:t>办公及宿舍区配置垃圾收集箱，委托园区环卫处理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2" w:type="pct"/>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681" w:type="pct"/>
                  <w:tcBorders>
                    <w:tl2br w:val="nil"/>
                    <w:tr2bl w:val="nil"/>
                  </w:tcBorders>
                  <w:vAlign w:val="center"/>
                </w:tcPr>
                <w:p>
                  <w:pPr>
                    <w:pStyle w:val="15"/>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风险防范</w:t>
                  </w:r>
                </w:p>
              </w:tc>
              <w:tc>
                <w:tcPr>
                  <w:tcW w:w="3656"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color w:val="auto"/>
                      <w:highlight w:val="none"/>
                      <w:lang w:val="en-US" w:eastAsia="zh-CN"/>
                    </w:rPr>
                  </w:pPr>
                  <w:r>
                    <w:rPr>
                      <w:rFonts w:hint="eastAsia"/>
                      <w:color w:val="auto"/>
                      <w:highlight w:val="none"/>
                    </w:rPr>
                    <w:t>编制应急预案、配备应急物资</w:t>
                  </w:r>
                  <w:r>
                    <w:rPr>
                      <w:rFonts w:hint="eastAsia"/>
                      <w:color w:val="auto"/>
                      <w:highlight w:val="none"/>
                      <w:lang w:val="en-US" w:eastAsia="zh-CN"/>
                    </w:rPr>
                    <w:t>及人员，加强培训及演练</w:t>
                  </w:r>
                </w:p>
              </w:tc>
            </w:tr>
          </w:tbl>
          <w:p>
            <w:pPr>
              <w:keepNext w:val="0"/>
              <w:keepLines w:val="0"/>
              <w:suppressLineNumbers w:val="0"/>
              <w:spacing w:before="0" w:beforeAutospacing="0" w:after="0" w:afterAutospacing="0"/>
              <w:ind w:left="0" w:right="0" w:firstLine="0" w:firstLineChars="0"/>
              <w:rPr>
                <w:rFonts w:hint="default"/>
              </w:rPr>
            </w:pPr>
            <w:r>
              <w:rPr>
                <w:rFonts w:hint="eastAsia"/>
              </w:rPr>
              <w:t>2</w:t>
            </w:r>
            <w:r>
              <w:rPr>
                <w:rFonts w:hint="default"/>
              </w:rPr>
              <w:t>、主要产品</w:t>
            </w:r>
            <w:r>
              <w:rPr>
                <w:rFonts w:hint="eastAsia"/>
              </w:rPr>
              <w:t>规模及方案</w:t>
            </w:r>
          </w:p>
          <w:p>
            <w:pPr>
              <w:keepNext w:val="0"/>
              <w:keepLines w:val="0"/>
              <w:suppressLineNumbers w:val="0"/>
              <w:autoSpaceDE w:val="0"/>
              <w:autoSpaceDN w:val="0"/>
              <w:spacing w:before="0" w:beforeAutospacing="0" w:after="0" w:afterAutospacing="0"/>
              <w:ind w:left="0" w:right="0" w:firstLine="420"/>
              <w:rPr>
                <w:rFonts w:hint="default"/>
              </w:rPr>
            </w:pPr>
            <w:r>
              <w:rPr>
                <w:rFonts w:hint="eastAsia"/>
              </w:rPr>
              <w:t>项目主要产品情况见下表</w:t>
            </w:r>
            <w:r>
              <w:rPr>
                <w:rFonts w:hint="eastAsia"/>
                <w:lang w:val="en-US" w:eastAsia="zh-CN"/>
              </w:rPr>
              <w:t>3</w:t>
            </w:r>
            <w:r>
              <w:rPr>
                <w:rFonts w:hint="default"/>
              </w:rPr>
              <w:t>。</w:t>
            </w:r>
          </w:p>
          <w:p>
            <w:pPr>
              <w:keepNext w:val="0"/>
              <w:keepLines w:val="0"/>
              <w:suppressLineNumbers w:val="0"/>
              <w:spacing w:before="0" w:beforeAutospacing="0" w:after="0" w:afterAutospacing="0" w:line="240" w:lineRule="auto"/>
              <w:ind w:left="0" w:right="0" w:firstLine="420"/>
              <w:rPr>
                <w:rFonts w:hint="default"/>
              </w:rPr>
            </w:pPr>
            <w:r>
              <w:rPr>
                <w:rFonts w:hint="default"/>
              </w:rPr>
              <w:t>表</w:t>
            </w:r>
            <w:r>
              <w:rPr>
                <w:rFonts w:hint="eastAsia"/>
                <w:lang w:val="en-US" w:eastAsia="zh-CN"/>
              </w:rPr>
              <w:t>3</w:t>
            </w:r>
            <w:r>
              <w:rPr>
                <w:rFonts w:hint="default"/>
              </w:rPr>
              <w:t xml:space="preserve">        </w:t>
            </w:r>
            <w:r>
              <w:rPr>
                <w:rFonts w:hint="eastAsia"/>
              </w:rPr>
              <w:t xml:space="preserve">                   产品方案</w:t>
            </w:r>
            <w:r>
              <w:rPr>
                <w:rFonts w:hint="default"/>
              </w:rPr>
              <w:t>表</w:t>
            </w:r>
          </w:p>
          <w:tbl>
            <w:tblPr>
              <w:tblStyle w:val="1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857"/>
              <w:gridCol w:w="3358"/>
              <w:gridCol w:w="20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序号</w:t>
                  </w:r>
                </w:p>
              </w:tc>
              <w:tc>
                <w:tcPr>
                  <w:tcW w:w="111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产品名称</w:t>
                  </w:r>
                </w:p>
              </w:tc>
              <w:tc>
                <w:tcPr>
                  <w:tcW w:w="201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1250"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产量（t/a）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1</w:t>
                  </w:r>
                </w:p>
              </w:tc>
              <w:tc>
                <w:tcPr>
                  <w:tcW w:w="111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光伏桩</w:t>
                  </w:r>
                </w:p>
              </w:tc>
              <w:tc>
                <w:tcPr>
                  <w:tcW w:w="2013"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Φ300-400mm（订单制生产）</w:t>
                  </w:r>
                </w:p>
              </w:tc>
              <w:tc>
                <w:tcPr>
                  <w:tcW w:w="1250" w:type="pct"/>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0万米</w:t>
                  </w:r>
                </w:p>
              </w:tc>
            </w:tr>
          </w:tbl>
          <w:p>
            <w:pPr>
              <w:keepNext w:val="0"/>
              <w:keepLines w:val="0"/>
              <w:suppressLineNumbers w:val="0"/>
              <w:spacing w:before="0" w:beforeAutospacing="0" w:after="0" w:afterAutospacing="0"/>
              <w:ind w:left="0" w:right="0" w:firstLine="0" w:firstLineChars="0"/>
              <w:rPr>
                <w:rFonts w:hint="default"/>
              </w:rPr>
            </w:pPr>
            <w:r>
              <w:rPr>
                <w:rFonts w:hint="eastAsia"/>
              </w:rPr>
              <w:t>3</w:t>
            </w:r>
            <w:r>
              <w:rPr>
                <w:rFonts w:hint="default"/>
              </w:rPr>
              <w:t>、主要生产设备</w:t>
            </w:r>
          </w:p>
          <w:p>
            <w:pPr>
              <w:keepNext w:val="0"/>
              <w:keepLines w:val="0"/>
              <w:suppressLineNumbers w:val="0"/>
              <w:spacing w:before="0" w:beforeAutospacing="0" w:after="0" w:afterAutospacing="0"/>
              <w:ind w:left="0" w:right="0" w:firstLine="420"/>
              <w:rPr>
                <w:rFonts w:hint="default"/>
                <w:lang w:val="zh-CN"/>
              </w:rPr>
            </w:pPr>
            <w:r>
              <w:rPr>
                <w:rFonts w:hint="eastAsia"/>
              </w:rPr>
              <w:t>本项目</w:t>
            </w:r>
            <w:r>
              <w:rPr>
                <w:rFonts w:hint="default"/>
              </w:rPr>
              <w:t>主要设备</w:t>
            </w:r>
            <w:r>
              <w:rPr>
                <w:rFonts w:hint="eastAsia"/>
              </w:rPr>
              <w:t>及设施</w:t>
            </w:r>
            <w:r>
              <w:rPr>
                <w:rFonts w:hint="default"/>
              </w:rPr>
              <w:t>见表</w:t>
            </w:r>
            <w:r>
              <w:rPr>
                <w:rFonts w:hint="eastAsia"/>
                <w:lang w:val="en-US" w:eastAsia="zh-CN"/>
              </w:rPr>
              <w:t>4</w:t>
            </w:r>
            <w:r>
              <w:rPr>
                <w:rFonts w:hint="default"/>
                <w:lang w:val="zh-CN"/>
              </w:rPr>
              <w:t>。</w:t>
            </w:r>
          </w:p>
          <w:p>
            <w:pPr>
              <w:keepNext w:val="0"/>
              <w:keepLines w:val="0"/>
              <w:suppressLineNumbers w:val="0"/>
              <w:autoSpaceDE w:val="0"/>
              <w:autoSpaceDN w:val="0"/>
              <w:spacing w:before="0" w:beforeAutospacing="0" w:after="0" w:afterAutospacing="0" w:line="240" w:lineRule="auto"/>
              <w:ind w:left="0" w:right="0" w:firstLine="420"/>
              <w:rPr>
                <w:rFonts w:hint="default"/>
                <w:lang w:val="zh-CN"/>
              </w:rPr>
            </w:pPr>
            <w:r>
              <w:rPr>
                <w:rFonts w:hint="default"/>
                <w:lang w:val="zh-CN"/>
              </w:rPr>
              <w:t>表</w:t>
            </w:r>
            <w:r>
              <w:rPr>
                <w:rFonts w:hint="eastAsia"/>
                <w:lang w:val="en-US" w:eastAsia="zh-CN"/>
              </w:rPr>
              <w:t>4</w:t>
            </w:r>
            <w:r>
              <w:rPr>
                <w:rFonts w:hint="eastAsia"/>
              </w:rPr>
              <w:t xml:space="preserve">    </w:t>
            </w:r>
            <w:r>
              <w:rPr>
                <w:rFonts w:hint="default"/>
                <w:lang w:val="zh-CN"/>
              </w:rPr>
              <w:t xml:space="preserve"> </w:t>
            </w:r>
            <w:r>
              <w:rPr>
                <w:rFonts w:hint="eastAsia"/>
              </w:rPr>
              <w:t xml:space="preserve">                  </w:t>
            </w:r>
            <w:r>
              <w:rPr>
                <w:rFonts w:hint="eastAsia"/>
                <w:lang w:val="en-US" w:eastAsia="zh-CN"/>
              </w:rPr>
              <w:t xml:space="preserve">    </w:t>
            </w:r>
            <w:r>
              <w:rPr>
                <w:rFonts w:hint="default"/>
                <w:lang w:val="zh-CN"/>
              </w:rPr>
              <w:t>设备一览表</w:t>
            </w:r>
          </w:p>
          <w:tbl>
            <w:tblPr>
              <w:tblStyle w:val="10"/>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22"/>
              <w:gridCol w:w="2504"/>
              <w:gridCol w:w="1136"/>
              <w:gridCol w:w="1458"/>
              <w:gridCol w:w="23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序号</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设备名称</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数量</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单位</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型号/规格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绕丝机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对焊机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3</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切断墩头机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4</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自动编笼滚焊机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5</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钢带精切机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6</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皮带运输机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7</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卷圆机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8</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自动焊接机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9</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压型机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10</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免焊机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11</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脱模剂搅拌桶</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12</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布料车</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4</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13</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分料平台及分料车</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14</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平移车</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6</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15</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立式搅拌机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HZN120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16</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张拉机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17</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离心机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5</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18</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空气压缩机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19</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冷干机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20</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航车</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5</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QE8+8-22.5A6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21</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航车</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LDE3+3-22.5A4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22</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夹具</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4</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24</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龙门吊</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MHE5+5-25A3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25</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卷扬机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6</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26</w:t>
                  </w:r>
                </w:p>
              </w:tc>
              <w:tc>
                <w:tcPr>
                  <w:tcW w:w="150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卷扬机</w:t>
                  </w:r>
                </w:p>
              </w:tc>
              <w:tc>
                <w:tcPr>
                  <w:tcW w:w="681"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1</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exact"/>
              </w:trPr>
              <w:tc>
                <w:tcPr>
                  <w:tcW w:w="553"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lang w:val="en-US" w:eastAsia="zh-CN"/>
                    </w:rPr>
                  </w:pPr>
                  <w:r>
                    <w:rPr>
                      <w:rFonts w:hint="eastAsia"/>
                      <w:sz w:val="21"/>
                      <w:szCs w:val="21"/>
                      <w:lang w:val="en-US" w:eastAsia="zh-CN"/>
                    </w:rPr>
                    <w:t>27</w:t>
                  </w:r>
                </w:p>
              </w:tc>
              <w:tc>
                <w:tcPr>
                  <w:tcW w:w="2466" w:type="dxa"/>
                  <w:tcBorders>
                    <w:tl2br w:val="nil"/>
                    <w:tr2bl w:val="nil"/>
                  </w:tcBorders>
                  <w:shd w:val="clear" w:color="auto" w:fill="auto"/>
                  <w:noWrap/>
                  <w:tcMar>
                    <w:top w:w="15" w:type="dxa"/>
                    <w:left w:w="15" w:type="dxa"/>
                    <w:right w:w="15" w:type="dxa"/>
                  </w:tcMar>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锯桩机</w:t>
                  </w:r>
                </w:p>
              </w:tc>
              <w:tc>
                <w:tcPr>
                  <w:tcW w:w="1119" w:type="dxa"/>
                  <w:tcBorders>
                    <w:tl2br w:val="nil"/>
                    <w:tr2bl w:val="nil"/>
                  </w:tcBorders>
                  <w:shd w:val="clear" w:color="auto" w:fill="auto"/>
                  <w:noWrap/>
                  <w:tcMar>
                    <w:top w:w="15" w:type="dxa"/>
                    <w:left w:w="15" w:type="dxa"/>
                    <w:right w:w="15" w:type="dxa"/>
                  </w:tcMar>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4</w:t>
                  </w:r>
                </w:p>
              </w:tc>
              <w:tc>
                <w:tcPr>
                  <w:tcW w:w="874"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lang w:val="en-US" w:eastAsia="zh-CN"/>
                    </w:rPr>
                  </w:pPr>
                  <w:r>
                    <w:rPr>
                      <w:rFonts w:hint="eastAsia"/>
                      <w:sz w:val="21"/>
                      <w:szCs w:val="21"/>
                      <w:lang w:val="en-US" w:eastAsia="zh-CN"/>
                    </w:rPr>
                    <w:t>台</w:t>
                  </w:r>
                </w:p>
              </w:tc>
              <w:tc>
                <w:tcPr>
                  <w:tcW w:w="1389" w:type="pct"/>
                  <w:tcBorders>
                    <w:tl2br w:val="nil"/>
                    <w:tr2bl w:val="nil"/>
                  </w:tcBorders>
                  <w:shd w:val="clear" w:color="auto" w:fill="auto"/>
                  <w:noWrap/>
                  <w:tcMar>
                    <w:top w:w="15" w:type="dxa"/>
                    <w:left w:w="15" w:type="dxa"/>
                    <w:right w:w="15" w:type="dxa"/>
                  </w:tcMar>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lang w:val="en-US" w:eastAsia="zh-CN"/>
                    </w:rPr>
                  </w:pPr>
                  <w:r>
                    <w:rPr>
                      <w:rFonts w:hint="eastAsia"/>
                      <w:sz w:val="21"/>
                      <w:szCs w:val="21"/>
                      <w:lang w:val="en-US" w:eastAsia="zh-CN"/>
                    </w:rPr>
                    <w:t>/</w:t>
                  </w:r>
                </w:p>
              </w:tc>
            </w:tr>
          </w:tbl>
          <w:p>
            <w:pPr>
              <w:keepNext w:val="0"/>
              <w:keepLines w:val="0"/>
              <w:suppressLineNumbers w:val="0"/>
              <w:spacing w:before="0" w:beforeAutospacing="0" w:after="0" w:afterAutospacing="0"/>
              <w:ind w:left="0" w:right="0" w:firstLine="0" w:firstLineChars="0"/>
              <w:rPr>
                <w:rFonts w:hint="default"/>
              </w:rPr>
            </w:pPr>
            <w:r>
              <w:rPr>
                <w:rFonts w:hint="eastAsia"/>
              </w:rPr>
              <w:t>4、原辅料、能源使用情况</w:t>
            </w:r>
          </w:p>
          <w:p>
            <w:pPr>
              <w:keepNext w:val="0"/>
              <w:keepLines w:val="0"/>
              <w:suppressLineNumbers w:val="0"/>
              <w:spacing w:before="0" w:beforeAutospacing="0" w:after="0" w:afterAutospacing="0"/>
              <w:ind w:left="0" w:right="0" w:firstLine="420"/>
              <w:rPr>
                <w:rFonts w:hint="default"/>
              </w:rPr>
            </w:pPr>
            <w:r>
              <w:rPr>
                <w:rFonts w:hint="eastAsia"/>
              </w:rPr>
              <w:t>本项目主要原辅材料名称及用量见表</w:t>
            </w:r>
            <w:r>
              <w:rPr>
                <w:rFonts w:hint="eastAsia"/>
                <w:lang w:val="en-US" w:eastAsia="zh-CN"/>
              </w:rPr>
              <w:t>5</w:t>
            </w:r>
            <w:r>
              <w:rPr>
                <w:rFonts w:hint="eastAsia"/>
              </w:rPr>
              <w:t>。</w:t>
            </w:r>
          </w:p>
          <w:p>
            <w:pPr>
              <w:keepNext w:val="0"/>
              <w:keepLines w:val="0"/>
              <w:suppressLineNumbers w:val="0"/>
              <w:spacing w:before="0" w:beforeAutospacing="0" w:after="0" w:afterAutospacing="0" w:line="240" w:lineRule="auto"/>
              <w:ind w:left="0" w:right="0" w:firstLine="420"/>
              <w:rPr>
                <w:rFonts w:hint="default"/>
                <w:color w:val="auto"/>
                <w:highlight w:val="none"/>
                <w:lang w:val="zh-CN"/>
              </w:rPr>
            </w:pPr>
          </w:p>
          <w:p>
            <w:pPr>
              <w:keepNext w:val="0"/>
              <w:keepLines w:val="0"/>
              <w:suppressLineNumbers w:val="0"/>
              <w:spacing w:before="0" w:beforeAutospacing="0" w:after="0" w:afterAutospacing="0" w:line="240" w:lineRule="auto"/>
              <w:ind w:left="0" w:right="0" w:firstLine="420"/>
              <w:rPr>
                <w:rFonts w:hint="default"/>
                <w:color w:val="auto"/>
                <w:highlight w:val="none"/>
                <w:lang w:val="zh-CN"/>
              </w:rPr>
            </w:pPr>
            <w:r>
              <w:rPr>
                <w:rFonts w:hint="default"/>
                <w:color w:val="auto"/>
                <w:highlight w:val="none"/>
                <w:lang w:val="zh-CN"/>
              </w:rPr>
              <w:t>表</w:t>
            </w:r>
            <w:r>
              <w:rPr>
                <w:rFonts w:hint="eastAsia"/>
                <w:color w:val="auto"/>
                <w:highlight w:val="none"/>
                <w:lang w:val="en-US" w:eastAsia="zh-CN"/>
              </w:rPr>
              <w:t>5</w:t>
            </w:r>
            <w:r>
              <w:rPr>
                <w:rFonts w:hint="eastAsia"/>
                <w:color w:val="auto"/>
                <w:highlight w:val="none"/>
              </w:rPr>
              <w:t xml:space="preserve">    </w:t>
            </w:r>
            <w:r>
              <w:rPr>
                <w:rFonts w:hint="default"/>
                <w:color w:val="auto"/>
                <w:highlight w:val="none"/>
                <w:lang w:val="zh-CN"/>
              </w:rPr>
              <w:t xml:space="preserve"> </w:t>
            </w:r>
            <w:r>
              <w:rPr>
                <w:rFonts w:hint="eastAsia"/>
                <w:color w:val="auto"/>
                <w:highlight w:val="none"/>
              </w:rPr>
              <w:t xml:space="preserve">          </w:t>
            </w:r>
            <w:r>
              <w:rPr>
                <w:rFonts w:hint="default"/>
                <w:color w:val="auto"/>
                <w:highlight w:val="none"/>
                <w:lang w:val="zh-CN"/>
              </w:rPr>
              <w:t>项目主要原辅材料</w:t>
            </w:r>
            <w:r>
              <w:rPr>
                <w:rFonts w:hint="eastAsia"/>
                <w:color w:val="auto"/>
                <w:highlight w:val="none"/>
                <w:lang w:val="zh-CN"/>
              </w:rPr>
              <w:t>、</w:t>
            </w:r>
            <w:r>
              <w:rPr>
                <w:rFonts w:hint="eastAsia"/>
                <w:color w:val="auto"/>
                <w:highlight w:val="none"/>
              </w:rPr>
              <w:t>能源</w:t>
            </w:r>
            <w:r>
              <w:rPr>
                <w:rFonts w:hint="default"/>
                <w:color w:val="auto"/>
                <w:highlight w:val="none"/>
                <w:lang w:val="zh-CN"/>
              </w:rPr>
              <w:t>消耗情况一览表</w:t>
            </w:r>
          </w:p>
          <w:tbl>
            <w:tblPr>
              <w:tblStyle w:val="10"/>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511"/>
              <w:gridCol w:w="1449"/>
              <w:gridCol w:w="45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zh-CN"/>
                    </w:rPr>
                  </w:pPr>
                  <w:r>
                    <w:rPr>
                      <w:rFonts w:hint="default"/>
                      <w:color w:val="auto"/>
                      <w:highlight w:val="none"/>
                      <w:lang w:val="zh-CN"/>
                    </w:rPr>
                    <w:t>序号</w:t>
                  </w:r>
                </w:p>
              </w:tc>
              <w:tc>
                <w:tcPr>
                  <w:tcW w:w="906"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zh-CN"/>
                    </w:rPr>
                  </w:pPr>
                  <w:r>
                    <w:rPr>
                      <w:rFonts w:hint="default"/>
                      <w:color w:val="auto"/>
                      <w:highlight w:val="none"/>
                      <w:lang w:val="zh-CN"/>
                    </w:rPr>
                    <w:t>名称</w:t>
                  </w:r>
                </w:p>
              </w:tc>
              <w:tc>
                <w:tcPr>
                  <w:tcW w:w="86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zh-CN"/>
                    </w:rPr>
                  </w:pPr>
                  <w:r>
                    <w:rPr>
                      <w:rFonts w:hint="default"/>
                      <w:color w:val="auto"/>
                      <w:highlight w:val="none"/>
                      <w:lang w:val="zh-CN"/>
                    </w:rPr>
                    <w:t>数量</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auto"/>
                      <w:highlight w:val="none"/>
                      <w:lang w:val="zh-CN" w:eastAsia="zh-CN"/>
                    </w:rPr>
                  </w:pPr>
                  <w:r>
                    <w:rPr>
                      <w:rFonts w:hint="eastAsia"/>
                      <w:color w:val="auto"/>
                      <w:highlight w:val="none"/>
                      <w:lang w:val="en-US"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zh-CN"/>
                    </w:rPr>
                  </w:pPr>
                  <w:r>
                    <w:rPr>
                      <w:rFonts w:hint="default"/>
                      <w:color w:val="auto"/>
                      <w:highlight w:val="none"/>
                      <w:lang w:val="zh-CN"/>
                    </w:rPr>
                    <w:t>1</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钢棒</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zh-CN"/>
                    </w:rPr>
                  </w:pPr>
                  <w:r>
                    <w:rPr>
                      <w:rFonts w:hint="eastAsia"/>
                      <w:color w:val="auto"/>
                      <w:highlight w:val="none"/>
                      <w:lang w:val="en-US" w:eastAsia="zh-CN"/>
                    </w:rPr>
                    <w:t>5560t/a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lang w:val="zh-CN"/>
                    </w:rPr>
                  </w:pPr>
                  <w:r>
                    <w:rPr>
                      <w:rFonts w:hint="eastAsia"/>
                      <w:color w:val="auto"/>
                      <w:highlight w:val="none"/>
                    </w:rPr>
                    <w:t>2</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冷拔丝</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1180t/a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highlight w:val="none"/>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auto"/>
                      <w:highlight w:val="none"/>
                    </w:rPr>
                  </w:pPr>
                  <w:r>
                    <w:rPr>
                      <w:rFonts w:hint="eastAsia"/>
                      <w:color w:val="auto"/>
                      <w:highlight w:val="none"/>
                    </w:rPr>
                    <w:t>3</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带钢</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200t/a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highlight w:val="none"/>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rPr>
                    <w:t>4</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端板</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30万片/a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rPr>
                    <w:t>5</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水泥</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16000t/a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rPr>
                  </w:pPr>
                  <w:r>
                    <w:rPr>
                      <w:rFonts w:hint="eastAsia"/>
                      <w:color w:val="auto"/>
                      <w:highlight w:val="none"/>
                      <w:lang w:val="en-US" w:eastAsia="zh-CN"/>
                    </w:rPr>
                    <w:t>外购，搅拌站2台200吨筒仓贮存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rPr>
                    <w:t>6</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矿粉</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1800t/a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rPr>
                  </w:pPr>
                  <w:r>
                    <w:rPr>
                      <w:rFonts w:hint="eastAsia"/>
                      <w:color w:val="auto"/>
                      <w:highlight w:val="none"/>
                      <w:lang w:val="en-US" w:eastAsia="zh-CN"/>
                    </w:rPr>
                    <w:t>外购，1台100吨筒仓贮存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rPr>
                    <w:t>7</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硅粉</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2000t/a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rPr>
                  </w:pPr>
                  <w:r>
                    <w:rPr>
                      <w:rFonts w:hint="eastAsia"/>
                      <w:color w:val="auto"/>
                      <w:highlight w:val="none"/>
                      <w:lang w:val="en-US" w:eastAsia="zh-CN"/>
                    </w:rPr>
                    <w:t>外购，1台100吨筒仓贮存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rPr>
                    <w:t>8</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水洗砂</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48320t/a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rPr>
                  </w:pPr>
                  <w:r>
                    <w:rPr>
                      <w:rFonts w:hint="eastAsia"/>
                      <w:color w:val="auto"/>
                      <w:highlight w:val="none"/>
                      <w:lang w:val="en-US" w:eastAsia="zh-CN"/>
                    </w:rPr>
                    <w:t>年用量30200m</w:t>
                  </w:r>
                  <w:r>
                    <w:rPr>
                      <w:rFonts w:hint="eastAsia"/>
                      <w:color w:val="auto"/>
                      <w:highlight w:val="none"/>
                      <w:vertAlign w:val="superscript"/>
                      <w:lang w:val="en-US" w:eastAsia="zh-CN"/>
                    </w:rPr>
                    <w:t>3</w:t>
                  </w:r>
                  <w:r>
                    <w:rPr>
                      <w:rFonts w:hint="eastAsia"/>
                      <w:color w:val="auto"/>
                      <w:highlight w:val="none"/>
                      <w:vertAlign w:val="baseline"/>
                      <w:lang w:val="en-US" w:eastAsia="zh-CN"/>
                    </w:rPr>
                    <w:t>，密度约1.6t/m</w:t>
                  </w:r>
                  <w:r>
                    <w:rPr>
                      <w:rFonts w:hint="eastAsia"/>
                      <w:color w:val="auto"/>
                      <w:highlight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highlight w:val="none"/>
                    </w:rPr>
                  </w:pPr>
                  <w:r>
                    <w:rPr>
                      <w:rFonts w:hint="eastAsia"/>
                      <w:color w:val="auto"/>
                      <w:highlight w:val="none"/>
                      <w:lang w:val="en-US" w:eastAsia="zh-CN"/>
                    </w:rPr>
                    <w:t>9</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5-10mm碎石</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13860t/a</w:t>
                  </w:r>
                </w:p>
              </w:tc>
              <w:tc>
                <w:tcPr>
                  <w:tcW w:w="2745"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auto"/>
                      <w:highlight w:val="none"/>
                    </w:rPr>
                  </w:pPr>
                  <w:r>
                    <w:rPr>
                      <w:rFonts w:hint="eastAsia"/>
                      <w:color w:val="auto"/>
                      <w:highlight w:val="none"/>
                      <w:lang w:val="en-US" w:eastAsia="zh-CN"/>
                    </w:rPr>
                    <w:t>年用量7700m</w:t>
                  </w:r>
                  <w:r>
                    <w:rPr>
                      <w:rFonts w:hint="eastAsia"/>
                      <w:color w:val="auto"/>
                      <w:highlight w:val="none"/>
                      <w:vertAlign w:val="superscript"/>
                      <w:lang w:val="en-US" w:eastAsia="zh-CN"/>
                    </w:rPr>
                    <w:t>3</w:t>
                  </w:r>
                  <w:r>
                    <w:rPr>
                      <w:rFonts w:hint="eastAsia"/>
                      <w:color w:val="auto"/>
                      <w:highlight w:val="none"/>
                      <w:vertAlign w:val="baseline"/>
                      <w:lang w:val="en-US" w:eastAsia="zh-CN"/>
                    </w:rPr>
                    <w:t>，密度约1.8t/m</w:t>
                  </w:r>
                  <w:r>
                    <w:rPr>
                      <w:rFonts w:hint="eastAsia"/>
                      <w:color w:val="auto"/>
                      <w:highlight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10</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10-15mm碎石</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17400t/a</w:t>
                  </w:r>
                </w:p>
              </w:tc>
              <w:tc>
                <w:tcPr>
                  <w:tcW w:w="2745"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auto"/>
                      <w:highlight w:val="none"/>
                    </w:rPr>
                  </w:pPr>
                  <w:r>
                    <w:rPr>
                      <w:rFonts w:hint="eastAsia"/>
                      <w:color w:val="auto"/>
                      <w:highlight w:val="none"/>
                      <w:lang w:val="en-US" w:eastAsia="zh-CN"/>
                    </w:rPr>
                    <w:t>年用量11600m</w:t>
                  </w:r>
                  <w:r>
                    <w:rPr>
                      <w:rFonts w:hint="eastAsia"/>
                      <w:color w:val="auto"/>
                      <w:highlight w:val="none"/>
                      <w:vertAlign w:val="superscript"/>
                      <w:lang w:val="en-US" w:eastAsia="zh-CN"/>
                    </w:rPr>
                    <w:t>3</w:t>
                  </w:r>
                  <w:r>
                    <w:rPr>
                      <w:rFonts w:hint="eastAsia"/>
                      <w:color w:val="auto"/>
                      <w:highlight w:val="none"/>
                      <w:vertAlign w:val="baseline"/>
                      <w:lang w:val="en-US" w:eastAsia="zh-CN"/>
                    </w:rPr>
                    <w:t>，密度约1.5t/m</w:t>
                  </w:r>
                  <w:r>
                    <w:rPr>
                      <w:rFonts w:hint="eastAsia"/>
                      <w:color w:val="auto"/>
                      <w:highlight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11</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15-20mm碎石</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28000t/a</w:t>
                  </w:r>
                </w:p>
              </w:tc>
              <w:tc>
                <w:tcPr>
                  <w:tcW w:w="2745"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eastAsia="宋体"/>
                      <w:color w:val="auto"/>
                      <w:highlight w:val="none"/>
                      <w:lang w:val="en-US" w:eastAsia="zh-CN"/>
                    </w:rPr>
                  </w:pPr>
                  <w:r>
                    <w:rPr>
                      <w:rFonts w:hint="eastAsia"/>
                      <w:color w:val="auto"/>
                      <w:highlight w:val="none"/>
                      <w:lang w:val="en-US" w:eastAsia="zh-CN"/>
                    </w:rPr>
                    <w:t>年用量20000m</w:t>
                  </w:r>
                  <w:r>
                    <w:rPr>
                      <w:rFonts w:hint="eastAsia"/>
                      <w:color w:val="auto"/>
                      <w:highlight w:val="none"/>
                      <w:vertAlign w:val="superscript"/>
                      <w:lang w:val="en-US" w:eastAsia="zh-CN"/>
                    </w:rPr>
                    <w:t>3</w:t>
                  </w:r>
                  <w:r>
                    <w:rPr>
                      <w:rFonts w:hint="eastAsia"/>
                      <w:color w:val="auto"/>
                      <w:highlight w:val="none"/>
                      <w:vertAlign w:val="baseline"/>
                      <w:lang w:val="en-US" w:eastAsia="zh-CN"/>
                    </w:rPr>
                    <w:t>，密度约1.4t/m</w:t>
                  </w:r>
                  <w:r>
                    <w:rPr>
                      <w:rFonts w:hint="eastAsia"/>
                      <w:color w:val="auto"/>
                      <w:highlight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12</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减水剂</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300t/a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外购，混凝土生产使用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13</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张拉螺丝</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10万个/a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14</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合模螺丝</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2万个/a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15</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绳锯</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200盒/a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16</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脱模剂</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36t/a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外购沧州鹏翔化工有限公司，每月用量3t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17</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铜盘</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200块/a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18</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铜板</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200块/a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auto"/>
                      <w:highlight w:val="none"/>
                      <w:lang w:val="en-US" w:eastAsia="zh-CN"/>
                    </w:rPr>
                  </w:pPr>
                  <w:r>
                    <w:rPr>
                      <w:rFonts w:hint="eastAsia"/>
                      <w:color w:val="auto"/>
                      <w:highlight w:val="none"/>
                      <w:lang w:val="en-US" w:eastAsia="zh-CN"/>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19</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蒸汽</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21600吨/a</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园区蒸汽管网提供</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20</w:t>
                  </w:r>
                </w:p>
              </w:tc>
              <w:tc>
                <w:tcPr>
                  <w:tcW w:w="90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电力</w:t>
                  </w:r>
                </w:p>
              </w:tc>
              <w:tc>
                <w:tcPr>
                  <w:tcW w:w="86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160万kW·h</w:t>
                  </w:r>
                </w:p>
              </w:tc>
              <w:tc>
                <w:tcPr>
                  <w:tcW w:w="274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highlight w:val="none"/>
                      <w:lang w:val="en-US" w:eastAsia="zh-CN"/>
                    </w:rPr>
                  </w:pPr>
                  <w:r>
                    <w:rPr>
                      <w:rFonts w:hint="eastAsia"/>
                      <w:color w:val="auto"/>
                      <w:highlight w:val="none"/>
                      <w:lang w:val="en-US" w:eastAsia="zh-CN"/>
                    </w:rPr>
                    <w:t>园区电力网网提供</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 w:type="pct"/>
                  <w:tcBorders>
                    <w:bottom w:val="single" w:color="auto" w:sz="4"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21</w:t>
                  </w:r>
                </w:p>
              </w:tc>
              <w:tc>
                <w:tcPr>
                  <w:tcW w:w="906" w:type="pct"/>
                  <w:tcBorders>
                    <w:bottom w:val="single" w:color="auto" w:sz="4" w:space="0"/>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水</w:t>
                  </w:r>
                </w:p>
              </w:tc>
              <w:tc>
                <w:tcPr>
                  <w:tcW w:w="869" w:type="pct"/>
                  <w:tcBorders>
                    <w:bottom w:val="single" w:color="auto" w:sz="4" w:space="0"/>
                    <w:tl2br w:val="nil"/>
                    <w:tr2bl w:val="nil"/>
                  </w:tcBorders>
                  <w:vAlign w:val="center"/>
                </w:tcPr>
                <w:p>
                  <w:pPr>
                    <w:pStyle w:val="15"/>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67540吨/a</w:t>
                  </w:r>
                </w:p>
              </w:tc>
              <w:tc>
                <w:tcPr>
                  <w:tcW w:w="2745" w:type="pct"/>
                  <w:tcBorders>
                    <w:bottom w:val="single" w:color="auto" w:sz="4" w:space="0"/>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highlight w:val="none"/>
                      <w:lang w:val="en-US" w:eastAsia="zh-CN"/>
                    </w:rPr>
                  </w:pPr>
                  <w:r>
                    <w:rPr>
                      <w:rFonts w:hint="eastAsia"/>
                      <w:color w:val="auto"/>
                      <w:highlight w:val="none"/>
                      <w:lang w:val="en-US" w:eastAsia="zh-CN"/>
                    </w:rPr>
                    <w:t>园区供水管网提供</w:t>
                  </w:r>
                </w:p>
              </w:tc>
            </w:tr>
          </w:tbl>
          <w:p>
            <w:pPr>
              <w:keepNext w:val="0"/>
              <w:keepLines w:val="0"/>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减水剂：本项目使用的减水剂为聚羧酸盐系高性能减水剂，是水泥混凝土运用中的一种水泥分散剂，该品绿色环保，不易燃，不易爆。主要是改善混凝土拌合物的和易性、保水性和粘聚性，提高混凝土流动性、调节混凝土凝结时间、硬化性能，改善混凝土耐久性能。</w:t>
            </w:r>
          </w:p>
          <w:p>
            <w:pPr>
              <w:keepNext w:val="0"/>
              <w:keepLines w:val="0"/>
              <w:suppressLineNumbers w:val="0"/>
              <w:spacing w:before="0" w:beforeAutospacing="0" w:after="0" w:afterAutospacing="0"/>
              <w:ind w:left="0" w:right="0" w:firstLine="420"/>
              <w:rPr>
                <w:rFonts w:hint="default" w:eastAsia="宋体"/>
                <w:color w:val="auto"/>
                <w:highlight w:val="none"/>
                <w:lang w:val="en-US" w:eastAsia="zh-CN"/>
              </w:rPr>
            </w:pPr>
            <w:r>
              <w:rPr>
                <w:rFonts w:hint="eastAsia"/>
                <w:color w:val="auto"/>
                <w:highlight w:val="none"/>
              </w:rPr>
              <w:t>脱模剂：采用精制润滑油和矿物油为基础油，加入少量乳化剂、脂肪油、复合表面活性剂、防锈剂、杀菌防腐剂等经乳化、转相反应生成</w:t>
            </w:r>
            <w:r>
              <w:rPr>
                <w:rFonts w:hint="eastAsia"/>
                <w:color w:val="auto"/>
                <w:highlight w:val="none"/>
                <w:lang w:eastAsia="zh-CN"/>
              </w:rPr>
              <w:t>，</w:t>
            </w:r>
            <w:r>
              <w:rPr>
                <w:rFonts w:hint="eastAsia"/>
                <w:color w:val="auto"/>
                <w:highlight w:val="none"/>
              </w:rPr>
              <w:t>外观为淡黄色至浅黄色液体，不含毒性和强碱物质，具有一定的稳定性、乳化性、润滑性和脱模性</w:t>
            </w:r>
            <w:r>
              <w:rPr>
                <w:rFonts w:hint="eastAsia"/>
                <w:color w:val="auto"/>
                <w:highlight w:val="none"/>
                <w:lang w:eastAsia="zh-CN"/>
              </w:rPr>
              <w:t>。</w:t>
            </w:r>
            <w:r>
              <w:rPr>
                <w:rFonts w:hint="eastAsia"/>
                <w:color w:val="auto"/>
                <w:highlight w:val="none"/>
                <w:lang w:val="en-US" w:eastAsia="zh-CN"/>
              </w:rPr>
              <w:t>详见脱模剂检测报告。</w:t>
            </w:r>
          </w:p>
          <w:p>
            <w:pPr>
              <w:keepNext w:val="0"/>
              <w:keepLines w:val="0"/>
              <w:suppressLineNumbers w:val="0"/>
              <w:spacing w:before="0" w:beforeAutospacing="0" w:after="0" w:afterAutospacing="0" w:line="240" w:lineRule="auto"/>
              <w:ind w:left="0" w:right="0" w:firstLine="420"/>
              <w:rPr>
                <w:rFonts w:hint="eastAsia"/>
                <w:color w:val="auto"/>
                <w:highlight w:val="none"/>
                <w:lang w:val="en-US" w:eastAsia="zh-CN"/>
              </w:rPr>
            </w:pPr>
            <w:r>
              <w:rPr>
                <w:rFonts w:hint="default"/>
                <w:color w:val="auto"/>
                <w:highlight w:val="none"/>
                <w:lang w:val="zh-CN"/>
              </w:rPr>
              <w:t>表</w:t>
            </w:r>
            <w:r>
              <w:rPr>
                <w:rFonts w:hint="eastAsia"/>
                <w:color w:val="auto"/>
                <w:highlight w:val="none"/>
                <w:lang w:val="en-US" w:eastAsia="zh-CN"/>
              </w:rPr>
              <w:t>6</w:t>
            </w:r>
            <w:r>
              <w:rPr>
                <w:rFonts w:hint="eastAsia"/>
                <w:color w:val="auto"/>
                <w:highlight w:val="none"/>
              </w:rPr>
              <w:t xml:space="preserve">    </w:t>
            </w:r>
            <w:r>
              <w:rPr>
                <w:rFonts w:hint="default"/>
                <w:color w:val="auto"/>
                <w:highlight w:val="none"/>
                <w:lang w:val="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脱模剂检测报告</w:t>
            </w:r>
          </w:p>
          <w:tbl>
            <w:tblPr>
              <w:tblStyle w:val="1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258"/>
              <w:gridCol w:w="3641"/>
              <w:gridCol w:w="16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检测项目</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计量单位</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标准要求</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检验结果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油基外观（15~35℃）</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乳白色液体</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乳白色液体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含固量</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8~22%</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pH值</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8.5~9.5</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消泡性能</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ml</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安定性（15~35℃，24h）</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ml</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皂≤0.5，油：无</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0.4，无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腐蚀性</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无腐蚀</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爆炸危险性</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该物品不属于爆炸危险品</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易燃危险性</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燃烧性初步筛选试验表明</w:t>
                  </w:r>
                  <w:r>
                    <w:rPr>
                      <w:rFonts w:hint="eastAsia"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vertAlign w:val="baseline"/>
                    </w:rPr>
                    <w:t>该物品不属于易燃危险品</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毒害危险性</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该物品不属于毒性物品</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放射危险性</w:t>
                  </w:r>
                </w:p>
              </w:tc>
              <w:tc>
                <w:tcPr>
                  <w:tcW w:w="7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w:t>
                  </w:r>
                </w:p>
              </w:tc>
              <w:tc>
                <w:tcPr>
                  <w:tcW w:w="218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该物品不属于放射性危险品</w:t>
                  </w:r>
                </w:p>
              </w:tc>
              <w:tc>
                <w:tcPr>
                  <w:tcW w:w="9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无</w:t>
                  </w:r>
                </w:p>
              </w:tc>
            </w:tr>
          </w:tbl>
          <w:p>
            <w:pPr>
              <w:keepNext w:val="0"/>
              <w:keepLines w:val="0"/>
              <w:suppressLineNumbers w:val="0"/>
              <w:spacing w:before="0" w:beforeAutospacing="0" w:after="0" w:afterAutospacing="0"/>
              <w:ind w:left="0" w:right="0" w:firstLine="420"/>
              <w:rPr>
                <w:rFonts w:hint="eastAsia"/>
                <w:color w:val="auto"/>
                <w:highlight w:val="none"/>
              </w:rPr>
            </w:pPr>
            <w:r>
              <w:rPr>
                <w:rFonts w:hint="eastAsia"/>
                <w:color w:val="auto"/>
                <w:highlight w:val="none"/>
                <w:lang w:val="en-US" w:eastAsia="zh-CN"/>
              </w:rPr>
              <w:t>本项目使用脱模剂</w:t>
            </w:r>
            <w:r>
              <w:rPr>
                <w:rFonts w:hint="eastAsia"/>
                <w:color w:val="auto"/>
                <w:highlight w:val="none"/>
              </w:rPr>
              <w:t>是一种涂于模板内壁起润滑和隔离作用，使混凝士在拆模时能顺利脱离模板，保持凝土形状完整无损。</w:t>
            </w:r>
            <w:r>
              <w:rPr>
                <w:rFonts w:hint="eastAsia"/>
                <w:color w:val="auto"/>
                <w:highlight w:val="none"/>
                <w:lang w:val="en-US" w:eastAsia="zh-CN"/>
              </w:rPr>
              <w:t>其</w:t>
            </w:r>
            <w:r>
              <w:rPr>
                <w:rFonts w:hint="eastAsia"/>
                <w:color w:val="auto"/>
                <w:highlight w:val="none"/>
              </w:rPr>
              <w:t>适用于钢模高温蒸养水泥制管的脱模，脱模剂的配制比例为1:8左右，兑水后在常温下搅拌均匀即可使用</w:t>
            </w:r>
            <w:r>
              <w:rPr>
                <w:rFonts w:hint="eastAsia"/>
                <w:color w:val="auto"/>
                <w:highlight w:val="none"/>
                <w:lang w:eastAsia="zh-CN"/>
              </w:rPr>
              <w:t>，</w:t>
            </w:r>
            <w:r>
              <w:rPr>
                <w:rFonts w:hint="eastAsia"/>
                <w:color w:val="auto"/>
                <w:highlight w:val="none"/>
              </w:rPr>
              <w:t>对钢筋</w:t>
            </w:r>
            <w:r>
              <w:rPr>
                <w:rFonts w:hint="eastAsia"/>
                <w:color w:val="auto"/>
                <w:highlight w:val="none"/>
                <w:lang w:eastAsia="zh-CN"/>
              </w:rPr>
              <w:t>、</w:t>
            </w:r>
            <w:r>
              <w:rPr>
                <w:rFonts w:hint="eastAsia"/>
                <w:color w:val="auto"/>
                <w:highlight w:val="none"/>
                <w:lang w:val="en-US" w:eastAsia="zh-CN"/>
              </w:rPr>
              <w:t>模具</w:t>
            </w:r>
            <w:r>
              <w:rPr>
                <w:rFonts w:hint="eastAsia"/>
                <w:color w:val="auto"/>
                <w:highlight w:val="none"/>
              </w:rPr>
              <w:t>无腐蚀作用。</w:t>
            </w:r>
          </w:p>
          <w:p>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润滑油：油状液态，淡黄色至褐色，无气味或略带异味。相对密度（水=1）&lt;1；可燃，燃烧会产生CO、CO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，闪点为76℃，引燃温度为248℃。急性吸入可出现乏力、头晕、头痛、恶心，严重者可引起油脂性肺炎。</w:t>
            </w:r>
          </w:p>
          <w:p>
            <w:pPr>
              <w:keepNext/>
              <w:keepLines/>
              <w:suppressLineNumbers w:val="0"/>
              <w:spacing w:before="0" w:beforeAutospacing="0" w:after="0" w:afterAutospacing="0"/>
              <w:ind w:left="0" w:right="0" w:firstLine="0" w:firstLineChars="0"/>
              <w:rPr>
                <w:rFonts w:hint="default"/>
              </w:rPr>
            </w:pPr>
            <w:r>
              <w:rPr>
                <w:rFonts w:hint="eastAsia"/>
              </w:rPr>
              <w:t>5、劳动定员及工作制度</w:t>
            </w:r>
          </w:p>
          <w:p>
            <w:pPr>
              <w:keepNext w:val="0"/>
              <w:keepLines w:val="0"/>
              <w:suppressLineNumbers w:val="0"/>
              <w:spacing w:before="0" w:beforeAutospacing="0" w:after="0" w:afterAutospacing="0"/>
              <w:ind w:left="0" w:right="0" w:firstLine="420"/>
              <w:jc w:val="left"/>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项目定员</w:t>
            </w:r>
            <w:r>
              <w:rPr>
                <w:rFonts w:hint="eastAsia"/>
                <w:color w:val="000000" w:themeColor="text1"/>
                <w:highlight w:val="none"/>
                <w:lang w:val="en-US" w:eastAsia="zh-CN"/>
                <w14:textFill>
                  <w14:solidFill>
                    <w14:schemeClr w14:val="tx1"/>
                  </w14:solidFill>
                </w14:textFill>
              </w:rPr>
              <w:t>150</w:t>
            </w:r>
            <w:r>
              <w:rPr>
                <w:rFonts w:hint="default"/>
                <w:color w:val="000000" w:themeColor="text1"/>
                <w:highlight w:val="none"/>
                <w14:textFill>
                  <w14:solidFill>
                    <w14:schemeClr w14:val="tx1"/>
                  </w14:solidFill>
                </w14:textFill>
              </w:rPr>
              <w:t>人，采用</w:t>
            </w:r>
            <w:r>
              <w:rPr>
                <w:rFonts w:hint="eastAsia"/>
                <w:color w:val="000000" w:themeColor="text1"/>
                <w:highlight w:val="none"/>
                <w:lang w:val="en-US" w:eastAsia="zh-CN"/>
                <w14:textFill>
                  <w14:solidFill>
                    <w14:schemeClr w14:val="tx1"/>
                  </w14:solidFill>
                </w14:textFill>
              </w:rPr>
              <w:t>两班工作制度，每月生产27天，全年生产约320天</w:t>
            </w:r>
            <w:r>
              <w:rPr>
                <w:rFonts w:hint="default"/>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firstLine="0" w:firstLineChars="0"/>
              <w:jc w:val="left"/>
              <w:rPr>
                <w:rFonts w:hint="default"/>
              </w:rPr>
            </w:pPr>
            <w:r>
              <w:rPr>
                <w:rFonts w:hint="eastAsia"/>
              </w:rPr>
              <w:t>6、公用工程</w:t>
            </w:r>
          </w:p>
          <w:p>
            <w:pPr>
              <w:keepNext w:val="0"/>
              <w:keepLines w:val="0"/>
              <w:widowControl/>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default"/>
                <w:color w:val="000000" w:themeColor="text1"/>
                <w14:textFill>
                  <w14:solidFill>
                    <w14:schemeClr w14:val="tx1"/>
                  </w14:solidFill>
                </w14:textFill>
              </w:rPr>
              <w:t>供水</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本项目用水主要</w:t>
            </w:r>
            <w:r>
              <w:rPr>
                <w:rFonts w:hint="eastAsia"/>
                <w:color w:val="000000" w:themeColor="text1"/>
                <w14:textFill>
                  <w14:solidFill>
                    <w14:schemeClr w14:val="tx1"/>
                  </w14:solidFill>
                </w14:textFill>
              </w:rPr>
              <w:t>为</w:t>
            </w:r>
            <w:r>
              <w:rPr>
                <w:rFonts w:hint="default"/>
                <w:color w:val="000000" w:themeColor="text1"/>
                <w14:textFill>
                  <w14:solidFill>
                    <w14:schemeClr w14:val="tx1"/>
                  </w14:solidFill>
                </w14:textFill>
              </w:rPr>
              <w:t>生活用水</w:t>
            </w:r>
            <w:r>
              <w:rPr>
                <w:rFonts w:hint="eastAsia"/>
                <w:color w:val="000000" w:themeColor="text1"/>
                <w:lang w:val="en-US" w:eastAsia="zh-CN"/>
                <w14:textFill>
                  <w14:solidFill>
                    <w14:schemeClr w14:val="tx1"/>
                  </w14:solidFill>
                </w14:textFill>
              </w:rPr>
              <w:t>及生产用水</w:t>
            </w:r>
            <w:r>
              <w:rPr>
                <w:rFonts w:hint="default"/>
                <w:color w:val="000000" w:themeColor="text1"/>
                <w14:textFill>
                  <w14:solidFill>
                    <w14:schemeClr w14:val="tx1"/>
                  </w14:solidFill>
                </w14:textFill>
              </w:rPr>
              <w:t>，</w:t>
            </w:r>
            <w:r>
              <w:rPr>
                <w:rFonts w:hint="eastAsia"/>
                <w:color w:val="000000" w:themeColor="text1"/>
                <w14:textFill>
                  <w14:solidFill>
                    <w14:schemeClr w14:val="tx1"/>
                  </w14:solidFill>
                </w14:textFill>
              </w:rPr>
              <w:t>用水</w:t>
            </w:r>
            <w:r>
              <w:rPr>
                <w:rFonts w:hint="default"/>
                <w:color w:val="000000" w:themeColor="text1"/>
                <w14:textFill>
                  <w14:solidFill>
                    <w14:schemeClr w14:val="tx1"/>
                  </w14:solidFill>
                </w14:textFill>
              </w:rPr>
              <w:t>水源由</w:t>
            </w:r>
            <w:r>
              <w:rPr>
                <w:rFonts w:hint="eastAsia"/>
                <w:color w:val="000000" w:themeColor="text1"/>
                <w:lang w:val="en-US" w:eastAsia="zh-CN"/>
                <w14:textFill>
                  <w14:solidFill>
                    <w14:schemeClr w14:val="tx1"/>
                  </w14:solidFill>
                </w14:textFill>
              </w:rPr>
              <w:t>胡杨河经开区</w:t>
            </w:r>
            <w:r>
              <w:rPr>
                <w:rFonts w:hint="default"/>
                <w:color w:val="000000" w:themeColor="text1"/>
                <w14:textFill>
                  <w14:solidFill>
                    <w14:schemeClr w14:val="tx1"/>
                  </w14:solidFill>
                </w14:textFill>
              </w:rPr>
              <w:t>供水管网供给，可满足项目用水需求。</w:t>
            </w:r>
          </w:p>
          <w:p>
            <w:pPr>
              <w:keepNext w:val="0"/>
              <w:keepLines w:val="0"/>
              <w:widowControl/>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生活用水：</w:t>
            </w:r>
            <w:r>
              <w:rPr>
                <w:rFonts w:hint="default"/>
                <w:color w:val="000000" w:themeColor="text1"/>
                <w14:textFill>
                  <w14:solidFill>
                    <w14:schemeClr w14:val="tx1"/>
                  </w14:solidFill>
                </w14:textFill>
              </w:rPr>
              <w:t>项目劳动定员为</w:t>
            </w:r>
            <w:r>
              <w:rPr>
                <w:rFonts w:hint="eastAsia"/>
                <w:color w:val="000000" w:themeColor="text1"/>
                <w:lang w:val="en-US" w:eastAsia="zh-CN"/>
                <w14:textFill>
                  <w14:solidFill>
                    <w14:schemeClr w14:val="tx1"/>
                  </w14:solidFill>
                </w14:textFill>
              </w:rPr>
              <w:t>150</w:t>
            </w:r>
            <w:r>
              <w:rPr>
                <w:rFonts w:hint="default"/>
                <w:color w:val="000000" w:themeColor="text1"/>
                <w14:textFill>
                  <w14:solidFill>
                    <w14:schemeClr w14:val="tx1"/>
                  </w14:solidFill>
                </w14:textFill>
              </w:rPr>
              <w:t>人，员工用水按每人每天</w:t>
            </w:r>
            <w:r>
              <w:rPr>
                <w:rFonts w:hint="eastAsia"/>
                <w:color w:val="000000" w:themeColor="text1"/>
                <w14:textFill>
                  <w14:solidFill>
                    <w14:schemeClr w14:val="tx1"/>
                  </w14:solidFill>
                </w14:textFill>
              </w:rPr>
              <w:t>8</w:t>
            </w:r>
            <w:r>
              <w:rPr>
                <w:rFonts w:hint="default"/>
                <w:color w:val="000000" w:themeColor="text1"/>
                <w14:textFill>
                  <w14:solidFill>
                    <w14:schemeClr w14:val="tx1"/>
                  </w14:solidFill>
                </w14:textFill>
              </w:rPr>
              <w:t>0L计，用水量为</w:t>
            </w:r>
            <w:r>
              <w:rPr>
                <w:rFonts w:hint="eastAsia"/>
                <w:color w:val="000000" w:themeColor="text1"/>
                <w:lang w:val="en-US" w:eastAsia="zh-CN"/>
                <w14:textFill>
                  <w14:solidFill>
                    <w14:schemeClr w14:val="tx1"/>
                  </w14:solidFill>
                </w14:textFill>
              </w:rPr>
              <w:t>12</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3840</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混凝土生产用水：项目混凝土生产量19.2万吨，用水量约为6.37万m</w:t>
            </w:r>
            <w:r>
              <w:rPr>
                <w:rFonts w:hint="eastAsia"/>
                <w:color w:val="000000" w:themeColor="text1"/>
                <w:highlight w:val="none"/>
                <w:vertAlign w:val="superscript"/>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搅拌机清洗用水：</w:t>
            </w:r>
            <w:r>
              <w:rPr>
                <w:rFonts w:hint="eastAsia"/>
                <w:color w:val="000000" w:themeColor="text1"/>
                <w14:textFill>
                  <w14:solidFill>
                    <w14:schemeClr w14:val="tx1"/>
                  </w14:solidFill>
                </w14:textFill>
              </w:rPr>
              <w:t>按每台搅拌机平均每天冲洗一次，每次冲洗水1.0m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计，搅拌机冲洗用水量为</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p>
            <w:pPr>
              <w:keepNext w:val="0"/>
              <w:keepLines w:val="0"/>
              <w:widowControl/>
              <w:suppressLineNumbers w:val="0"/>
              <w:spacing w:before="0" w:beforeAutospacing="0" w:after="0" w:afterAutospacing="0"/>
              <w:ind w:left="0" w:right="0" w:firstLine="525" w:firstLineChars="250"/>
              <w:rPr>
                <w:rFonts w:hint="default" w:eastAsia="宋体"/>
                <w:color w:val="auto"/>
                <w:highlight w:val="none"/>
                <w:lang w:val="en-US" w:eastAsia="zh-CN"/>
              </w:rPr>
            </w:pPr>
            <w:r>
              <w:rPr>
                <w:rFonts w:hint="eastAsia"/>
                <w:color w:val="auto"/>
                <w:highlight w:val="none"/>
              </w:rPr>
              <w:t>（2）</w:t>
            </w:r>
            <w:r>
              <w:rPr>
                <w:rFonts w:hint="default"/>
                <w:color w:val="auto"/>
                <w:highlight w:val="none"/>
              </w:rPr>
              <w:t>排水</w:t>
            </w:r>
            <w:r>
              <w:rPr>
                <w:rFonts w:hint="eastAsia"/>
                <w:color w:val="auto"/>
                <w:highlight w:val="none"/>
              </w:rPr>
              <w:t>：</w:t>
            </w:r>
            <w:r>
              <w:rPr>
                <w:rFonts w:hint="eastAsia"/>
                <w:color w:val="auto"/>
                <w:highlight w:val="none"/>
                <w:lang w:val="en-US" w:eastAsia="zh-CN"/>
              </w:rPr>
              <w:t>项目区污水管网完备，废水进入管网后最终</w:t>
            </w:r>
            <w:r>
              <w:rPr>
                <w:rFonts w:hint="eastAsia"/>
                <w:color w:val="auto"/>
                <w:highlight w:val="none"/>
              </w:rPr>
              <w:t>进入</w:t>
            </w:r>
            <w:r>
              <w:rPr>
                <w:rFonts w:hint="eastAsia"/>
                <w:color w:val="auto"/>
                <w:highlight w:val="none"/>
                <w:lang w:val="en-US" w:eastAsia="zh-CN"/>
              </w:rPr>
              <w:t>胡杨河经济技术开发区南区污水处理厂处理</w:t>
            </w:r>
            <w:r>
              <w:rPr>
                <w:rFonts w:hint="eastAsia"/>
                <w:color w:val="auto"/>
                <w:highlight w:val="none"/>
              </w:rPr>
              <w:t>。</w:t>
            </w:r>
          </w:p>
          <w:p>
            <w:pPr>
              <w:keepNext w:val="0"/>
              <w:keepLines w:val="0"/>
              <w:widowControl/>
              <w:suppressLineNumbers w:val="0"/>
              <w:spacing w:before="0" w:beforeAutospacing="0" w:after="0" w:afterAutospacing="0"/>
              <w:ind w:left="0" w:right="0" w:firstLine="525" w:firstLineChars="250"/>
              <w:rPr>
                <w:rFonts w:hint="eastAsia" w:eastAsia="宋体"/>
                <w:color w:val="auto"/>
                <w:highlight w:val="none"/>
                <w:lang w:eastAsia="zh-CN"/>
              </w:rPr>
            </w:pPr>
            <w:r>
              <w:rPr>
                <w:rFonts w:hint="eastAsia"/>
                <w:color w:val="auto"/>
                <w:highlight w:val="none"/>
                <w:lang w:val="en-US" w:eastAsia="zh-CN"/>
              </w:rPr>
              <w:t>生活污水：</w:t>
            </w:r>
            <w:r>
              <w:rPr>
                <w:rFonts w:hint="default"/>
                <w:color w:val="auto"/>
                <w:highlight w:val="none"/>
              </w:rPr>
              <w:t>项目生活污水排放量按用水量80%计算，排放量为</w:t>
            </w:r>
            <w:r>
              <w:rPr>
                <w:rFonts w:hint="eastAsia"/>
                <w:color w:val="auto"/>
                <w:highlight w:val="none"/>
                <w:lang w:val="en-US" w:eastAsia="zh-CN"/>
              </w:rPr>
              <w:t>9.6</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val="en-US" w:eastAsia="zh-CN"/>
              </w:rPr>
              <w:t>3072</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auto"/>
                <w:highlight w:val="none"/>
              </w:rPr>
            </w:pPr>
            <w:r>
              <w:rPr>
                <w:rFonts w:hint="eastAsia"/>
                <w:color w:val="auto"/>
                <w:highlight w:val="none"/>
                <w:lang w:val="en-US" w:eastAsia="zh-CN"/>
              </w:rPr>
              <w:t>搅拌机清洗废水：清洗废水</w:t>
            </w:r>
            <w:r>
              <w:rPr>
                <w:rFonts w:hint="eastAsia"/>
                <w:color w:val="auto"/>
                <w:highlight w:val="none"/>
              </w:rPr>
              <w:t>产生量按用水量的85%计，</w:t>
            </w:r>
            <w:r>
              <w:rPr>
                <w:rFonts w:hint="eastAsia"/>
                <w:color w:val="auto"/>
                <w:highlight w:val="none"/>
                <w:lang w:val="en-US" w:eastAsia="zh-CN"/>
              </w:rPr>
              <w:t>清洗废</w:t>
            </w:r>
            <w:r>
              <w:rPr>
                <w:rFonts w:hint="eastAsia"/>
                <w:color w:val="auto"/>
                <w:highlight w:val="none"/>
              </w:rPr>
              <w:t>水产生量为</w:t>
            </w:r>
            <w:r>
              <w:rPr>
                <w:rFonts w:hint="eastAsia"/>
                <w:color w:val="auto"/>
                <w:highlight w:val="none"/>
                <w:lang w:val="en-US" w:eastAsia="zh-CN"/>
              </w:rPr>
              <w:t>0.85</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color w:val="auto"/>
                <w:highlight w:val="none"/>
                <w:lang w:val="en-US" w:eastAsia="zh-CN"/>
              </w:rPr>
              <w:t>272</w:t>
            </w:r>
            <w:r>
              <w:rPr>
                <w:rFonts w:hint="eastAsia"/>
                <w:color w:val="auto"/>
                <w:highlight w:val="none"/>
              </w:rPr>
              <w:t>m</w:t>
            </w:r>
            <w:r>
              <w:rPr>
                <w:rFonts w:hint="eastAsia"/>
                <w:color w:val="auto"/>
                <w:highlight w:val="none"/>
                <w:vertAlign w:val="superscript"/>
              </w:rPr>
              <w:t>3</w:t>
            </w:r>
            <w:r>
              <w:rPr>
                <w:rFonts w:hint="eastAsia"/>
                <w:color w:val="auto"/>
                <w:highlight w:val="none"/>
              </w:rPr>
              <w:t>/a，主要污染因子为SS，浓度约为3000mg/L</w:t>
            </w:r>
            <w:r>
              <w:rPr>
                <w:rFonts w:hint="eastAsia"/>
                <w:color w:val="auto"/>
                <w:highlight w:val="none"/>
                <w:lang w:eastAsia="zh-CN"/>
              </w:rPr>
              <w:t>，</w:t>
            </w:r>
            <w:r>
              <w:rPr>
                <w:rFonts w:hint="eastAsia"/>
                <w:color w:val="auto"/>
                <w:highlight w:val="none"/>
                <w:lang w:val="en-US" w:eastAsia="zh-CN"/>
              </w:rPr>
              <w:t>经沉淀后回用混凝土拌合生产</w:t>
            </w:r>
            <w:r>
              <w:rPr>
                <w:rFonts w:hint="eastAsia"/>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蒸汽养护冷凝低温水产生量约19440</w:t>
            </w:r>
            <w:r>
              <w:rPr>
                <w:rFonts w:hint="default"/>
                <w:color w:val="000000" w:themeColor="text1"/>
                <w:highlight w:val="none"/>
                <w14:textFill>
                  <w14:solidFill>
                    <w14:schemeClr w14:val="tx1"/>
                  </w14:solidFill>
                </w14:textFill>
              </w:rPr>
              <w:t>m</w:t>
            </w:r>
            <w:r>
              <w:rPr>
                <w:rFonts w:hint="default"/>
                <w:color w:val="000000" w:themeColor="text1"/>
                <w:highlight w:val="none"/>
                <w:vertAlign w:val="superscript"/>
                <w14:textFill>
                  <w14:solidFill>
                    <w14:schemeClr w14:val="tx1"/>
                  </w14:solidFill>
                </w14:textFill>
              </w:rPr>
              <w:t>3</w:t>
            </w:r>
            <w:r>
              <w:rPr>
                <w:rFonts w:hint="default"/>
                <w:color w:val="000000" w:themeColor="text1"/>
                <w:highlight w:val="none"/>
                <w14:textFill>
                  <w14:solidFill>
                    <w14:schemeClr w14:val="tx1"/>
                  </w14:solidFill>
                </w14:textFill>
              </w:rPr>
              <w:t>/a</w:t>
            </w:r>
            <w:r>
              <w:rPr>
                <w:rFonts w:hint="eastAsia"/>
                <w:color w:val="000000" w:themeColor="text1"/>
                <w:highlight w:val="none"/>
                <w:lang w:val="en-US" w:eastAsia="zh-CN"/>
                <w14:textFill>
                  <w14:solidFill>
                    <w14:schemeClr w14:val="tx1"/>
                  </w14:solidFill>
                </w14:textFill>
              </w:rPr>
              <w:t>（光伏桩产品带走约10%），经低温水池收集后泵至混凝土拌合生产。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25" o:spt="75" type="#_x0000_t75" style="height:254.3pt;width:405.7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keepNext w:val="0"/>
              <w:keepLines w:val="0"/>
              <w:widowControl/>
              <w:suppressLineNumbers w:val="0"/>
              <w:spacing w:before="0" w:beforeAutospacing="0" w:after="0" w:afterAutospacing="0"/>
              <w:ind w:left="0" w:leftChars="0" w:right="0" w:firstLine="0" w:firstLineChars="0"/>
              <w:jc w:val="center"/>
              <w:rPr>
                <w:rFonts w:hint="eastAsia"/>
                <w:color w:val="000000" w:themeColor="text1"/>
                <w14:textFill>
                  <w14:solidFill>
                    <w14:schemeClr w14:val="tx1"/>
                  </w14:solidFill>
                </w14:textFill>
              </w:rPr>
            </w:pPr>
            <w:r>
              <w:rPr>
                <w:rFonts w:hint="default"/>
              </w:rPr>
              <w:t>图1     项目水平衡图      单位：m</w:t>
            </w:r>
            <w:r>
              <w:rPr>
                <w:rFonts w:hint="default"/>
                <w:vertAlign w:val="superscript"/>
              </w:rPr>
              <w:t>3</w:t>
            </w:r>
            <w:r>
              <w:rPr>
                <w:rFonts w:hint="default"/>
              </w:rPr>
              <w:t>/</w:t>
            </w:r>
            <w:r>
              <w:rPr>
                <w:rFonts w:hint="default"/>
                <w:lang w:val="en-US" w:eastAsia="zh-CN"/>
              </w:rPr>
              <w:t>a</w:t>
            </w:r>
          </w:p>
          <w:p>
            <w:pPr>
              <w:keepNext w:val="0"/>
              <w:keepLines w:val="0"/>
              <w:widowControl/>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default"/>
                <w:color w:val="000000" w:themeColor="text1"/>
                <w14:textFill>
                  <w14:solidFill>
                    <w14:schemeClr w14:val="tx1"/>
                  </w14:solidFill>
                </w14:textFill>
              </w:rPr>
              <w:t>供电</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项目用电由</w:t>
            </w:r>
            <w:r>
              <w:rPr>
                <w:rFonts w:hint="eastAsia"/>
                <w:color w:val="000000" w:themeColor="text1"/>
                <w:lang w:val="en-US" w:eastAsia="zh-CN"/>
                <w14:textFill>
                  <w14:solidFill>
                    <w14:schemeClr w14:val="tx1"/>
                  </w14:solidFill>
                </w14:textFill>
              </w:rPr>
              <w:t>园区</w:t>
            </w:r>
            <w:r>
              <w:rPr>
                <w:rFonts w:hint="eastAsia"/>
                <w:color w:val="000000" w:themeColor="text1"/>
                <w14:textFill>
                  <w14:solidFill>
                    <w14:schemeClr w14:val="tx1"/>
                  </w14:solidFill>
                </w14:textFill>
              </w:rPr>
              <w:t>区</w:t>
            </w:r>
            <w:r>
              <w:rPr>
                <w:rFonts w:hint="default"/>
                <w:color w:val="000000" w:themeColor="text1"/>
                <w14:textFill>
                  <w14:solidFill>
                    <w14:schemeClr w14:val="tx1"/>
                  </w14:solidFill>
                </w14:textFill>
              </w:rPr>
              <w:t>电力网</w:t>
            </w:r>
            <w:r>
              <w:rPr>
                <w:rFonts w:hint="eastAsia"/>
                <w:color w:val="000000" w:themeColor="text1"/>
                <w14:textFill>
                  <w14:solidFill>
                    <w14:schemeClr w14:val="tx1"/>
                  </w14:solidFill>
                </w14:textFill>
              </w:rPr>
              <w:t>供电</w:t>
            </w:r>
            <w:r>
              <w:rPr>
                <w:rFonts w:hint="default"/>
                <w:color w:val="000000" w:themeColor="text1"/>
                <w14:textFill>
                  <w14:solidFill>
                    <w14:schemeClr w14:val="tx1"/>
                  </w14:solidFill>
                </w14:textFill>
              </w:rPr>
              <w:t>，可满足项目用电需求。</w:t>
            </w:r>
          </w:p>
          <w:p>
            <w:pPr>
              <w:keepNext w:val="0"/>
              <w:keepLines w:val="0"/>
              <w:widowControl/>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default"/>
                <w:color w:val="000000" w:themeColor="text1"/>
                <w14:textFill>
                  <w14:solidFill>
                    <w14:schemeClr w14:val="tx1"/>
                  </w14:solidFill>
                </w14:textFill>
              </w:rPr>
              <w:t>供暖</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车间采用电热风机供暖，办公区、宿舍</w:t>
            </w:r>
            <w:r>
              <w:rPr>
                <w:rFonts w:hint="eastAsia"/>
                <w:color w:val="000000" w:themeColor="text1"/>
                <w14:textFill>
                  <w14:solidFill>
                    <w14:schemeClr w14:val="tx1"/>
                  </w14:solidFill>
                </w14:textFill>
              </w:rPr>
              <w:t>冬季供暖由电采暖提供。</w:t>
            </w:r>
            <w:r>
              <w:rPr>
                <w:rFonts w:hint="default"/>
                <w:color w:val="000000" w:themeColor="text1"/>
                <w14:textFill>
                  <w14:solidFill>
                    <w14:schemeClr w14:val="tx1"/>
                  </w14:solidFill>
                </w14:textFill>
              </w:rPr>
              <w:tab/>
            </w:r>
          </w:p>
          <w:p>
            <w:pPr>
              <w:keepNext w:val="0"/>
              <w:keepLines w:val="0"/>
              <w:suppressLineNumbers w:val="0"/>
              <w:spacing w:before="0" w:beforeAutospacing="0" w:after="0" w:afterAutospacing="0"/>
              <w:ind w:left="0" w:right="0" w:firstLine="420"/>
              <w:jc w:val="left"/>
              <w:rPr>
                <w:rFonts w:hint="default"/>
                <w:color w:val="auto"/>
                <w:highlight w:val="none"/>
              </w:rPr>
            </w:pPr>
            <w:r>
              <w:rPr>
                <w:rFonts w:hint="eastAsia"/>
                <w:color w:val="auto"/>
                <w:highlight w:val="none"/>
              </w:rPr>
              <w:t>（5）供</w:t>
            </w:r>
            <w:r>
              <w:rPr>
                <w:rFonts w:hint="eastAsia"/>
                <w:color w:val="auto"/>
                <w:highlight w:val="none"/>
                <w:lang w:val="en-US" w:eastAsia="zh-CN"/>
              </w:rPr>
              <w:t>汽</w:t>
            </w:r>
            <w:r>
              <w:rPr>
                <w:rFonts w:hint="eastAsia"/>
                <w:color w:val="auto"/>
                <w:highlight w:val="none"/>
              </w:rPr>
              <w:t>：用</w:t>
            </w:r>
            <w:r>
              <w:rPr>
                <w:rFonts w:hint="eastAsia"/>
                <w:color w:val="auto"/>
                <w:highlight w:val="none"/>
                <w:lang w:val="en-US" w:eastAsia="zh-CN"/>
              </w:rPr>
              <w:t>汽</w:t>
            </w:r>
            <w:r>
              <w:rPr>
                <w:rFonts w:hint="eastAsia"/>
                <w:color w:val="auto"/>
                <w:highlight w:val="none"/>
              </w:rPr>
              <w:t>由园区</w:t>
            </w:r>
            <w:r>
              <w:rPr>
                <w:rFonts w:hint="eastAsia"/>
                <w:color w:val="auto"/>
                <w:highlight w:val="none"/>
                <w:lang w:val="en-US" w:eastAsia="zh-CN"/>
              </w:rPr>
              <w:t>蒸汽</w:t>
            </w:r>
            <w:r>
              <w:rPr>
                <w:rFonts w:hint="eastAsia"/>
                <w:color w:val="auto"/>
                <w:highlight w:val="none"/>
              </w:rPr>
              <w:t>管道提供，可满足项目用</w:t>
            </w:r>
            <w:r>
              <w:rPr>
                <w:rFonts w:hint="eastAsia"/>
                <w:color w:val="auto"/>
                <w:highlight w:val="none"/>
                <w:lang w:val="en-US" w:eastAsia="zh-CN"/>
              </w:rPr>
              <w:t>汽</w:t>
            </w:r>
            <w:r>
              <w:rPr>
                <w:rFonts w:hint="eastAsia"/>
                <w:color w:val="auto"/>
                <w:highlight w:val="none"/>
              </w:rPr>
              <w:t>需求。</w:t>
            </w:r>
          </w:p>
          <w:p>
            <w:pPr>
              <w:keepNext w:val="0"/>
              <w:keepLines w:val="0"/>
              <w:suppressLineNumbers w:val="0"/>
              <w:spacing w:before="0" w:beforeAutospacing="0" w:after="0" w:afterAutospacing="0"/>
              <w:ind w:left="0" w:right="0" w:firstLine="0" w:firstLineChars="0"/>
              <w:rPr>
                <w:rFonts w:hint="default"/>
              </w:rPr>
            </w:pPr>
            <w:r>
              <w:rPr>
                <w:rFonts w:hint="eastAsia"/>
              </w:rPr>
              <w:t>7、总平面布置</w:t>
            </w:r>
          </w:p>
          <w:p>
            <w:pPr>
              <w:keepNext w:val="0"/>
              <w:keepLines w:val="0"/>
              <w:suppressLineNumbers w:val="0"/>
              <w:spacing w:before="0" w:beforeAutospacing="0" w:after="0" w:afterAutospacing="0"/>
              <w:ind w:left="0" w:right="0" w:firstLine="420"/>
              <w:rPr>
                <w:rFonts w:hint="eastAsia"/>
                <w:color w:val="auto"/>
                <w:highlight w:val="none"/>
                <w:lang w:val="en-US" w:eastAsia="zh-CN"/>
              </w:rPr>
            </w:pPr>
            <w:r>
              <w:rPr>
                <w:rFonts w:hint="eastAsia"/>
                <w:color w:val="auto"/>
                <w:highlight w:val="none"/>
              </w:rPr>
              <w:t>项目</w:t>
            </w:r>
            <w:r>
              <w:rPr>
                <w:rFonts w:hint="eastAsia"/>
                <w:color w:val="auto"/>
                <w:highlight w:val="none"/>
                <w:lang w:val="en-US" w:eastAsia="zh-CN"/>
              </w:rPr>
              <w:t>充分利用企业现有厂房、办公生活区进行生产，其中光伏桩生产车间北侧、南侧分别设置2栋耳房，用于生产物料存放，东北侧设置全封闭砂石料堆场，北侧空地用于光伏桩成品堆放。</w:t>
            </w:r>
          </w:p>
          <w:p>
            <w:pPr>
              <w:keepNext w:val="0"/>
              <w:keepLines w:val="0"/>
              <w:suppressLineNumbers w:val="0"/>
              <w:spacing w:before="0" w:beforeAutospacing="0" w:after="0" w:afterAutospacing="0"/>
              <w:ind w:left="0" w:right="0" w:firstLine="420"/>
              <w:rPr>
                <w:rFonts w:hint="default"/>
                <w:color w:val="auto"/>
                <w:highlight w:val="none"/>
              </w:rPr>
            </w:pPr>
            <w:r>
              <w:rPr>
                <w:rFonts w:hint="eastAsia"/>
                <w:color w:val="auto"/>
                <w:highlight w:val="none"/>
                <w:lang w:val="en-US" w:eastAsia="zh-CN"/>
              </w:rPr>
              <w:t>生产车间内</w:t>
            </w:r>
            <w:r>
              <w:rPr>
                <w:rFonts w:hint="eastAsia"/>
                <w:color w:val="auto"/>
                <w:highlight w:val="none"/>
              </w:rPr>
              <w:t>布设预应力混凝土管桩生产线</w:t>
            </w:r>
            <w:r>
              <w:rPr>
                <w:rFonts w:hint="eastAsia"/>
                <w:color w:val="auto"/>
                <w:highlight w:val="none"/>
                <w:lang w:eastAsia="zh-CN"/>
              </w:rPr>
              <w:t>，</w:t>
            </w:r>
            <w:r>
              <w:rPr>
                <w:rFonts w:hint="eastAsia"/>
                <w:color w:val="auto"/>
                <w:highlight w:val="none"/>
                <w:lang w:val="en-US" w:eastAsia="zh-CN"/>
              </w:rPr>
              <w:t>其中西侧为钢骨架加工区，主要进行钢笼加工、装配，东侧设置120搅拌站及4台粉料筒仓，中间设置设置装模、脱模及养护池等，</w:t>
            </w:r>
            <w:r>
              <w:rPr>
                <w:rFonts w:hint="eastAsia"/>
                <w:color w:val="auto"/>
                <w:highlight w:val="none"/>
              </w:rPr>
              <w:t>车间外有硬化地面便于物料及成品转运。</w:t>
            </w:r>
            <w:r>
              <w:rPr>
                <w:rFonts w:hint="default"/>
                <w:color w:val="auto"/>
                <w:highlight w:val="none"/>
              </w:rPr>
              <w:t>工程总平面布置紧凑合理、流程顺畅，方便生产管理。</w:t>
            </w:r>
          </w:p>
          <w:p>
            <w:pPr>
              <w:keepNext w:val="0"/>
              <w:keepLines w:val="0"/>
              <w:suppressLineNumbers w:val="0"/>
              <w:spacing w:before="0" w:beforeAutospacing="0" w:after="0" w:afterAutospacing="0"/>
              <w:ind w:left="0" w:right="0" w:firstLine="420"/>
              <w:rPr>
                <w:rFonts w:hint="eastAsia"/>
              </w:rPr>
            </w:pPr>
            <w:r>
              <w:rPr>
                <w:rFonts w:hint="eastAsia"/>
              </w:rPr>
              <w:t>平面总体布置详见附图</w:t>
            </w:r>
            <w:r>
              <w:rPr>
                <w:rFonts w:hint="eastAsia"/>
                <w:lang w:val="en-US" w:eastAsia="zh-CN"/>
              </w:rPr>
              <w:t>6</w:t>
            </w:r>
            <w:r>
              <w:rPr>
                <w:rFonts w:hint="eastAsia"/>
              </w:rPr>
              <w:t>。</w:t>
            </w:r>
          </w:p>
          <w:p>
            <w:pPr>
              <w:keepNext w:val="0"/>
              <w:keepLines w:val="0"/>
              <w:suppressLineNumbers w:val="0"/>
              <w:spacing w:before="0" w:beforeAutospacing="0" w:after="0" w:afterAutospacing="0"/>
              <w:ind w:left="0" w:right="0" w:firstLine="420"/>
              <w:rPr>
                <w:rFonts w:hint="eastAsia"/>
              </w:rPr>
            </w:pPr>
          </w:p>
          <w:p>
            <w:pPr>
              <w:keepNext w:val="0"/>
              <w:keepLines w:val="0"/>
              <w:suppressLineNumbers w:val="0"/>
              <w:spacing w:before="0" w:beforeAutospacing="0" w:after="0" w:afterAutospacing="0"/>
              <w:ind w:left="0" w:right="0" w:firstLine="420"/>
              <w:rPr>
                <w:rFonts w:hint="eastAsia"/>
              </w:rPr>
            </w:pPr>
          </w:p>
          <w:p>
            <w:pPr>
              <w:keepNext w:val="0"/>
              <w:keepLines w:val="0"/>
              <w:suppressLineNumbers w:val="0"/>
              <w:spacing w:before="0" w:beforeAutospacing="0" w:after="0" w:afterAutospacing="0"/>
              <w:ind w:left="0" w:right="0" w:firstLine="420"/>
              <w:rPr>
                <w:rFonts w:hint="eastAsia"/>
              </w:rPr>
            </w:pPr>
          </w:p>
          <w:p>
            <w:pPr>
              <w:keepNext w:val="0"/>
              <w:keepLines w:val="0"/>
              <w:suppressLineNumbers w:val="0"/>
              <w:spacing w:before="0" w:beforeAutospacing="0" w:after="0" w:afterAutospacing="0"/>
              <w:ind w:left="0" w:right="0" w:firstLine="420"/>
              <w:rPr>
                <w:rFonts w:hint="eastAsia"/>
              </w:rPr>
            </w:pP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firstLine="42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cs="宋体"/>
              </w:rPr>
              <w:t>工艺流程和产排污环节</w:t>
            </w:r>
          </w:p>
        </w:tc>
        <w:tc>
          <w:tcPr>
            <w:tcW w:w="8547" w:type="dxa"/>
          </w:tcPr>
          <w:p>
            <w:pPr>
              <w:keepNext w:val="0"/>
              <w:keepLines w:val="0"/>
              <w:suppressLineNumbers w:val="0"/>
              <w:spacing w:before="0" w:beforeAutospacing="0" w:after="0" w:afterAutospacing="0"/>
              <w:ind w:left="0" w:right="0" w:firstLine="0" w:firstLineChars="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主要生产工艺流程</w:t>
            </w:r>
            <w:r>
              <w:rPr>
                <w:rFonts w:hint="eastAsia"/>
                <w:color w:val="000000" w:themeColor="text1"/>
                <w:highlight w:val="none"/>
                <w14:textFill>
                  <w14:solidFill>
                    <w14:schemeClr w14:val="tx1"/>
                  </w14:solidFill>
                </w14:textFill>
              </w:rPr>
              <w:t>及产污环节：</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）混凝土制备</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外购</w:t>
            </w:r>
            <w:r>
              <w:rPr>
                <w:rFonts w:hint="default" w:ascii="Times New Roman" w:hAnsi="Times New Roman" w:cs="Times New Roman"/>
                <w:color w:val="000000" w:themeColor="text1"/>
                <w:highlight w:val="none"/>
                <w14:textFill>
                  <w14:solidFill>
                    <w14:schemeClr w14:val="tx1"/>
                  </w14:solidFill>
                </w14:textFill>
              </w:rPr>
              <w:t>砂</w:t>
            </w:r>
            <w:r>
              <w:rPr>
                <w:rFonts w:hint="eastAsia" w:cs="Times New Roman"/>
                <w:color w:val="000000" w:themeColor="text1"/>
                <w:highlight w:val="none"/>
                <w:lang w:val="en-US" w:eastAsia="zh-CN"/>
                <w14:textFill>
                  <w14:solidFill>
                    <w14:schemeClr w14:val="tx1"/>
                  </w14:solidFill>
                </w14:textFill>
              </w:rPr>
              <w:t>料</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大小</w:t>
            </w:r>
            <w:r>
              <w:rPr>
                <w:rFonts w:hint="default" w:ascii="Times New Roman" w:hAnsi="Times New Roman" w:cs="Times New Roman"/>
                <w:color w:val="000000" w:themeColor="text1"/>
                <w:highlight w:val="none"/>
                <w14:textFill>
                  <w14:solidFill>
                    <w14:schemeClr w14:val="tx1"/>
                  </w14:solidFill>
                </w14:textFill>
              </w:rPr>
              <w:t>石料</w:t>
            </w:r>
            <w:r>
              <w:rPr>
                <w:rFonts w:hint="eastAsia" w:cs="Times New Roman"/>
                <w:color w:val="000000" w:themeColor="text1"/>
                <w:highlight w:val="none"/>
                <w:lang w:val="en-US" w:eastAsia="zh-CN"/>
                <w14:textFill>
                  <w14:solidFill>
                    <w14:schemeClr w14:val="tx1"/>
                  </w14:solidFill>
                </w14:textFill>
              </w:rPr>
              <w:t>贮存于生产车间东北侧全封闭砂石料堆场，水泥及矿粉、硅料等粉料通过罐车</w:t>
            </w:r>
            <w:r>
              <w:rPr>
                <w:rFonts w:hint="default" w:ascii="Times New Roman" w:hAnsi="Times New Roman" w:cs="Times New Roman"/>
                <w:color w:val="000000" w:themeColor="text1"/>
                <w:highlight w:val="none"/>
                <w14:textFill>
                  <w14:solidFill>
                    <w14:schemeClr w14:val="tx1"/>
                  </w14:solidFill>
                </w14:textFill>
              </w:rPr>
              <w:t>运输到厂区，通过高压气泵直接打入水泥料仓</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辅料仓。</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砂</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石等原材料经</w:t>
            </w:r>
            <w:r>
              <w:rPr>
                <w:rFonts w:hint="eastAsia" w:cs="Times New Roman"/>
                <w:color w:val="000000" w:themeColor="text1"/>
                <w:highlight w:val="none"/>
                <w:lang w:val="en-US" w:eastAsia="zh-CN"/>
                <w14:textFill>
                  <w14:solidFill>
                    <w14:schemeClr w14:val="tx1"/>
                  </w14:solidFill>
                </w14:textFill>
              </w:rPr>
              <w:t>铲车、</w:t>
            </w:r>
            <w:r>
              <w:rPr>
                <w:rFonts w:hint="default" w:ascii="Times New Roman" w:hAnsi="Times New Roman" w:cs="Times New Roman"/>
                <w:color w:val="000000" w:themeColor="text1"/>
                <w:highlight w:val="none"/>
                <w14:textFill>
                  <w14:solidFill>
                    <w14:schemeClr w14:val="tx1"/>
                  </w14:solidFill>
                </w14:textFill>
              </w:rPr>
              <w:t>皮带运输机送至搅拌主机，水泥</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辅料（掺合料）及</w:t>
            </w:r>
            <w:r>
              <w:rPr>
                <w:rFonts w:hint="default" w:ascii="Times New Roman" w:hAnsi="Times New Roman" w:cs="Times New Roman"/>
                <w:color w:val="000000" w:themeColor="text1"/>
                <w:highlight w:val="none"/>
                <w14:textFill>
                  <w14:solidFill>
                    <w14:schemeClr w14:val="tx1"/>
                  </w14:solidFill>
                </w14:textFill>
              </w:rPr>
              <w:t>和外加剂</w:t>
            </w:r>
            <w:r>
              <w:rPr>
                <w:rFonts w:hint="eastAsia" w:cs="Times New Roman"/>
                <w:color w:val="000000" w:themeColor="text1"/>
                <w:highlight w:val="none"/>
                <w:lang w:val="en-US" w:eastAsia="zh-CN"/>
                <w14:textFill>
                  <w14:solidFill>
                    <w14:schemeClr w14:val="tx1"/>
                  </w14:solidFill>
                </w14:textFill>
              </w:rPr>
              <w:t>通过</w:t>
            </w:r>
            <w:r>
              <w:rPr>
                <w:rFonts w:hint="default" w:ascii="Times New Roman" w:hAnsi="Times New Roman" w:cs="Times New Roman"/>
                <w:color w:val="000000" w:themeColor="text1"/>
                <w:highlight w:val="none"/>
                <w14:textFill>
                  <w14:solidFill>
                    <w14:schemeClr w14:val="tx1"/>
                  </w14:solidFill>
                </w14:textFill>
              </w:rPr>
              <w:t>计量配料，各类</w:t>
            </w:r>
            <w:r>
              <w:rPr>
                <w:rFonts w:hint="eastAsia" w:cs="Times New Roman"/>
                <w:color w:val="000000" w:themeColor="text1"/>
                <w:highlight w:val="none"/>
                <w:lang w:val="en-US" w:eastAsia="zh-CN"/>
                <w14:textFill>
                  <w14:solidFill>
                    <w14:schemeClr w14:val="tx1"/>
                  </w14:solidFill>
                </w14:textFill>
              </w:rPr>
              <w:t>原辅料</w:t>
            </w:r>
            <w:r>
              <w:rPr>
                <w:rFonts w:hint="default" w:ascii="Times New Roman" w:hAnsi="Times New Roman" w:cs="Times New Roman"/>
                <w:color w:val="000000" w:themeColor="text1"/>
                <w:highlight w:val="none"/>
                <w14:textFill>
                  <w14:solidFill>
                    <w14:schemeClr w14:val="tx1"/>
                  </w14:solidFill>
                </w14:textFill>
              </w:rPr>
              <w:t>按不同顺序进入搅拌机，搅拌用水计量后分次进入搅拌机进行机械强制混合搅拌</w:t>
            </w:r>
            <w:r>
              <w:rPr>
                <w:rFonts w:hint="eastAsia" w:cs="Times New Roman"/>
                <w:color w:val="000000" w:themeColor="text1"/>
                <w:highlight w:val="none"/>
                <w:lang w:eastAsia="zh-CN"/>
                <w14:textFill>
                  <w14:solidFill>
                    <w14:schemeClr w14:val="tx1"/>
                  </w14:solidFill>
                </w14:textFill>
              </w:rPr>
              <w:t>，确保各混合料均匀一致</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达到生产使用标准</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）钢筋骨架制作</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钢骨架制作位于生产车间内，其中棒材通过定长切断后滚焊成笼，线材经冷拔后，与端头板、抱箍板焊接成型，钢骨架</w:t>
            </w:r>
            <w:r>
              <w:rPr>
                <w:rFonts w:hint="default" w:ascii="Times New Roman" w:hAnsi="Times New Roman" w:cs="Times New Roman"/>
                <w:color w:val="000000" w:themeColor="text1"/>
                <w:highlight w:val="none"/>
                <w14:textFill>
                  <w14:solidFill>
                    <w14:schemeClr w14:val="tx1"/>
                  </w14:solidFill>
                </w14:textFill>
              </w:rPr>
              <w:t>直径应根据管桩规定确定，外径</w:t>
            </w:r>
            <w:r>
              <w:rPr>
                <w:rFonts w:hint="default" w:ascii="Times New Roman" w:hAnsi="Times New Roman" w:eastAsia="TimesNewRomanPSMT" w:cs="Times New Roman"/>
                <w:color w:val="000000" w:themeColor="text1"/>
                <w:highlight w:val="none"/>
                <w14:textFill>
                  <w14:solidFill>
                    <w14:schemeClr w14:val="tx1"/>
                  </w14:solidFill>
                </w14:textFill>
              </w:rPr>
              <w:t>4</w:t>
            </w:r>
            <w:r>
              <w:rPr>
                <w:rFonts w:hint="eastAsia" w:eastAsia="TimesNewRomanPSMT" w:cs="Times New Roman"/>
                <w:color w:val="000000" w:themeColor="text1"/>
                <w:highlight w:val="none"/>
                <w:lang w:val="en-US" w:eastAsia="zh-CN"/>
                <w14:textFill>
                  <w14:solidFill>
                    <w14:schemeClr w14:val="tx1"/>
                  </w14:solidFill>
                </w14:textFill>
              </w:rPr>
              <w:t>0</w:t>
            </w:r>
            <w:r>
              <w:rPr>
                <w:rFonts w:hint="default" w:ascii="Times New Roman" w:hAnsi="Times New Roman" w:eastAsia="TimesNewRomanPSMT" w:cs="Times New Roman"/>
                <w:color w:val="000000" w:themeColor="text1"/>
                <w:highlight w:val="none"/>
                <w14:textFill>
                  <w14:solidFill>
                    <w14:schemeClr w14:val="tx1"/>
                  </w14:solidFill>
                </w14:textFill>
              </w:rPr>
              <w:t xml:space="preserve">0mm </w:t>
            </w:r>
            <w:r>
              <w:rPr>
                <w:rFonts w:hint="default" w:ascii="Times New Roman" w:hAnsi="Times New Roman" w:cs="Times New Roman"/>
                <w:color w:val="000000" w:themeColor="text1"/>
                <w:highlight w:val="none"/>
                <w14:textFill>
                  <w14:solidFill>
                    <w14:schemeClr w14:val="tx1"/>
                  </w14:solidFill>
                </w14:textFill>
              </w:rPr>
              <w:t>及以下，螺旋筋直径不应小于</w:t>
            </w:r>
            <w:r>
              <w:rPr>
                <w:rFonts w:hint="default" w:ascii="Times New Roman" w:hAnsi="Times New Roman" w:eastAsia="TimesNewRomanPSMT" w:cs="Times New Roman"/>
                <w:color w:val="000000" w:themeColor="text1"/>
                <w:highlight w:val="none"/>
                <w14:textFill>
                  <w14:solidFill>
                    <w14:schemeClr w14:val="tx1"/>
                  </w14:solidFill>
                </w14:textFill>
              </w:rPr>
              <w:t>4mm</w:t>
            </w:r>
            <w:r>
              <w:rPr>
                <w:rFonts w:hint="default" w:ascii="Times New Roman" w:hAnsi="Times New Roman" w:cs="Times New Roman"/>
                <w:color w:val="000000" w:themeColor="text1"/>
                <w:highlight w:val="none"/>
                <w14:textFill>
                  <w14:solidFill>
                    <w14:schemeClr w14:val="tx1"/>
                  </w14:solidFill>
                </w14:textFill>
              </w:rPr>
              <w:t>。钢筋骨架釆用滚焊机成型，</w:t>
            </w:r>
            <w:r>
              <w:rPr>
                <w:rFonts w:hint="eastAsia" w:cs="Times New Roman"/>
                <w:color w:val="000000" w:themeColor="text1"/>
                <w:highlight w:val="none"/>
                <w:lang w:val="en-US" w:eastAsia="zh-CN"/>
                <w14:textFill>
                  <w14:solidFill>
                    <w14:schemeClr w14:val="tx1"/>
                  </w14:solidFill>
                </w14:textFill>
              </w:rPr>
              <w:t>焊接采用压力焊，不使用焊条，</w:t>
            </w:r>
            <w:r>
              <w:rPr>
                <w:rFonts w:hint="default" w:ascii="Times New Roman" w:hAnsi="Times New Roman" w:cs="Times New Roman"/>
                <w:color w:val="000000" w:themeColor="text1"/>
                <w:highlight w:val="none"/>
                <w14:textFill>
                  <w14:solidFill>
                    <w14:schemeClr w14:val="tx1"/>
                  </w14:solidFill>
                </w14:textFill>
              </w:rPr>
              <w:t>预应力主筋和螺旋筋焊接点的强度损失不得大于该材料标准强度的</w:t>
            </w:r>
            <w:r>
              <w:rPr>
                <w:rFonts w:hint="default" w:ascii="Times New Roman" w:hAnsi="Times New Roman" w:eastAsia="TimesNewRomanPSMT" w:cs="Times New Roman"/>
                <w:color w:val="000000" w:themeColor="text1"/>
                <w:highlight w:val="none"/>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管桩模具由上、下半模（钢模）组成，将清理干净的上、下半模装入钢筋骨架后找正合模，合模时应保证上、下钢模合缝口干净无杂物，并采取必要的防止漏浆的措施，上模要对准轻放，不要碰撞钢套箍。装模前使用压缩空气将脱模剂喷涂在模具型腔表面。</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）布料、</w:t>
            </w:r>
            <w:r>
              <w:rPr>
                <w:rFonts w:hint="eastAsia" w:cs="Times New Roman"/>
                <w:color w:val="000000" w:themeColor="text1"/>
                <w:highlight w:val="none"/>
                <w:lang w:val="en-US" w:eastAsia="zh-CN"/>
                <w14:textFill>
                  <w14:solidFill>
                    <w14:schemeClr w14:val="tx1"/>
                  </w14:solidFill>
                </w14:textFill>
              </w:rPr>
              <w:t>合模、</w:t>
            </w:r>
            <w:r>
              <w:rPr>
                <w:rFonts w:hint="default" w:ascii="Times New Roman" w:hAnsi="Times New Roman" w:cs="Times New Roman"/>
                <w:color w:val="000000" w:themeColor="text1"/>
                <w:highlight w:val="none"/>
                <w14:textFill>
                  <w14:solidFill>
                    <w14:schemeClr w14:val="tx1"/>
                  </w14:solidFill>
                </w14:textFill>
              </w:rPr>
              <w:t>离心成型</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采用布料机将搅拌好的混凝土均匀布入钢模，布料时要求均匀，宜先辅两端部位，后辅中间部位，保证两端有足够的混凝土。</w:t>
            </w:r>
            <w:r>
              <w:rPr>
                <w:rFonts w:hint="eastAsia" w:cs="Times New Roman"/>
                <w:color w:val="000000" w:themeColor="text1"/>
                <w:highlight w:val="none"/>
                <w:lang w:val="en-US" w:eastAsia="zh-CN"/>
                <w14:textFill>
                  <w14:solidFill>
                    <w14:schemeClr w14:val="tx1"/>
                  </w14:solidFill>
                </w14:textFill>
              </w:rPr>
              <w:t>经过拉伸后，</w:t>
            </w:r>
            <w:r>
              <w:rPr>
                <w:rFonts w:hint="default" w:ascii="Times New Roman" w:hAnsi="Times New Roman" w:cs="Times New Roman"/>
                <w:color w:val="000000" w:themeColor="text1"/>
                <w:highlight w:val="none"/>
                <w14:textFill>
                  <w14:solidFill>
                    <w14:schemeClr w14:val="tx1"/>
                  </w14:solidFill>
                </w14:textFill>
              </w:rPr>
              <w:t>将钢模装置在离心机上进行离心成型，离心成型分为四阶段：低速、低中速、中速、高速。低速为新拌混凝土混合料通过钢模的翻转，使其恢复良好的流动性；低中速为布料阶段，使新拌混凝土均匀分布于模壁；中速是过度阶段，使之继续均匀布料及克服离心力突增，减少内外分层，提高管桩的密实性和抗渗性；高速离心为重点的密实阶段。</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离心操作规程（转速与时间）根据管桩规格等经试验确定，以获得最佳的密实效果。</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蒸汽</w:t>
            </w:r>
            <w:r>
              <w:rPr>
                <w:rFonts w:hint="default" w:ascii="Times New Roman" w:hAnsi="Times New Roman" w:cs="Times New Roman"/>
                <w:color w:val="000000" w:themeColor="text1"/>
                <w:highlight w:val="none"/>
                <w14:textFill>
                  <w14:solidFill>
                    <w14:schemeClr w14:val="tx1"/>
                  </w14:solidFill>
                </w14:textFill>
              </w:rPr>
              <w:t>养护</w:t>
            </w:r>
          </w:p>
          <w:p>
            <w:pPr>
              <w:keepNext w:val="0"/>
              <w:keepLines w:val="0"/>
              <w:suppressLineNumbers w:val="0"/>
              <w:spacing w:before="0" w:beforeAutospacing="0" w:after="0" w:afterAutospacing="0"/>
              <w:ind w:left="0" w:right="0" w:firstLine="420"/>
              <w:rPr>
                <w:rFonts w:hint="default" w:cs="Times New Roman"/>
                <w:color w:val="000000" w:themeColor="text1"/>
                <w:highlight w:val="none"/>
                <w14:textFill>
                  <w14:solidFill>
                    <w14:schemeClr w14:val="tx1"/>
                  </w14:solidFill>
                </w14:textFill>
              </w:rPr>
            </w:pPr>
            <w:r>
              <w:rPr>
                <w:rFonts w:hint="default" w:cs="Times New Roman"/>
                <w:color w:val="000000" w:themeColor="text1"/>
                <w:highlight w:val="none"/>
                <w14:textFill>
                  <w14:solidFill>
                    <w14:schemeClr w14:val="tx1"/>
                  </w14:solidFill>
                </w14:textFill>
              </w:rPr>
              <w:t>管桩养护是采用高温蒸汽作为养护热源。蒸汽养护分为静停、升温、恒温、降温出池四个阶段养护。</w:t>
            </w:r>
          </w:p>
          <w:p>
            <w:pPr>
              <w:keepNext w:val="0"/>
              <w:keepLines w:val="0"/>
              <w:suppressLineNumbers w:val="0"/>
              <w:spacing w:before="0" w:beforeAutospacing="0" w:after="0" w:afterAutospacing="0"/>
              <w:ind w:left="0" w:right="0" w:firstLine="420"/>
              <w:rPr>
                <w:rFonts w:hint="default" w:cs="Times New Roman"/>
                <w:color w:val="000000" w:themeColor="text1"/>
                <w:highlight w:val="none"/>
                <w14:textFill>
                  <w14:solidFill>
                    <w14:schemeClr w14:val="tx1"/>
                  </w14:solidFill>
                </w14:textFill>
              </w:rPr>
            </w:pPr>
            <w:r>
              <w:rPr>
                <w:rFonts w:hint="default" w:cs="Times New Roman"/>
                <w:color w:val="000000" w:themeColor="text1"/>
                <w:highlight w:val="none"/>
                <w14:textFill>
                  <w14:solidFill>
                    <w14:schemeClr w14:val="tx1"/>
                  </w14:solidFill>
                </w14:textFill>
              </w:rPr>
              <w:t>静停：将离心成型的管桩放入养护池内，在养护池内静置，一般静置时间控制在0.5h；</w:t>
            </w:r>
          </w:p>
          <w:p>
            <w:pPr>
              <w:keepNext w:val="0"/>
              <w:keepLines w:val="0"/>
              <w:suppressLineNumbers w:val="0"/>
              <w:spacing w:before="0" w:beforeAutospacing="0" w:after="0" w:afterAutospacing="0"/>
              <w:ind w:left="0" w:right="0" w:firstLine="420"/>
              <w:rPr>
                <w:rFonts w:hint="default" w:cs="Times New Roman"/>
                <w:color w:val="000000" w:themeColor="text1"/>
                <w:highlight w:val="none"/>
                <w14:textFill>
                  <w14:solidFill>
                    <w14:schemeClr w14:val="tx1"/>
                  </w14:solidFill>
                </w14:textFill>
              </w:rPr>
            </w:pPr>
            <w:r>
              <w:rPr>
                <w:rFonts w:hint="default" w:cs="Times New Roman"/>
                <w:color w:val="000000" w:themeColor="text1"/>
                <w:highlight w:val="none"/>
                <w14:textFill>
                  <w14:solidFill>
                    <w14:schemeClr w14:val="tx1"/>
                  </w14:solidFill>
                </w14:textFill>
              </w:rPr>
              <w:t>注入饱和蒸汽养护：管桩在池内达到静停时间后，开始向养护池内注入饱和蒸汽，管桩在池内完成初级养护，使混凝土达到规定脱模强度，</w:t>
            </w:r>
            <w:r>
              <w:rPr>
                <w:rFonts w:hint="eastAsia" w:cs="Times New Roman"/>
                <w:color w:val="000000" w:themeColor="text1"/>
                <w:highlight w:val="none"/>
                <w:lang w:val="en-US" w:eastAsia="zh-CN"/>
                <w14:textFill>
                  <w14:solidFill>
                    <w14:schemeClr w14:val="tx1"/>
                  </w14:solidFill>
                </w14:textFill>
              </w:rPr>
              <w:t>养护温度约为95℃，</w:t>
            </w:r>
            <w:r>
              <w:rPr>
                <w:rFonts w:hint="default" w:cs="Times New Roman"/>
                <w:color w:val="000000" w:themeColor="text1"/>
                <w:highlight w:val="none"/>
                <w14:textFill>
                  <w14:solidFill>
                    <w14:schemeClr w14:val="tx1"/>
                  </w14:solidFill>
                </w14:textFill>
              </w:rPr>
              <w:t>养护</w:t>
            </w:r>
            <w:r>
              <w:rPr>
                <w:rFonts w:hint="eastAsia" w:cs="Times New Roman"/>
                <w:color w:val="000000" w:themeColor="text1"/>
                <w:highlight w:val="none"/>
                <w:lang w:val="en-US" w:eastAsia="zh-CN"/>
                <w14:textFill>
                  <w14:solidFill>
                    <w14:schemeClr w14:val="tx1"/>
                  </w14:solidFill>
                </w14:textFill>
              </w:rPr>
              <w:t>时间6</w:t>
            </w:r>
            <w:r>
              <w:rPr>
                <w:rFonts w:hint="default"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8</w:t>
            </w:r>
            <w:r>
              <w:rPr>
                <w:rFonts w:hint="default" w:cs="Times New Roman"/>
                <w:color w:val="000000" w:themeColor="text1"/>
                <w:highlight w:val="none"/>
                <w14:textFill>
                  <w14:solidFill>
                    <w14:schemeClr w14:val="tx1"/>
                  </w14:solidFill>
                </w14:textFill>
              </w:rPr>
              <w:t>h。</w:t>
            </w:r>
          </w:p>
          <w:p>
            <w:pPr>
              <w:keepNext w:val="0"/>
              <w:keepLines w:val="0"/>
              <w:suppressLineNumbers w:val="0"/>
              <w:spacing w:before="0" w:beforeAutospacing="0" w:after="0" w:afterAutospacing="0"/>
              <w:ind w:left="0" w:right="0" w:firstLine="420"/>
              <w:rPr>
                <w:rFonts w:hint="default" w:cs="Times New Roman"/>
                <w:color w:val="000000" w:themeColor="text1"/>
                <w:highlight w:val="none"/>
                <w14:textFill>
                  <w14:solidFill>
                    <w14:schemeClr w14:val="tx1"/>
                  </w14:solidFill>
                </w14:textFill>
              </w:rPr>
            </w:pPr>
            <w:r>
              <w:rPr>
                <w:rFonts w:hint="default" w:cs="Times New Roman"/>
                <w:color w:val="000000" w:themeColor="text1"/>
                <w:highlight w:val="none"/>
                <w14:textFill>
                  <w14:solidFill>
                    <w14:schemeClr w14:val="tx1"/>
                  </w14:solidFill>
                </w14:textFill>
              </w:rPr>
              <w:t>降温出池：养护工艺结束后，打开养护池盖降温，然后将管桩吊出养护池脱模。排出的冷凝水送至循环池回用于</w:t>
            </w:r>
            <w:r>
              <w:rPr>
                <w:rFonts w:hint="eastAsia" w:cs="Times New Roman"/>
                <w:color w:val="000000" w:themeColor="text1"/>
                <w:highlight w:val="none"/>
                <w:lang w:val="en-US" w:eastAsia="zh-CN"/>
                <w14:textFill>
                  <w14:solidFill>
                    <w14:schemeClr w14:val="tx1"/>
                  </w14:solidFill>
                </w14:textFill>
              </w:rPr>
              <w:t>混凝土</w:t>
            </w:r>
            <w:r>
              <w:rPr>
                <w:rFonts w:hint="default" w:cs="Times New Roman"/>
                <w:color w:val="000000" w:themeColor="text1"/>
                <w:highlight w:val="none"/>
                <w14:textFill>
                  <w14:solidFill>
                    <w14:schemeClr w14:val="tx1"/>
                  </w14:solidFill>
                </w14:textFill>
              </w:rPr>
              <w:t>生产。</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拆</w:t>
            </w:r>
            <w:r>
              <w:rPr>
                <w:rFonts w:hint="default" w:ascii="Times New Roman" w:hAnsi="Times New Roman" w:cs="Times New Roman"/>
                <w:color w:val="000000" w:themeColor="text1"/>
                <w:highlight w:val="none"/>
                <w14:textFill>
                  <w14:solidFill>
                    <w14:schemeClr w14:val="tx1"/>
                  </w14:solidFill>
                </w14:textFill>
              </w:rPr>
              <w:t>模</w:t>
            </w:r>
          </w:p>
          <w:p>
            <w:pPr>
              <w:keepNext w:val="0"/>
              <w:keepLines w:val="0"/>
              <w:suppressLineNumbers w:val="0"/>
              <w:spacing w:before="0" w:beforeAutospacing="0" w:after="0" w:afterAutospacing="0"/>
              <w:ind w:left="0" w:right="0"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在养护完成后，在混凝土的强度达到设计要求</w:t>
            </w:r>
            <w:r>
              <w:rPr>
                <w:rFonts w:hint="eastAsia" w:ascii="Times New Roman" w:hAnsi="Times New Roman" w:cs="Times New Roman"/>
                <w:color w:val="000000" w:themeColor="text1"/>
                <w:highlight w:val="none"/>
                <w:lang w:val="en-US" w:eastAsia="zh-CN"/>
                <w14:textFill>
                  <w14:solidFill>
                    <w14:schemeClr w14:val="tx1"/>
                  </w14:solidFill>
                </w14:textFill>
              </w:rPr>
              <w:t>后，</w:t>
            </w:r>
            <w:r>
              <w:rPr>
                <w:rFonts w:hint="eastAsia" w:cs="Times New Roman"/>
                <w:color w:val="000000" w:themeColor="text1"/>
                <w:highlight w:val="none"/>
                <w:lang w:val="en-US" w:eastAsia="zh-CN"/>
                <w14:textFill>
                  <w14:solidFill>
                    <w14:schemeClr w14:val="tx1"/>
                  </w14:solidFill>
                </w14:textFill>
              </w:rPr>
              <w:t>须在</w:t>
            </w:r>
            <w:r>
              <w:rPr>
                <w:rFonts w:hint="default" w:ascii="Times New Roman" w:hAnsi="Times New Roman" w:cs="Times New Roman"/>
                <w:color w:val="000000" w:themeColor="text1"/>
                <w:highlight w:val="none"/>
                <w:lang w:val="en-US" w:eastAsia="zh-CN"/>
                <w14:textFill>
                  <w14:solidFill>
                    <w14:schemeClr w14:val="tx1"/>
                  </w14:solidFill>
                </w14:textFill>
              </w:rPr>
              <w:t>规定的时间内进行</w:t>
            </w:r>
            <w:r>
              <w:rPr>
                <w:rFonts w:hint="eastAsia" w:cs="Times New Roman"/>
                <w:color w:val="000000" w:themeColor="text1"/>
                <w:highlight w:val="none"/>
                <w:lang w:val="en-US" w:eastAsia="zh-CN"/>
                <w14:textFill>
                  <w14:solidFill>
                    <w14:schemeClr w14:val="tx1"/>
                  </w14:solidFill>
                </w14:textFill>
              </w:rPr>
              <w:t>拆</w:t>
            </w:r>
            <w:r>
              <w:rPr>
                <w:rFonts w:hint="default" w:ascii="Times New Roman" w:hAnsi="Times New Roman" w:cs="Times New Roman"/>
                <w:color w:val="000000" w:themeColor="text1"/>
                <w:highlight w:val="none"/>
                <w:lang w:val="en-US" w:eastAsia="zh-CN"/>
                <w14:textFill>
                  <w14:solidFill>
                    <w14:schemeClr w14:val="tx1"/>
                  </w14:solidFill>
                </w14:textFill>
              </w:rPr>
              <w:t>模</w:t>
            </w:r>
            <w:r>
              <w:rPr>
                <w:rFonts w:hint="eastAsia" w:cs="Times New Roman"/>
                <w:color w:val="000000" w:themeColor="text1"/>
                <w:highlight w:val="none"/>
                <w:lang w:val="en-US" w:eastAsia="zh-CN"/>
                <w14:textFill>
                  <w14:solidFill>
                    <w14:schemeClr w14:val="tx1"/>
                  </w14:solidFill>
                </w14:textFill>
              </w:rPr>
              <w:t>。拆模后的模具经表面清理后，重新用于模具拼装</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keepNext w:val="0"/>
              <w:keepLines w:val="0"/>
              <w:suppressLineNumbers w:val="0"/>
              <w:spacing w:before="0" w:beforeAutospacing="0" w:after="0" w:afterAutospacing="0"/>
              <w:ind w:left="0" w:right="0" w:firstLine="420"/>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6</w:t>
            </w:r>
            <w:r>
              <w:rPr>
                <w:rFonts w:hint="default" w:ascii="Times New Roman" w:hAnsi="Times New Roman" w:cs="Times New Roman"/>
              </w:rPr>
              <w:t>）成品堆放</w:t>
            </w:r>
          </w:p>
          <w:p>
            <w:pPr>
              <w:keepNext w:val="0"/>
              <w:keepLines w:val="0"/>
              <w:suppressLineNumbers w:val="0"/>
              <w:spacing w:before="0" w:beforeAutospacing="0" w:after="0" w:afterAutospacing="0"/>
              <w:ind w:left="0" w:right="0" w:firstLine="420"/>
              <w:rPr>
                <w:rFonts w:hint="default" w:ascii="Times New Roman" w:hAnsi="Times New Roman" w:cs="Times New Roman"/>
              </w:rPr>
            </w:pPr>
            <w:r>
              <w:rPr>
                <w:rFonts w:hint="eastAsia" w:cs="Times New Roman"/>
                <w:lang w:val="en-US" w:eastAsia="zh-CN"/>
              </w:rPr>
              <w:t>拆模后经检查，剔除对光伏桩表面开裂、起砂等影响质量和美观的产品，其余合格产品送至</w:t>
            </w:r>
            <w:r>
              <w:rPr>
                <w:rFonts w:hint="default" w:ascii="Times New Roman" w:hAnsi="Times New Roman" w:cs="Times New Roman"/>
              </w:rPr>
              <w:t>成品堆场，并加盖商标、标志，然后按规定的层数堆放</w:t>
            </w:r>
            <w:r>
              <w:rPr>
                <w:rFonts w:hint="eastAsia" w:cs="Times New Roman"/>
                <w:lang w:val="en-US" w:eastAsia="zh-CN"/>
              </w:rPr>
              <w:t>外售</w:t>
            </w:r>
            <w:r>
              <w:rPr>
                <w:rFonts w:hint="default" w:ascii="Times New Roman" w:hAnsi="Times New Roman" w:cs="Times New Roman"/>
              </w:rPr>
              <w:t>。</w:t>
            </w:r>
          </w:p>
          <w:p>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rPr>
            </w:pPr>
            <w:r>
              <w:rPr>
                <w:rFonts w:hint="default"/>
              </w:rPr>
              <w:drawing>
                <wp:inline distT="0" distB="0" distL="114300" distR="114300">
                  <wp:extent cx="5283835" cy="3224530"/>
                  <wp:effectExtent l="0" t="0" r="12065" b="1397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3"/>
                          <a:stretch>
                            <a:fillRect/>
                          </a:stretch>
                        </pic:blipFill>
                        <pic:spPr>
                          <a:xfrm>
                            <a:off x="0" y="0"/>
                            <a:ext cx="5283835" cy="3224530"/>
                          </a:xfrm>
                          <a:prstGeom prst="rect">
                            <a:avLst/>
                          </a:prstGeom>
                          <a:noFill/>
                          <a:ln>
                            <a:noFill/>
                          </a:ln>
                        </pic:spPr>
                      </pic:pic>
                    </a:graphicData>
                  </a:graphic>
                </wp:inline>
              </w:drawing>
            </w: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r>
              <w:rPr>
                <w:rFonts w:hint="default"/>
                <w:b w:val="0"/>
                <w:bCs w:val="0"/>
                <w:color w:val="000000" w:themeColor="text1"/>
                <w:highlight w:val="none"/>
                <w14:textFill>
                  <w14:solidFill>
                    <w14:schemeClr w14:val="tx1"/>
                  </w14:solidFill>
                </w14:textFill>
              </w:rPr>
              <w:t>图</w:t>
            </w:r>
            <w:r>
              <w:rPr>
                <w:rFonts w:hint="eastAsia"/>
                <w:b w:val="0"/>
                <w:bCs w:val="0"/>
                <w:color w:val="000000" w:themeColor="text1"/>
                <w:highlight w:val="none"/>
                <w:lang w:val="en-US" w:eastAsia="zh-CN"/>
                <w14:textFill>
                  <w14:solidFill>
                    <w14:schemeClr w14:val="tx1"/>
                  </w14:solidFill>
                </w14:textFill>
              </w:rPr>
              <w:t>2</w:t>
            </w:r>
            <w:r>
              <w:rPr>
                <w:rFonts w:hint="default"/>
                <w:b w:val="0"/>
                <w:bCs w:val="0"/>
                <w:color w:val="000000" w:themeColor="text1"/>
                <w:highlight w:val="none"/>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项目生产工艺</w:t>
            </w:r>
            <w:r>
              <w:rPr>
                <w:rFonts w:hint="default"/>
                <w:b w:val="0"/>
                <w:bCs w:val="0"/>
                <w:color w:val="000000" w:themeColor="text1"/>
                <w:highlight w:val="none"/>
                <w14:textFill>
                  <w14:solidFill>
                    <w14:schemeClr w14:val="tx1"/>
                  </w14:solidFill>
                </w14:textFill>
              </w:rPr>
              <w:t>流程及</w:t>
            </w:r>
            <w:r>
              <w:rPr>
                <w:rFonts w:hint="eastAsia"/>
                <w:b w:val="0"/>
                <w:bCs w:val="0"/>
                <w:color w:val="000000" w:themeColor="text1"/>
                <w:highlight w:val="none"/>
                <w14:textFill>
                  <w14:solidFill>
                    <w14:schemeClr w14:val="tx1"/>
                  </w14:solidFill>
                </w14:textFill>
              </w:rPr>
              <w:t>产污</w:t>
            </w:r>
            <w:r>
              <w:rPr>
                <w:rFonts w:hint="default"/>
                <w:b w:val="0"/>
                <w:bCs w:val="0"/>
                <w:color w:val="000000" w:themeColor="text1"/>
                <w:highlight w:val="none"/>
                <w14:textFill>
                  <w14:solidFill>
                    <w14:schemeClr w14:val="tx1"/>
                  </w14:solidFill>
                </w14:textFill>
              </w:rPr>
              <w:t>节点图</w:t>
            </w: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center"/>
              <w:rPr>
                <w:rFonts w:hint="default"/>
                <w:b w:val="0"/>
                <w:bCs w:val="0"/>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leftChars="0" w:right="0" w:firstLine="0" w:firstLineChars="0"/>
              <w:jc w:val="both"/>
              <w:rPr>
                <w:rFonts w:hint="default"/>
                <w:b w:val="0"/>
                <w:bCs w:val="0"/>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42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宋体"/>
              </w:rPr>
            </w:pPr>
            <w:r>
              <w:rPr>
                <w:rFonts w:hint="eastAsia" w:cs="宋体"/>
                <w:bCs/>
              </w:rPr>
              <w:t>与项目有关的原有环境污染问题</w:t>
            </w:r>
          </w:p>
        </w:tc>
        <w:tc>
          <w:tcPr>
            <w:tcW w:w="8547" w:type="dxa"/>
            <w:vAlign w:val="center"/>
          </w:tcPr>
          <w:p>
            <w:pPr>
              <w:keepNext w:val="0"/>
              <w:keepLines w:val="0"/>
              <w:suppressLineNumbers w:val="0"/>
              <w:spacing w:before="0" w:beforeAutospacing="0" w:after="0" w:afterAutospacing="0" w:line="360" w:lineRule="auto"/>
              <w:ind w:left="0" w:leftChars="0" w:right="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1、项目环保手续履行情况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lang w:val="en-US" w:eastAsia="zh-CN"/>
              </w:rPr>
            </w:pPr>
            <w:r>
              <w:rPr>
                <w:rFonts w:hint="eastAsia"/>
                <w:lang w:val="en-US" w:eastAsia="zh-CN"/>
              </w:rPr>
              <w:t>奎屯</w:t>
            </w:r>
            <w:r>
              <w:rPr>
                <w:rFonts w:hint="default"/>
              </w:rPr>
              <w:t>广合商品混凝土有限责任公司克拉玛依分公司</w:t>
            </w:r>
            <w:r>
              <w:rPr>
                <w:rFonts w:hint="eastAsia"/>
                <w:lang w:val="en-US" w:eastAsia="zh-CN"/>
              </w:rPr>
              <w:t>于2016年投资建设年产10万吨水泥制品生产线，配套设备、配电设施、辅助生产生生活设施</w:t>
            </w:r>
            <w:r>
              <w:rPr>
                <w:rFonts w:hint="eastAsia"/>
                <w:color w:val="auto"/>
                <w:lang w:val="en-US" w:eastAsia="zh-CN"/>
              </w:rPr>
              <w:t>，主要产品为涵管，</w:t>
            </w:r>
            <w:r>
              <w:rPr>
                <w:rFonts w:hint="eastAsia"/>
                <w:lang w:val="en-US" w:eastAsia="zh-CN"/>
              </w:rPr>
              <w:t>并取得《奎屯广合商品混凝土有限责任公司年产10万吨水泥制品生产线以及配套设备、配电设施、辅助生产生活设施项目环境影响报告表的批复》（七师环保局，师环审〔2016</w:t>
            </w:r>
            <w:r>
              <w:rPr>
                <w:rFonts w:hint="eastAsia"/>
                <w:sz w:val="21"/>
                <w:szCs w:val="21"/>
                <w:lang w:eastAsia="zh-CN"/>
              </w:rPr>
              <w:t>〕</w:t>
            </w:r>
            <w:r>
              <w:rPr>
                <w:rFonts w:hint="eastAsia"/>
                <w:lang w:val="en-US" w:eastAsia="zh-CN"/>
              </w:rPr>
              <w:t>88号）。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lang w:val="en-US" w:eastAsia="zh-CN"/>
              </w:rPr>
            </w:pPr>
            <w:r>
              <w:rPr>
                <w:rFonts w:hint="eastAsia"/>
                <w:lang w:val="en-US" w:eastAsia="zh-CN"/>
              </w:rPr>
              <w:t>2016年9月30日，第七师环保局开展奎屯广合商品混凝土有限责任公司年产10万吨水泥制品生产线以及配套设备、配电设施、辅助生产生活设施项目竣工环境保护验收工作，经现场核查及监测，于11月9日出具项目验收环境保护验收批复，文号：《关于奎屯广合商品混凝土有限责任公司年产10万吨水泥制品生产线以及配套设备、配电设施、辅助生产生活设施项目竣工环境保护验收的批复》（师环审〔2016</w:t>
            </w:r>
            <w:r>
              <w:rPr>
                <w:rFonts w:hint="eastAsia"/>
                <w:sz w:val="21"/>
                <w:szCs w:val="21"/>
                <w:lang w:eastAsia="zh-CN"/>
              </w:rPr>
              <w:t>〕</w:t>
            </w:r>
            <w:r>
              <w:rPr>
                <w:rFonts w:hint="eastAsia"/>
                <w:lang w:val="en-US" w:eastAsia="zh-CN"/>
              </w:rPr>
              <w:t>132号），同意项目通过竣工环保验收，正式投入运营。</w:t>
            </w:r>
          </w:p>
          <w:p>
            <w:pPr>
              <w:keepNext w:val="0"/>
              <w:keepLines w:val="0"/>
              <w:suppressLineNumbers w:val="0"/>
              <w:spacing w:before="0" w:beforeAutospacing="0" w:after="0" w:afterAutospacing="0" w:line="360" w:lineRule="auto"/>
              <w:ind w:left="0" w:leftChars="0" w:right="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2、现有有关污染问题</w:t>
            </w:r>
          </w:p>
          <w:p>
            <w:pPr>
              <w:keepNext w:val="0"/>
              <w:keepLines w:val="0"/>
              <w:suppressLineNumbers w:val="0"/>
              <w:spacing w:before="0" w:beforeAutospacing="0" w:after="0" w:afterAutospacing="0" w:line="360" w:lineRule="auto"/>
              <w:ind w:left="0" w:right="0"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企业目前主要以生产涵管为主，生产规模10万吨，企业根据市场需求调整经营方案，依托利用现场厂区生产厂房、堆场等，生产光伏桩。西侧混凝土搅拌站、生产车间西侧筒仓、堆场全部废弃停用。</w:t>
            </w:r>
          </w:p>
          <w:p>
            <w:pPr>
              <w:keepNext w:val="0"/>
              <w:keepLines w:val="0"/>
              <w:suppressLineNumbers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经现场调查，光伏桩生产线已组装完成并已投入运行，与项目有关的污染物主要为废气、噪声，污染源数据</w:t>
            </w:r>
            <w:r>
              <w:rPr>
                <w:rFonts w:hint="eastAsia"/>
                <w:color w:val="auto"/>
                <w:highlight w:val="none"/>
                <w:lang w:val="en-US" w:eastAsia="zh-CN"/>
              </w:rPr>
              <w:t>委托新疆西域质信检验检测有限公司开展实测</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具体详见下述。</w:t>
            </w:r>
          </w:p>
          <w:p>
            <w:pPr>
              <w:keepNext w:val="0"/>
              <w:keepLines w:val="0"/>
              <w:suppressLineNumbers w:val="0"/>
              <w:spacing w:before="0" w:beforeAutospacing="0" w:after="0" w:afterAutospacing="0" w:line="360" w:lineRule="auto"/>
              <w:ind w:left="0" w:right="0" w:firstLine="420" w:firstLineChars="20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（1）废气：项目现有主要污染物为混凝土制造、光伏桩生产产生的颗粒物，其无组织</w:t>
            </w:r>
            <w:r>
              <w:rPr>
                <w:rFonts w:hint="default"/>
                <w:color w:val="000000" w:themeColor="text1"/>
                <w14:textFill>
                  <w14:solidFill>
                    <w14:schemeClr w14:val="tx1"/>
                  </w14:solidFill>
                </w14:textFill>
              </w:rPr>
              <w:t>污染物放情况见下表</w:t>
            </w:r>
            <w:r>
              <w:rPr>
                <w:rFonts w:hint="eastAsia"/>
                <w:color w:val="000000" w:themeColor="text1"/>
                <w:lang w:val="en-US" w:eastAsia="zh-CN"/>
                <w14:textFill>
                  <w14:solidFill>
                    <w14:schemeClr w14:val="tx1"/>
                  </w14:solidFill>
                </w14:textFill>
              </w:rPr>
              <w:t>7</w:t>
            </w:r>
            <w:r>
              <w:rPr>
                <w:rFonts w:hint="default"/>
                <w:color w:val="000000" w:themeColor="text1"/>
                <w14:textFill>
                  <w14:solidFill>
                    <w14:schemeClr w14:val="tx1"/>
                  </w14:solidFill>
                </w14:textFill>
              </w:rPr>
              <w:t>统计。</w:t>
            </w:r>
          </w:p>
          <w:p>
            <w:pPr>
              <w:pStyle w:val="16"/>
              <w:keepNext w:val="0"/>
              <w:keepLines w:val="0"/>
              <w:suppressLineNumbers w:val="0"/>
              <w:bidi w:val="0"/>
              <w:spacing w:before="0" w:beforeAutospacing="0" w:after="0" w:afterAutospacing="0"/>
              <w:ind w:left="0" w:right="0"/>
              <w:rPr>
                <w:rFonts w:hint="default" w:eastAsia="宋体"/>
                <w:b w:val="0"/>
                <w:bCs w:val="0"/>
                <w:color w:val="000000" w:themeColor="text1"/>
                <w:vertAlign w:val="superscript"/>
                <w:lang w:val="en-US" w:eastAsia="zh-CN"/>
                <w14:textFill>
                  <w14:solidFill>
                    <w14:schemeClr w14:val="tx1"/>
                  </w14:solidFill>
                </w14:textFill>
              </w:rPr>
            </w:pPr>
            <w:r>
              <w:rPr>
                <w:rFonts w:hint="default"/>
                <w:b w:val="0"/>
                <w:bCs w:val="0"/>
                <w:color w:val="000000" w:themeColor="text1"/>
                <w14:textFill>
                  <w14:solidFill>
                    <w14:schemeClr w14:val="tx1"/>
                  </w14:solidFill>
                </w14:textFill>
              </w:rPr>
              <w:t>表</w:t>
            </w:r>
            <w:r>
              <w:rPr>
                <w:rFonts w:hint="eastAsia"/>
                <w:b w:val="0"/>
                <w:bCs w:val="0"/>
                <w:color w:val="000000" w:themeColor="text1"/>
                <w:lang w:val="en-US" w:eastAsia="zh-CN"/>
                <w14:textFill>
                  <w14:solidFill>
                    <w14:schemeClr w14:val="tx1"/>
                  </w14:solidFill>
                </w14:textFill>
              </w:rPr>
              <w:t>7                厂界无组织颗粒物监测</w:t>
            </w:r>
            <w:r>
              <w:rPr>
                <w:rFonts w:hint="default"/>
                <w:b w:val="0"/>
                <w:bCs w:val="0"/>
                <w:color w:val="000000" w:themeColor="text1"/>
                <w14:textFill>
                  <w14:solidFill>
                    <w14:schemeClr w14:val="tx1"/>
                  </w14:solidFill>
                </w14:textFill>
              </w:rPr>
              <w:t>统计表</w:t>
            </w:r>
            <w:r>
              <w:rPr>
                <w:rFonts w:hint="eastAsia"/>
                <w:b w:val="0"/>
                <w:bCs w:val="0"/>
                <w:color w:val="000000" w:themeColor="text1"/>
                <w:lang w:val="en-US" w:eastAsia="zh-CN"/>
                <w14:textFill>
                  <w14:solidFill>
                    <w14:schemeClr w14:val="tx1"/>
                  </w14:solidFill>
                </w14:textFill>
              </w:rPr>
              <w:t xml:space="preserve">                 单位：ug/m</w:t>
            </w:r>
            <w:r>
              <w:rPr>
                <w:rFonts w:hint="eastAsia"/>
                <w:b w:val="0"/>
                <w:bCs w:val="0"/>
                <w:color w:val="000000" w:themeColor="text1"/>
                <w:vertAlign w:val="superscript"/>
                <w:lang w:val="en-US" w:eastAsia="zh-CN"/>
                <w14:textFill>
                  <w14:solidFill>
                    <w14:schemeClr w14:val="tx1"/>
                  </w14:solidFill>
                </w14:textFill>
              </w:rPr>
              <w:t>3</w:t>
            </w:r>
          </w:p>
          <w:tbl>
            <w:tblPr>
              <w:tblStyle w:val="1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384"/>
              <w:gridCol w:w="1189"/>
              <w:gridCol w:w="1193"/>
              <w:gridCol w:w="1198"/>
              <w:gridCol w:w="1166"/>
              <w:gridCol w:w="11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7" w:type="pct"/>
                  <w:vMerge w:val="restar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监测日期</w:t>
                  </w:r>
                </w:p>
              </w:tc>
              <w:tc>
                <w:tcPr>
                  <w:tcW w:w="830" w:type="pct"/>
                  <w:vMerge w:val="restar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监测点位</w:t>
                  </w:r>
                </w:p>
              </w:tc>
              <w:tc>
                <w:tcPr>
                  <w:tcW w:w="2845" w:type="pct"/>
                  <w:gridSpan w:val="4"/>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监测结果</w:t>
                  </w:r>
                </w:p>
              </w:tc>
              <w:tc>
                <w:tcPr>
                  <w:tcW w:w="696" w:type="pct"/>
                  <w:vMerge w:val="restar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7"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830"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713"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第一次</w:t>
                  </w:r>
                </w:p>
              </w:tc>
              <w:tc>
                <w:tcPr>
                  <w:tcW w:w="715"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第二次</w:t>
                  </w:r>
                </w:p>
              </w:tc>
              <w:tc>
                <w:tcPr>
                  <w:tcW w:w="718"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第三次</w:t>
                  </w:r>
                </w:p>
              </w:tc>
              <w:tc>
                <w:tcPr>
                  <w:tcW w:w="698"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第四次</w:t>
                  </w:r>
                </w:p>
              </w:tc>
              <w:tc>
                <w:tcPr>
                  <w:tcW w:w="696"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pct"/>
                  <w:vMerge w:val="restar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2024年</w:t>
                  </w:r>
                </w:p>
                <w:p>
                  <w:pPr>
                    <w:pStyle w:val="15"/>
                    <w:keepNext w:val="0"/>
                    <w:keepLines w:val="0"/>
                    <w:widowControl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4月16日</w:t>
                  </w:r>
                </w:p>
              </w:tc>
              <w:tc>
                <w:tcPr>
                  <w:tcW w:w="830"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项目区上风向参照点</w:t>
                  </w:r>
                </w:p>
              </w:tc>
              <w:tc>
                <w:tcPr>
                  <w:tcW w:w="71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192</w:t>
                  </w:r>
                </w:p>
              </w:tc>
              <w:tc>
                <w:tcPr>
                  <w:tcW w:w="715"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181</w:t>
                  </w:r>
                </w:p>
              </w:tc>
              <w:tc>
                <w:tcPr>
                  <w:tcW w:w="71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185</w:t>
                  </w:r>
                </w:p>
              </w:tc>
              <w:tc>
                <w:tcPr>
                  <w:tcW w:w="69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lang w:val="en-US" w:eastAsia="zh-CN"/>
                    </w:rPr>
                  </w:pPr>
                  <w:r>
                    <w:rPr>
                      <w:rFonts w:hint="eastAsia"/>
                      <w:lang w:val="en-US" w:eastAsia="zh-CN"/>
                    </w:rPr>
                    <w:t>184</w:t>
                  </w:r>
                </w:p>
              </w:tc>
              <w:tc>
                <w:tcPr>
                  <w:tcW w:w="696"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7"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830"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项目区下风向</w:t>
                  </w:r>
                  <w:r>
                    <w:rPr>
                      <w:rFonts w:hint="eastAsia"/>
                      <w:lang w:val="en-US" w:eastAsia="zh-CN"/>
                    </w:rPr>
                    <w:t>监控点1#</w:t>
                  </w:r>
                </w:p>
              </w:tc>
              <w:tc>
                <w:tcPr>
                  <w:tcW w:w="71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rPr>
                  </w:pPr>
                  <w:r>
                    <w:rPr>
                      <w:rFonts w:hint="eastAsia"/>
                      <w:lang w:val="en-US" w:eastAsia="zh-CN"/>
                    </w:rPr>
                    <w:t>215</w:t>
                  </w:r>
                </w:p>
              </w:tc>
              <w:tc>
                <w:tcPr>
                  <w:tcW w:w="715"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lang w:eastAsia="zh-CN"/>
                    </w:rPr>
                  </w:pPr>
                  <w:r>
                    <w:rPr>
                      <w:rFonts w:hint="eastAsia"/>
                      <w:lang w:val="en-US" w:eastAsia="zh-CN"/>
                    </w:rPr>
                    <w:t>213</w:t>
                  </w:r>
                </w:p>
              </w:tc>
              <w:tc>
                <w:tcPr>
                  <w:tcW w:w="71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rPr>
                  </w:pPr>
                  <w:r>
                    <w:rPr>
                      <w:rFonts w:hint="eastAsia"/>
                      <w:lang w:val="en-US" w:eastAsia="zh-CN"/>
                    </w:rPr>
                    <w:t>219</w:t>
                  </w:r>
                </w:p>
              </w:tc>
              <w:tc>
                <w:tcPr>
                  <w:tcW w:w="69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rPr>
                  </w:pPr>
                  <w:r>
                    <w:rPr>
                      <w:rFonts w:hint="eastAsia"/>
                      <w:lang w:val="en-US" w:eastAsia="zh-CN"/>
                    </w:rPr>
                    <w:t>225</w:t>
                  </w:r>
                </w:p>
              </w:tc>
              <w:tc>
                <w:tcPr>
                  <w:tcW w:w="696"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7"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830"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项目区下风向</w:t>
                  </w:r>
                  <w:r>
                    <w:rPr>
                      <w:rFonts w:hint="eastAsia"/>
                      <w:lang w:val="en-US" w:eastAsia="zh-CN"/>
                    </w:rPr>
                    <w:t>监控点2#</w:t>
                  </w:r>
                </w:p>
              </w:tc>
              <w:tc>
                <w:tcPr>
                  <w:tcW w:w="71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233</w:t>
                  </w:r>
                </w:p>
              </w:tc>
              <w:tc>
                <w:tcPr>
                  <w:tcW w:w="715"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237</w:t>
                  </w:r>
                </w:p>
              </w:tc>
              <w:tc>
                <w:tcPr>
                  <w:tcW w:w="71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241</w:t>
                  </w:r>
                </w:p>
              </w:tc>
              <w:tc>
                <w:tcPr>
                  <w:tcW w:w="69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lang w:val="en-US" w:eastAsia="zh-CN"/>
                    </w:rPr>
                  </w:pPr>
                  <w:r>
                    <w:rPr>
                      <w:rFonts w:hint="eastAsia"/>
                      <w:lang w:val="en-US" w:eastAsia="zh-CN"/>
                    </w:rPr>
                    <w:t>231</w:t>
                  </w:r>
                </w:p>
              </w:tc>
              <w:tc>
                <w:tcPr>
                  <w:tcW w:w="696"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7" w:type="pct"/>
                  <w:vMerge w:val="continue"/>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830"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项目区下风向</w:t>
                  </w:r>
                  <w:r>
                    <w:rPr>
                      <w:rFonts w:hint="eastAsia"/>
                      <w:lang w:val="en-US" w:eastAsia="zh-CN"/>
                    </w:rPr>
                    <w:t>监控点3#</w:t>
                  </w:r>
                </w:p>
              </w:tc>
              <w:tc>
                <w:tcPr>
                  <w:tcW w:w="713"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213</w:t>
                  </w:r>
                </w:p>
              </w:tc>
              <w:tc>
                <w:tcPr>
                  <w:tcW w:w="715"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210</w:t>
                  </w:r>
                </w:p>
              </w:tc>
              <w:tc>
                <w:tcPr>
                  <w:tcW w:w="71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lang w:val="en-US" w:eastAsia="zh-CN"/>
                    </w:rPr>
                  </w:pPr>
                  <w:r>
                    <w:rPr>
                      <w:rFonts w:hint="eastAsia"/>
                      <w:lang w:val="en-US" w:eastAsia="zh-CN"/>
                    </w:rPr>
                    <w:t>216</w:t>
                  </w:r>
                </w:p>
              </w:tc>
              <w:tc>
                <w:tcPr>
                  <w:tcW w:w="698"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lang w:val="en-US" w:eastAsia="zh-CN"/>
                    </w:rPr>
                  </w:pPr>
                  <w:r>
                    <w:rPr>
                      <w:rFonts w:hint="eastAsia"/>
                      <w:lang w:val="en-US" w:eastAsia="zh-CN"/>
                    </w:rPr>
                    <w:t>212</w:t>
                  </w:r>
                </w:p>
              </w:tc>
              <w:tc>
                <w:tcPr>
                  <w:tcW w:w="696" w:type="pct"/>
                  <w:tcBorders>
                    <w:tl2br w:val="nil"/>
                    <w:tr2bl w:val="nil"/>
                  </w:tcBorders>
                  <w:vAlign w:val="center"/>
                </w:tcPr>
                <w:p>
                  <w:pPr>
                    <w:pStyle w:val="15"/>
                    <w:keepNext w:val="0"/>
                    <w:keepLines w:val="0"/>
                    <w:widowControl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达标</w:t>
                  </w:r>
                </w:p>
              </w:tc>
            </w:tr>
          </w:tbl>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eastAsia="宋体"/>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由上表监测结果可以看，项目厂界无组织颗粒物的监测结果均满足</w:t>
            </w:r>
            <w:r>
              <w:rPr>
                <w:rFonts w:hint="eastAsia" w:cs="Times New Roman"/>
              </w:rPr>
              <w:t>《水泥工业大气污染物排放标准》(GB4915-2013)中表3无组织排放限值</w:t>
            </w:r>
            <w:r>
              <w:rPr>
                <w:rFonts w:hint="eastAsia" w:cs="Times New Roman"/>
                <w:lang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废水：本项目主要废水为生活污水，全部排入市政管网，最终进入胡杨河经济技术开发区污水处理厂；生产废水主要为搅拌设备清洗废水，经沉淀后回用混凝土制备，不外排，光伏桩蒸养冷凝水降温后回用混凝土制备，不外排。</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（3）噪声</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项目厂界噪声监测结果见下表8。</w:t>
            </w:r>
          </w:p>
          <w:p>
            <w:pPr>
              <w:pStyle w:val="16"/>
              <w:keepNext w:val="0"/>
              <w:keepLines w:val="0"/>
              <w:suppressLineNumbers w:val="0"/>
              <w:bidi w:val="0"/>
              <w:spacing w:before="0" w:beforeAutospacing="0" w:after="0" w:afterAutospacing="0"/>
              <w:ind w:left="0" w:right="0"/>
              <w:rPr>
                <w:rFonts w:hint="default"/>
                <w:b w:val="0"/>
                <w:bCs w:val="0"/>
                <w:color w:val="000000" w:themeColor="text1"/>
                <w14:textFill>
                  <w14:solidFill>
                    <w14:schemeClr w14:val="tx1"/>
                  </w14:solidFill>
                </w14:textFill>
              </w:rPr>
            </w:pPr>
            <w:r>
              <w:rPr>
                <w:rFonts w:hint="default"/>
                <w:b w:val="0"/>
                <w:bCs w:val="0"/>
                <w:color w:val="000000" w:themeColor="text1"/>
                <w14:textFill>
                  <w14:solidFill>
                    <w14:schemeClr w14:val="tx1"/>
                  </w14:solidFill>
                </w14:textFill>
              </w:rPr>
              <w:t>表</w:t>
            </w:r>
            <w:r>
              <w:rPr>
                <w:rFonts w:hint="eastAsia"/>
                <w:b w:val="0"/>
                <w:bCs w:val="0"/>
                <w:color w:val="000000" w:themeColor="text1"/>
                <w:lang w:val="en-US" w:eastAsia="zh-CN"/>
                <w14:textFill>
                  <w14:solidFill>
                    <w14:schemeClr w14:val="tx1"/>
                  </w14:solidFill>
                </w14:textFill>
              </w:rPr>
              <w:t>8                  厂界噪声监测</w:t>
            </w:r>
            <w:r>
              <w:rPr>
                <w:rFonts w:hint="default"/>
                <w:b w:val="0"/>
                <w:bCs w:val="0"/>
                <w:color w:val="000000" w:themeColor="text1"/>
                <w14:textFill>
                  <w14:solidFill>
                    <w14:schemeClr w14:val="tx1"/>
                  </w14:solidFill>
                </w14:textFill>
              </w:rPr>
              <w:t>统计表</w:t>
            </w:r>
          </w:p>
          <w:tbl>
            <w:tblPr>
              <w:tblStyle w:val="10"/>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01"/>
              <w:gridCol w:w="2381"/>
              <w:gridCol w:w="1395"/>
              <w:gridCol w:w="1273"/>
              <w:gridCol w:w="17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00" w:type="pct"/>
                  <w:tcBorders>
                    <w:tl2br w:val="nil"/>
                    <w:tr2bl w:val="nil"/>
                  </w:tcBorders>
                </w:tcPr>
                <w:p>
                  <w:pPr>
                    <w:pStyle w:val="15"/>
                    <w:keepNext w:val="0"/>
                    <w:keepLines w:val="0"/>
                    <w:suppressLineNumbers w:val="0"/>
                    <w:bidi w:val="0"/>
                    <w:spacing w:before="0" w:beforeAutospacing="0" w:after="0" w:afterAutospacing="0"/>
                    <w:ind w:left="0" w:right="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监测日期</w:t>
                  </w:r>
                </w:p>
              </w:tc>
              <w:tc>
                <w:tcPr>
                  <w:tcW w:w="1427"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监测</w:t>
                  </w:r>
                  <w:r>
                    <w:rPr>
                      <w:rFonts w:hint="default"/>
                      <w:color w:val="000000" w:themeColor="text1"/>
                      <w14:textFill>
                        <w14:solidFill>
                          <w14:schemeClr w14:val="tx1"/>
                        </w14:solidFill>
                      </w14:textFill>
                    </w:rPr>
                    <w:t>点位</w:t>
                  </w:r>
                </w:p>
              </w:tc>
              <w:tc>
                <w:tcPr>
                  <w:tcW w:w="836" w:type="pct"/>
                  <w:tcBorders>
                    <w:tl2br w:val="nil"/>
                    <w:tr2bl w:val="nil"/>
                  </w:tcBorders>
                </w:tcPr>
                <w:p>
                  <w:pPr>
                    <w:pStyle w:val="15"/>
                    <w:keepNext w:val="0"/>
                    <w:keepLines w:val="0"/>
                    <w:suppressLineNumbers w:val="0"/>
                    <w:bidi w:val="0"/>
                    <w:spacing w:before="0" w:beforeAutospacing="0" w:after="0" w:afterAutospacing="0"/>
                    <w:ind w:left="0" w:right="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昼间</w:t>
                  </w:r>
                </w:p>
              </w:tc>
              <w:tc>
                <w:tcPr>
                  <w:tcW w:w="763" w:type="pct"/>
                  <w:tcBorders>
                    <w:tl2br w:val="nil"/>
                    <w:tr2bl w:val="nil"/>
                  </w:tcBorders>
                  <w:vAlign w:val="top"/>
                </w:tcPr>
                <w:p>
                  <w:pPr>
                    <w:pStyle w:val="15"/>
                    <w:keepNext w:val="0"/>
                    <w:keepLines w:val="0"/>
                    <w:suppressLineNumbers w:val="0"/>
                    <w:bidi w:val="0"/>
                    <w:spacing w:before="0" w:beforeAutospacing="0" w:after="0" w:afterAutospacing="0"/>
                    <w:ind w:left="0" w:leftChars="0" w:right="0" w:rightChars="0" w:firstLine="0" w:firstLineChars="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夜间</w:t>
                  </w:r>
                </w:p>
              </w:tc>
              <w:tc>
                <w:tcPr>
                  <w:tcW w:w="1071"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0" w:type="pct"/>
                  <w:vMerge w:val="restar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pPr>
                    <w:pStyle w:val="15"/>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4年</w:t>
                  </w:r>
                </w:p>
                <w:p>
                  <w:pPr>
                    <w:pStyle w:val="15"/>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4月18日~19日</w:t>
                  </w:r>
                </w:p>
              </w:tc>
              <w:tc>
                <w:tcPr>
                  <w:tcW w:w="1427"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 xml:space="preserve">厂界北侧外1m </w:t>
                  </w:r>
                </w:p>
              </w:tc>
              <w:tc>
                <w:tcPr>
                  <w:tcW w:w="8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53</w:t>
                  </w:r>
                </w:p>
              </w:tc>
              <w:tc>
                <w:tcPr>
                  <w:tcW w:w="763"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lang w:val="en-US" w:eastAsia="zh-CN"/>
                    </w:rPr>
                    <w:t>47</w:t>
                  </w:r>
                </w:p>
              </w:tc>
              <w:tc>
                <w:tcPr>
                  <w:tcW w:w="1071"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00" w:type="pct"/>
                  <w:vMerge w:val="continue"/>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1427"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 xml:space="preserve">厂界西侧外1m </w:t>
                  </w:r>
                </w:p>
              </w:tc>
              <w:tc>
                <w:tcPr>
                  <w:tcW w:w="8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54</w:t>
                  </w:r>
                </w:p>
              </w:tc>
              <w:tc>
                <w:tcPr>
                  <w:tcW w:w="763"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lang w:val="en-US" w:eastAsia="zh-CN"/>
                    </w:rPr>
                    <w:t>45</w:t>
                  </w:r>
                </w:p>
              </w:tc>
              <w:tc>
                <w:tcPr>
                  <w:tcW w:w="1071"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00" w:type="pct"/>
                  <w:vMerge w:val="continue"/>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1427"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 xml:space="preserve">厂界南侧外1m </w:t>
                  </w:r>
                </w:p>
              </w:tc>
              <w:tc>
                <w:tcPr>
                  <w:tcW w:w="8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54</w:t>
                  </w:r>
                </w:p>
              </w:tc>
              <w:tc>
                <w:tcPr>
                  <w:tcW w:w="763"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lang w:val="en-US" w:eastAsia="zh-CN"/>
                    </w:rPr>
                    <w:t>45</w:t>
                  </w:r>
                </w:p>
              </w:tc>
              <w:tc>
                <w:tcPr>
                  <w:tcW w:w="1071"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00" w:type="pct"/>
                  <w:vMerge w:val="continue"/>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c>
                <w:tcPr>
                  <w:tcW w:w="1427"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 xml:space="preserve">厂界东侧外1m </w:t>
                  </w:r>
                </w:p>
              </w:tc>
              <w:tc>
                <w:tcPr>
                  <w:tcW w:w="8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eastAsia"/>
                      <w:lang w:val="en-US" w:eastAsia="zh-CN"/>
                    </w:rPr>
                    <w:t>53</w:t>
                  </w:r>
                </w:p>
              </w:tc>
              <w:tc>
                <w:tcPr>
                  <w:tcW w:w="763" w:type="pct"/>
                  <w:tcBorders>
                    <w:tl2br w:val="nil"/>
                    <w:tr2bl w:val="nil"/>
                  </w:tcBorders>
                  <w:vAlign w:val="center"/>
                </w:tcPr>
                <w:p>
                  <w:pPr>
                    <w:pStyle w:val="15"/>
                    <w:keepNext w:val="0"/>
                    <w:keepLines w:val="0"/>
                    <w:suppressLineNumbers w:val="0"/>
                    <w:bidi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lang w:val="en-US" w:eastAsia="zh-CN"/>
                    </w:rPr>
                    <w:t>47</w:t>
                  </w:r>
                </w:p>
              </w:tc>
              <w:tc>
                <w:tcPr>
                  <w:tcW w:w="1071" w:type="pct"/>
                  <w:tcBorders>
                    <w:tl2br w:val="nil"/>
                    <w:tr2bl w:val="nil"/>
                  </w:tcBorders>
                </w:tcPr>
                <w:p>
                  <w:pPr>
                    <w:pStyle w:val="15"/>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达标</w:t>
                  </w:r>
                </w:p>
              </w:tc>
            </w:tr>
          </w:tbl>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对照《工业企业厂界环境噪声排放标准》（GB12348-2008）3类功能区标准要求，项目区厂界昼间、夜间均达标。</w:t>
            </w:r>
          </w:p>
          <w:p>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（4）固废</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auto"/>
                <w:highlight w:val="none"/>
                <w:lang w:val="en-US" w:eastAsia="zh-CN"/>
              </w:rPr>
            </w:pPr>
            <w:r>
              <w:rPr>
                <w:rFonts w:hint="eastAsia"/>
                <w:color w:val="auto"/>
                <w:highlight w:val="none"/>
                <w:lang w:val="en-US" w:eastAsia="zh-CN"/>
              </w:rPr>
              <w:t>本项目固体废物为仓顶及搅拌设备除尘器除尘灰，回用于混凝土制备；一般工业固废主要废钢材边角料，集中清运外售处理；生活垃圾由环卫部门统一处理处置。</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color w:val="0000FF"/>
                <w:highlight w:val="green"/>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default"/>
                <w:color w:val="0000FF"/>
                <w:highlight w:val="green"/>
                <w:lang w:val="en-US" w:eastAsia="zh-CN"/>
              </w:rPr>
            </w:pPr>
          </w:p>
        </w:tc>
      </w:tr>
    </w:tbl>
    <w:p>
      <w:pPr>
        <w:widowControl/>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0"/>
        <w:tblW w:w="89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2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区域</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环境</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质量</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现状</w:t>
            </w:r>
          </w:p>
        </w:tc>
        <w:tc>
          <w:tcPr>
            <w:tcW w:w="8485" w:type="dxa"/>
            <w:vAlign w:val="center"/>
          </w:tcPr>
          <w:p>
            <w:pPr>
              <w:keepNext w:val="0"/>
              <w:keepLines w:val="0"/>
              <w:suppressLineNumbers w:val="0"/>
              <w:spacing w:before="0" w:beforeAutospacing="0" w:after="0" w:afterAutospacing="0"/>
              <w:ind w:left="0" w:right="0" w:firstLine="0" w:firstLineChars="0"/>
              <w:jc w:val="left"/>
              <w:rPr>
                <w:rFonts w:hint="default"/>
              </w:rPr>
            </w:pPr>
            <w:r>
              <w:rPr>
                <w:rFonts w:hint="eastAsia"/>
              </w:rPr>
              <w:t>1、大气环境质量现状</w:t>
            </w:r>
          </w:p>
          <w:p>
            <w:pPr>
              <w:keepNext w:val="0"/>
              <w:keepLines w:val="0"/>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（1）基本污染物环境质量现状</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本次环评选取《2022年新疆维吾尔自治区生态环境状况公报》中“奎-独-乌”数据，作为本项目环境空气现状评价基本污染物SO</w:t>
            </w:r>
            <w:r>
              <w:rPr>
                <w:rFonts w:hint="eastAsia" w:cs="Times New Roman"/>
                <w:color w:val="000000"/>
                <w:sz w:val="21"/>
                <w:szCs w:val="21"/>
                <w:vertAlign w:val="subscript"/>
                <w:lang w:val="en-US" w:eastAsia="zh-CN"/>
              </w:rPr>
              <w:t>2</w:t>
            </w:r>
            <w:r>
              <w:rPr>
                <w:rFonts w:hint="eastAsia" w:cs="Times New Roman"/>
                <w:color w:val="000000"/>
                <w:sz w:val="21"/>
                <w:szCs w:val="21"/>
                <w:lang w:val="en-US" w:eastAsia="zh-CN"/>
              </w:rPr>
              <w:t>、NO</w:t>
            </w:r>
            <w:r>
              <w:rPr>
                <w:rFonts w:hint="eastAsia" w:cs="Times New Roman"/>
                <w:color w:val="000000"/>
                <w:sz w:val="21"/>
                <w:szCs w:val="21"/>
                <w:vertAlign w:val="subscript"/>
                <w:lang w:val="en-US" w:eastAsia="zh-CN"/>
              </w:rPr>
              <w:t>2</w:t>
            </w:r>
            <w:r>
              <w:rPr>
                <w:rFonts w:hint="eastAsia" w:cs="Times New Roman"/>
                <w:color w:val="000000"/>
                <w:sz w:val="21"/>
                <w:szCs w:val="21"/>
                <w:lang w:val="en-US" w:eastAsia="zh-CN"/>
              </w:rPr>
              <w:t>、PM</w:t>
            </w:r>
            <w:r>
              <w:rPr>
                <w:rFonts w:hint="eastAsia" w:cs="Times New Roman"/>
                <w:color w:val="000000"/>
                <w:sz w:val="21"/>
                <w:szCs w:val="21"/>
                <w:vertAlign w:val="subscript"/>
                <w:lang w:val="en-US" w:eastAsia="zh-CN"/>
              </w:rPr>
              <w:t>10</w:t>
            </w:r>
            <w:r>
              <w:rPr>
                <w:rFonts w:hint="eastAsia" w:cs="Times New Roman"/>
                <w:color w:val="000000"/>
                <w:sz w:val="21"/>
                <w:szCs w:val="21"/>
                <w:lang w:val="en-US" w:eastAsia="zh-CN"/>
              </w:rPr>
              <w:t>、PM</w:t>
            </w:r>
            <w:r>
              <w:rPr>
                <w:rFonts w:hint="eastAsia" w:cs="Times New Roman"/>
                <w:color w:val="000000"/>
                <w:sz w:val="21"/>
                <w:szCs w:val="21"/>
                <w:vertAlign w:val="subscript"/>
                <w:lang w:val="en-US" w:eastAsia="zh-CN"/>
              </w:rPr>
              <w:t>2.5</w:t>
            </w:r>
            <w:r>
              <w:rPr>
                <w:rFonts w:hint="eastAsia" w:cs="Times New Roman"/>
                <w:color w:val="000000"/>
                <w:sz w:val="21"/>
                <w:szCs w:val="21"/>
                <w:lang w:val="en-US" w:eastAsia="zh-CN"/>
              </w:rPr>
              <w:t>、CO和O</w:t>
            </w:r>
            <w:r>
              <w:rPr>
                <w:rFonts w:hint="eastAsia" w:cs="Times New Roman"/>
                <w:color w:val="000000"/>
                <w:sz w:val="21"/>
                <w:szCs w:val="21"/>
                <w:vertAlign w:val="subscript"/>
                <w:lang w:val="en-US" w:eastAsia="zh-CN"/>
              </w:rPr>
              <w:t>3</w:t>
            </w:r>
            <w:r>
              <w:rPr>
                <w:rFonts w:hint="eastAsia" w:cs="Times New Roman"/>
                <w:color w:val="000000"/>
                <w:sz w:val="21"/>
                <w:szCs w:val="21"/>
                <w:lang w:val="en-US" w:eastAsia="zh-CN"/>
              </w:rPr>
              <w:t>的数据来源。“奎-独-乌”区域”3个市（区）优良天数比例范围为82.5%～86.3%，平均为84.8%，比2021年上升0.5个百分点。其中，乌苏市、独山子区优良天数比例超过85%，奎屯市优良天数比例低于85%。平均超标天数比例为15.2%。其中轻度污染为9.4%，中度污染为3.0%，重度污染为2.2%，严重污染为0.6%，重度及以上污染天数比例比2021年下降0.9个百分点。以PM</w:t>
            </w:r>
            <w:r>
              <w:rPr>
                <w:rFonts w:hint="eastAsia" w:cs="Times New Roman"/>
                <w:color w:val="000000"/>
                <w:sz w:val="21"/>
                <w:szCs w:val="21"/>
                <w:vertAlign w:val="subscript"/>
                <w:lang w:val="en-US" w:eastAsia="zh-CN"/>
              </w:rPr>
              <w:t>2.5</w:t>
            </w:r>
            <w:r>
              <w:rPr>
                <w:rFonts w:hint="eastAsia" w:cs="Times New Roman"/>
                <w:color w:val="000000"/>
                <w:sz w:val="21"/>
                <w:szCs w:val="21"/>
                <w:lang w:val="en-US" w:eastAsia="zh-CN"/>
              </w:rPr>
              <w:t>、PM</w:t>
            </w:r>
            <w:r>
              <w:rPr>
                <w:rFonts w:hint="eastAsia" w:cs="Times New Roman"/>
                <w:color w:val="000000"/>
                <w:sz w:val="21"/>
                <w:szCs w:val="21"/>
                <w:vertAlign w:val="subscript"/>
                <w:lang w:val="en-US" w:eastAsia="zh-CN"/>
              </w:rPr>
              <w:t>10</w:t>
            </w:r>
            <w:r>
              <w:rPr>
                <w:rFonts w:hint="eastAsia" w:cs="Times New Roman"/>
                <w:color w:val="000000"/>
                <w:sz w:val="21"/>
                <w:szCs w:val="21"/>
                <w:lang w:val="en-US" w:eastAsia="zh-CN"/>
              </w:rPr>
              <w:t>和O</w:t>
            </w:r>
            <w:r>
              <w:rPr>
                <w:rFonts w:hint="eastAsia" w:cs="Times New Roman"/>
                <w:color w:val="000000"/>
                <w:sz w:val="21"/>
                <w:szCs w:val="21"/>
                <w:vertAlign w:val="subscript"/>
                <w:lang w:val="en-US" w:eastAsia="zh-CN"/>
              </w:rPr>
              <w:t>3</w:t>
            </w:r>
            <w:r>
              <w:rPr>
                <w:rFonts w:hint="eastAsia" w:cs="Times New Roman"/>
                <w:color w:val="000000"/>
                <w:sz w:val="21"/>
                <w:szCs w:val="21"/>
                <w:lang w:val="en-US" w:eastAsia="zh-CN"/>
              </w:rPr>
              <w:t>为首要污染物的超标天数分别占总超标天数的85.8%、13.5%、0.7%，未出现以SO</w:t>
            </w:r>
            <w:r>
              <w:rPr>
                <w:rFonts w:hint="eastAsia" w:cs="Times New Roman"/>
                <w:color w:val="000000"/>
                <w:sz w:val="21"/>
                <w:szCs w:val="21"/>
                <w:vertAlign w:val="subscript"/>
                <w:lang w:val="en-US" w:eastAsia="zh-CN"/>
              </w:rPr>
              <w:t>2</w:t>
            </w:r>
            <w:r>
              <w:rPr>
                <w:rFonts w:hint="eastAsia" w:cs="Times New Roman"/>
                <w:color w:val="000000"/>
                <w:sz w:val="21"/>
                <w:szCs w:val="21"/>
                <w:lang w:val="en-US" w:eastAsia="zh-CN"/>
              </w:rPr>
              <w:t>、NO</w:t>
            </w:r>
            <w:r>
              <w:rPr>
                <w:rFonts w:hint="eastAsia" w:cs="Times New Roman"/>
                <w:color w:val="000000"/>
                <w:sz w:val="21"/>
                <w:szCs w:val="21"/>
                <w:vertAlign w:val="subscript"/>
                <w:lang w:val="en-US" w:eastAsia="zh-CN"/>
              </w:rPr>
              <w:t>2</w:t>
            </w:r>
            <w:r>
              <w:rPr>
                <w:rFonts w:hint="eastAsia" w:cs="Times New Roman"/>
                <w:color w:val="000000"/>
                <w:sz w:val="21"/>
                <w:szCs w:val="21"/>
                <w:lang w:val="en-US" w:eastAsia="zh-CN"/>
              </w:rPr>
              <w:t>、CO为首要污染物的超标天。具体统计情况详见下表。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ascii="Times New Roman" w:hAnsi="Times New Roman" w:eastAsia="黑体" w:cs="Times New Roman"/>
                <w:b w:val="0"/>
                <w:bCs w:val="0"/>
                <w:color w:val="auto"/>
              </w:rPr>
            </w:pPr>
            <w:r>
              <w:rPr>
                <w:rFonts w:hint="default" w:ascii="Times New Roman" w:hAnsi="Times New Roman" w:cs="Times New Roman"/>
                <w:b w:val="0"/>
                <w:bCs w:val="0"/>
                <w:color w:val="auto"/>
                <w:szCs w:val="21"/>
              </w:rPr>
              <w:t>表</w:t>
            </w:r>
            <w:r>
              <w:rPr>
                <w:rFonts w:hint="eastAsia" w:cs="Times New Roman"/>
                <w:b w:val="0"/>
                <w:bCs w:val="0"/>
                <w:color w:val="auto"/>
                <w:szCs w:val="21"/>
                <w:lang w:val="en-US" w:eastAsia="zh-CN"/>
              </w:rPr>
              <w:t>9</w:t>
            </w:r>
            <w:r>
              <w:rPr>
                <w:rFonts w:hint="default" w:ascii="Times New Roman" w:hAnsi="Times New Roman" w:cs="Times New Roman"/>
                <w:b w:val="0"/>
                <w:bCs w:val="0"/>
                <w:color w:val="auto"/>
                <w:szCs w:val="21"/>
              </w:rPr>
              <w:t xml:space="preserve">  </w:t>
            </w:r>
            <w:r>
              <w:rPr>
                <w:rFonts w:hint="eastAsia" w:cs="Times New Roman"/>
                <w:b w:val="0"/>
                <w:bCs w:val="0"/>
                <w:color w:val="auto"/>
                <w:szCs w:val="21"/>
                <w:lang w:val="en-US" w:eastAsia="zh-CN"/>
              </w:rPr>
              <w:t xml:space="preserve">     </w:t>
            </w:r>
            <w:r>
              <w:rPr>
                <w:rFonts w:hint="default" w:ascii="Times New Roman" w:hAnsi="Times New Roman" w:cs="Times New Roman"/>
                <w:b w:val="0"/>
                <w:bCs w:val="0"/>
                <w:color w:val="auto"/>
                <w:szCs w:val="21"/>
              </w:rPr>
              <w:t xml:space="preserve"> </w:t>
            </w:r>
            <w:r>
              <w:rPr>
                <w:rFonts w:hint="eastAsia" w:cs="Times New Roman"/>
                <w:b w:val="0"/>
                <w:bCs w:val="0"/>
                <w:color w:val="auto"/>
                <w:szCs w:val="21"/>
                <w:lang w:val="en-US" w:eastAsia="zh-CN"/>
              </w:rPr>
              <w:t xml:space="preserve">     </w:t>
            </w:r>
            <w:r>
              <w:rPr>
                <w:rFonts w:hint="default" w:ascii="Times New Roman" w:hAnsi="Times New Roman" w:cs="Times New Roman"/>
                <w:b w:val="0"/>
                <w:bCs w:val="0"/>
                <w:color w:val="auto"/>
                <w:szCs w:val="21"/>
              </w:rPr>
              <w:t>20</w:t>
            </w:r>
            <w:r>
              <w:rPr>
                <w:rFonts w:hint="default" w:ascii="Times New Roman" w:hAnsi="Times New Roman" w:cs="Times New Roman"/>
                <w:b w:val="0"/>
                <w:bCs w:val="0"/>
                <w:color w:val="auto"/>
                <w:szCs w:val="21"/>
                <w:lang w:val="en-US" w:eastAsia="zh-CN"/>
              </w:rPr>
              <w:t>2</w:t>
            </w:r>
            <w:r>
              <w:rPr>
                <w:rFonts w:hint="eastAsia" w:cs="Times New Roman"/>
                <w:b w:val="0"/>
                <w:bCs w:val="0"/>
                <w:color w:val="auto"/>
                <w:szCs w:val="21"/>
                <w:lang w:val="en-US" w:eastAsia="zh-CN"/>
              </w:rPr>
              <w:t>2</w:t>
            </w:r>
            <w:r>
              <w:rPr>
                <w:rFonts w:hint="default" w:ascii="Times New Roman" w:hAnsi="Times New Roman" w:cs="Times New Roman"/>
                <w:b w:val="0"/>
                <w:bCs w:val="0"/>
                <w:color w:val="auto"/>
                <w:szCs w:val="21"/>
              </w:rPr>
              <w:t>年</w:t>
            </w:r>
            <w:r>
              <w:rPr>
                <w:rFonts w:hint="eastAsia" w:cs="Times New Roman"/>
                <w:b w:val="0"/>
                <w:bCs w:val="0"/>
                <w:color w:val="auto"/>
                <w:szCs w:val="21"/>
                <w:lang w:eastAsia="zh-CN"/>
              </w:rPr>
              <w:t>“</w:t>
            </w:r>
            <w:r>
              <w:rPr>
                <w:rFonts w:hint="eastAsia" w:cs="Times New Roman"/>
                <w:b w:val="0"/>
                <w:bCs w:val="0"/>
                <w:color w:val="auto"/>
                <w:szCs w:val="21"/>
                <w:lang w:val="en-US" w:eastAsia="zh-CN"/>
              </w:rPr>
              <w:t>奎-独-乌</w:t>
            </w:r>
            <w:r>
              <w:rPr>
                <w:rFonts w:hint="eastAsia" w:cs="Times New Roman"/>
                <w:b w:val="0"/>
                <w:bCs w:val="0"/>
                <w:color w:val="auto"/>
                <w:szCs w:val="21"/>
                <w:lang w:eastAsia="zh-CN"/>
              </w:rPr>
              <w:t>”</w:t>
            </w:r>
            <w:r>
              <w:rPr>
                <w:rFonts w:hint="eastAsia" w:cs="Times New Roman"/>
                <w:b w:val="0"/>
                <w:bCs w:val="0"/>
                <w:color w:val="auto"/>
                <w:szCs w:val="21"/>
                <w:lang w:val="en-US" w:eastAsia="zh-CN"/>
              </w:rPr>
              <w:t>六项污染物浓度</w:t>
            </w:r>
            <w:r>
              <w:rPr>
                <w:rFonts w:hint="default" w:ascii="Times New Roman" w:hAnsi="Times New Roman" w:cs="Times New Roman"/>
                <w:b w:val="0"/>
                <w:bCs w:val="0"/>
                <w:color w:val="auto"/>
                <w:szCs w:val="21"/>
              </w:rPr>
              <w:t xml:space="preserve">  </w:t>
            </w:r>
            <w:r>
              <w:rPr>
                <w:rFonts w:hint="eastAsia" w:cs="Times New Roman"/>
                <w:b w:val="0"/>
                <w:bCs w:val="0"/>
                <w:color w:val="auto"/>
                <w:szCs w:val="21"/>
                <w:lang w:val="en-US" w:eastAsia="zh-CN"/>
              </w:rPr>
              <w:t xml:space="preserve">     </w:t>
            </w:r>
          </w:p>
          <w:tbl>
            <w:tblPr>
              <w:tblStyle w:val="11"/>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83"/>
              <w:gridCol w:w="2720"/>
              <w:gridCol w:w="1198"/>
              <w:gridCol w:w="1234"/>
              <w:gridCol w:w="1131"/>
              <w:gridCol w:w="11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污染物</w:t>
                  </w:r>
                </w:p>
              </w:tc>
              <w:tc>
                <w:tcPr>
                  <w:tcW w:w="164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年评价指标</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现状浓度</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标准值</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占标率</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SO</w:t>
                  </w:r>
                  <w:r>
                    <w:rPr>
                      <w:rFonts w:hint="default"/>
                      <w:sz w:val="21"/>
                      <w:szCs w:val="21"/>
                      <w:vertAlign w:val="subscript"/>
                    </w:rPr>
                    <w:t>2</w:t>
                  </w:r>
                </w:p>
              </w:tc>
              <w:tc>
                <w:tcPr>
                  <w:tcW w:w="1644" w:type="pct"/>
                  <w:vAlign w:val="center"/>
                </w:tcPr>
                <w:p>
                  <w:pPr>
                    <w:pStyle w:val="15"/>
                    <w:keepNext w:val="0"/>
                    <w:keepLines w:val="0"/>
                    <w:suppressLineNumbers w:val="0"/>
                    <w:bidi w:val="0"/>
                    <w:spacing w:before="0" w:beforeAutospacing="0" w:after="0" w:afterAutospacing="0"/>
                    <w:ind w:left="0" w:right="0"/>
                    <w:jc w:val="center"/>
                    <w:rPr>
                      <w:rFonts w:hint="default"/>
                      <w:sz w:val="21"/>
                      <w:szCs w:val="21"/>
                    </w:rPr>
                  </w:pPr>
                  <w:r>
                    <w:rPr>
                      <w:rFonts w:hint="default"/>
                      <w:sz w:val="21"/>
                      <w:szCs w:val="21"/>
                    </w:rPr>
                    <w:t>年平均质量浓度</w:t>
                  </w:r>
                </w:p>
              </w:tc>
              <w:tc>
                <w:tcPr>
                  <w:tcW w:w="724" w:type="pct"/>
                  <w:vAlign w:val="center"/>
                </w:tcPr>
                <w:p>
                  <w:pPr>
                    <w:pStyle w:val="15"/>
                    <w:keepNext w:val="0"/>
                    <w:keepLines w:val="0"/>
                    <w:suppressLineNumbers w:val="0"/>
                    <w:bidi w:val="0"/>
                    <w:spacing w:before="0" w:beforeAutospacing="0" w:after="0" w:afterAutospacing="0"/>
                    <w:ind w:left="0" w:right="0"/>
                    <w:rPr>
                      <w:rFonts w:hint="eastAsia"/>
                      <w:sz w:val="21"/>
                      <w:szCs w:val="21"/>
                      <w:lang w:eastAsia="zh-CN"/>
                    </w:rPr>
                  </w:pPr>
                  <w:r>
                    <w:rPr>
                      <w:rFonts w:hint="eastAsia"/>
                      <w:sz w:val="21"/>
                      <w:szCs w:val="21"/>
                      <w:lang w:val="en-US" w:eastAsia="zh-CN"/>
                    </w:rPr>
                    <w:t>7</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60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11.7%</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NO</w:t>
                  </w:r>
                  <w:r>
                    <w:rPr>
                      <w:rFonts w:hint="default"/>
                      <w:sz w:val="21"/>
                      <w:szCs w:val="21"/>
                      <w:vertAlign w:val="subscript"/>
                    </w:rPr>
                    <w:t>2</w:t>
                  </w:r>
                </w:p>
              </w:tc>
              <w:tc>
                <w:tcPr>
                  <w:tcW w:w="164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年平均质量浓度</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21</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40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52.5%</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PM</w:t>
                  </w:r>
                  <w:r>
                    <w:rPr>
                      <w:rFonts w:hint="default"/>
                      <w:sz w:val="21"/>
                      <w:szCs w:val="21"/>
                      <w:vertAlign w:val="subscript"/>
                    </w:rPr>
                    <w:t>10</w:t>
                  </w:r>
                </w:p>
              </w:tc>
              <w:tc>
                <w:tcPr>
                  <w:tcW w:w="164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年平均质量浓度</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61</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70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87.14%</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PM</w:t>
                  </w:r>
                  <w:r>
                    <w:rPr>
                      <w:rFonts w:hint="default"/>
                      <w:sz w:val="21"/>
                      <w:szCs w:val="21"/>
                      <w:vertAlign w:val="subscript"/>
                    </w:rPr>
                    <w:t>2.5</w:t>
                  </w:r>
                </w:p>
              </w:tc>
              <w:tc>
                <w:tcPr>
                  <w:tcW w:w="1644"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年平均质量浓度</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31</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35</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87.1%</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tcBorders>
                    <w:top w:val="single" w:color="auto" w:sz="4" w:space="0"/>
                  </w:tcBorders>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CO</w:t>
                  </w:r>
                </w:p>
              </w:tc>
              <w:tc>
                <w:tcPr>
                  <w:tcW w:w="1644" w:type="pct"/>
                  <w:tcBorders>
                    <w:top w:val="single" w:color="auto" w:sz="4" w:space="0"/>
                  </w:tcBorders>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日平均第95百分位数</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rPr>
                  </w:pPr>
                  <w:r>
                    <w:rPr>
                      <w:rFonts w:hint="eastAsia"/>
                      <w:sz w:val="21"/>
                      <w:szCs w:val="21"/>
                      <w:lang w:val="en-US" w:eastAsia="zh-CN"/>
                    </w:rPr>
                    <w:t>700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eastAsia="宋体"/>
                      <w:sz w:val="21"/>
                      <w:szCs w:val="21"/>
                      <w:lang w:val="en-US" w:eastAsia="zh-CN"/>
                    </w:rPr>
                  </w:pPr>
                  <w:r>
                    <w:rPr>
                      <w:rFonts w:hint="default"/>
                      <w:sz w:val="21"/>
                      <w:szCs w:val="21"/>
                    </w:rPr>
                    <w:t>4</w:t>
                  </w:r>
                  <w:r>
                    <w:rPr>
                      <w:rFonts w:hint="eastAsia"/>
                      <w:sz w:val="21"/>
                      <w:szCs w:val="21"/>
                      <w:lang w:val="en-US" w:eastAsia="zh-CN"/>
                    </w:rPr>
                    <w:t>000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17.5%</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34" w:type="pct"/>
                  <w:tcBorders>
                    <w:top w:val="single" w:color="auto" w:sz="4" w:space="0"/>
                  </w:tcBorders>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O</w:t>
                  </w:r>
                  <w:r>
                    <w:rPr>
                      <w:rFonts w:hint="default"/>
                      <w:sz w:val="21"/>
                      <w:szCs w:val="21"/>
                      <w:vertAlign w:val="subscript"/>
                    </w:rPr>
                    <w:t>3</w:t>
                  </w:r>
                </w:p>
              </w:tc>
              <w:tc>
                <w:tcPr>
                  <w:tcW w:w="1644" w:type="pct"/>
                  <w:tcBorders>
                    <w:top w:val="single" w:color="auto" w:sz="4" w:space="0"/>
                  </w:tcBorders>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8小时平均第90百分位数</w:t>
                  </w:r>
                </w:p>
              </w:tc>
              <w:tc>
                <w:tcPr>
                  <w:tcW w:w="72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cs="Times New Roman"/>
                      <w:b w:val="0"/>
                      <w:bCs w:val="0"/>
                      <w:color w:val="auto"/>
                      <w:szCs w:val="21"/>
                      <w:lang w:val="en-US" w:eastAsia="zh-CN"/>
                    </w:rPr>
                    <w:t>87</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746"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160</w:t>
                  </w:r>
                  <w:r>
                    <w:rPr>
                      <w:rFonts w:hint="default" w:ascii="Times New Roman" w:hAnsi="Times New Roman" w:cs="Times New Roman"/>
                      <w:b w:val="0"/>
                      <w:bCs w:val="0"/>
                      <w:color w:val="auto"/>
                      <w:szCs w:val="21"/>
                    </w:rPr>
                    <w:t>ug/m</w:t>
                  </w:r>
                  <w:r>
                    <w:rPr>
                      <w:rFonts w:hint="default" w:ascii="Times New Roman" w:hAnsi="Times New Roman" w:cs="Times New Roman"/>
                      <w:b w:val="0"/>
                      <w:bCs w:val="0"/>
                      <w:color w:val="auto"/>
                      <w:szCs w:val="21"/>
                      <w:vertAlign w:val="superscript"/>
                    </w:rPr>
                    <w:t>3</w:t>
                  </w:r>
                </w:p>
              </w:tc>
              <w:tc>
                <w:tcPr>
                  <w:tcW w:w="684" w:type="pct"/>
                  <w:vAlign w:val="center"/>
                </w:tcPr>
                <w:p>
                  <w:pPr>
                    <w:pStyle w:val="15"/>
                    <w:keepNext w:val="0"/>
                    <w:keepLines w:val="0"/>
                    <w:suppressLineNumbers w:val="0"/>
                    <w:bidi w:val="0"/>
                    <w:spacing w:before="0" w:beforeAutospacing="0" w:after="0" w:afterAutospacing="0"/>
                    <w:ind w:left="0" w:right="0"/>
                    <w:rPr>
                      <w:rFonts w:hint="default"/>
                      <w:sz w:val="21"/>
                      <w:szCs w:val="21"/>
                      <w:lang w:val="en-US" w:eastAsia="zh-CN"/>
                    </w:rPr>
                  </w:pPr>
                  <w:r>
                    <w:rPr>
                      <w:rFonts w:hint="eastAsia"/>
                      <w:sz w:val="21"/>
                      <w:szCs w:val="21"/>
                      <w:lang w:val="en-US" w:eastAsia="zh-CN"/>
                    </w:rPr>
                    <w:t>54.4%</w:t>
                  </w:r>
                </w:p>
              </w:tc>
              <w:tc>
                <w:tcPr>
                  <w:tcW w:w="665" w:type="pct"/>
                  <w:vAlign w:val="center"/>
                </w:tcPr>
                <w:p>
                  <w:pPr>
                    <w:pStyle w:val="15"/>
                    <w:keepNext w:val="0"/>
                    <w:keepLines w:val="0"/>
                    <w:suppressLineNumbers w:val="0"/>
                    <w:bidi w:val="0"/>
                    <w:spacing w:before="0" w:beforeAutospacing="0" w:after="0" w:afterAutospacing="0"/>
                    <w:ind w:left="0" w:right="0"/>
                    <w:rPr>
                      <w:rFonts w:hint="default"/>
                      <w:sz w:val="21"/>
                      <w:szCs w:val="21"/>
                    </w:rPr>
                  </w:pPr>
                  <w:r>
                    <w:rPr>
                      <w:rFonts w:hint="default"/>
                      <w:sz w:val="21"/>
                      <w:szCs w:val="21"/>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cs="Times New Roman"/>
                <w:lang w:val="en-US" w:eastAsia="zh-CN"/>
              </w:rPr>
            </w:pPr>
            <w:r>
              <w:rPr>
                <w:rFonts w:hint="eastAsia" w:cs="Times New Roman"/>
                <w:lang w:val="en-US" w:eastAsia="zh-CN"/>
              </w:rPr>
              <w:t>由上表可知，“奎-独-乌”地区六项基本污染物均可满足《环境空气质量标准》（GB3095-2012）的二级标准要求</w:t>
            </w:r>
            <w:r>
              <w:rPr>
                <w:rFonts w:hint="default" w:ascii="Times New Roman" w:hAnsi="Times New Roman" w:cs="Times New Roman"/>
                <w:lang w:val="en-US" w:eastAsia="zh-CN"/>
              </w:rPr>
              <w:t>，</w:t>
            </w:r>
            <w:r>
              <w:rPr>
                <w:rFonts w:hint="eastAsia" w:cs="Times New Roman"/>
                <w:lang w:val="en-US" w:eastAsia="zh-CN"/>
              </w:rPr>
              <w:t>区域大气环境质量较好</w:t>
            </w:r>
            <w:r>
              <w:rPr>
                <w:rFonts w:hint="default" w:ascii="Times New Roman" w:hAnsi="Times New Roman" w:cs="Times New Roman"/>
                <w:lang w:val="en-US" w:eastAsia="zh-CN"/>
              </w:rPr>
              <w:t>。</w:t>
            </w:r>
          </w:p>
          <w:p>
            <w:pPr>
              <w:keepNext w:val="0"/>
              <w:keepLines w:val="0"/>
              <w:suppressLineNumbers w:val="0"/>
              <w:tabs>
                <w:tab w:val="left" w:pos="330"/>
              </w:tabs>
              <w:bidi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特征污染物质量现状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fldChar w:fldCharType="begin"/>
            </w:r>
            <w:r>
              <w:rPr>
                <w:rFonts w:hint="default" w:ascii="Times New Roman" w:hAnsi="Times New Roman" w:cs="Times New Roman" w:eastAsiaTheme="minorEastAsia"/>
                <w:color w:val="auto"/>
                <w:kern w:val="2"/>
                <w:sz w:val="21"/>
                <w:szCs w:val="24"/>
                <w:lang w:val="en-US" w:eastAsia="zh-CN" w:bidi="ar-SA"/>
              </w:rPr>
              <w:instrText xml:space="preserve"> = 1 \* GB3 \* MERGEFORMAT </w:instrText>
            </w:r>
            <w:r>
              <w:rPr>
                <w:rFonts w:hint="default" w:ascii="Times New Roman" w:hAnsi="Times New Roman" w:cs="Times New Roman" w:eastAsiaTheme="minorEastAsia"/>
                <w:color w:val="auto"/>
                <w:kern w:val="2"/>
                <w:sz w:val="21"/>
                <w:szCs w:val="24"/>
                <w:lang w:val="en-US" w:eastAsia="zh-CN" w:bidi="ar-SA"/>
              </w:rPr>
              <w:fldChar w:fldCharType="separate"/>
            </w:r>
            <w:r>
              <w:rPr>
                <w:rFonts w:hint="default" w:ascii="Times New Roman" w:hAnsi="Times New Roman" w:cs="Times New Roman" w:eastAsiaTheme="minorEastAsia"/>
                <w:color w:val="auto"/>
                <w:kern w:val="2"/>
                <w:sz w:val="21"/>
                <w:szCs w:val="24"/>
                <w:lang w:val="en-US" w:eastAsia="zh-CN" w:bidi="ar-SA"/>
              </w:rPr>
              <w:t>①</w:t>
            </w:r>
            <w:r>
              <w:rPr>
                <w:rFonts w:hint="default" w:ascii="Times New Roman" w:hAnsi="Times New Roman" w:cs="Times New Roman" w:eastAsiaTheme="minorEastAsia"/>
                <w:color w:val="auto"/>
                <w:kern w:val="2"/>
                <w:sz w:val="21"/>
                <w:szCs w:val="24"/>
                <w:lang w:val="en-US" w:eastAsia="zh-CN" w:bidi="ar-SA"/>
              </w:rPr>
              <w:fldChar w:fldCharType="end"/>
            </w:r>
            <w:r>
              <w:rPr>
                <w:rFonts w:hint="default" w:ascii="Times New Roman" w:hAnsi="Times New Roman" w:cs="Times New Roman" w:eastAsiaTheme="minorEastAsia"/>
                <w:color w:val="auto"/>
                <w:kern w:val="2"/>
                <w:sz w:val="21"/>
                <w:szCs w:val="24"/>
                <w:lang w:val="en-US" w:eastAsia="zh-CN" w:bidi="ar-SA"/>
              </w:rPr>
              <w:t>本次评价</w:t>
            </w:r>
            <w:r>
              <w:rPr>
                <w:rFonts w:hint="eastAsia" w:ascii="Times New Roman" w:hAnsi="Times New Roman" w:cs="Times New Roman"/>
                <w:color w:val="auto"/>
                <w:kern w:val="2"/>
                <w:sz w:val="21"/>
                <w:szCs w:val="24"/>
                <w:lang w:val="en-US" w:eastAsia="zh-CN" w:bidi="ar-SA"/>
              </w:rPr>
              <w:t>特征污染物</w:t>
            </w:r>
            <w:r>
              <w:rPr>
                <w:rFonts w:hint="default" w:ascii="Times New Roman" w:hAnsi="Times New Roman" w:cs="Times New Roman" w:eastAsiaTheme="minorEastAsia"/>
                <w:color w:val="auto"/>
                <w:kern w:val="2"/>
                <w:sz w:val="21"/>
                <w:szCs w:val="24"/>
                <w:lang w:val="en-US" w:eastAsia="zh-CN" w:bidi="ar-SA"/>
              </w:rPr>
              <w:t>委托新疆西域质信检验检测有限公司</w:t>
            </w:r>
            <w:r>
              <w:rPr>
                <w:rFonts w:hint="default" w:ascii="Times New Roman" w:hAnsi="Times New Roman" w:cs="Times New Roman" w:eastAsiaTheme="minorEastAsia"/>
                <w:color w:val="auto"/>
                <w:kern w:val="2"/>
                <w:sz w:val="21"/>
                <w:szCs w:val="24"/>
                <w:highlight w:val="none"/>
                <w:lang w:val="en-US" w:eastAsia="zh-CN" w:bidi="ar-SA"/>
              </w:rPr>
              <w:t>对本项目</w:t>
            </w:r>
            <w:r>
              <w:rPr>
                <w:rFonts w:hint="eastAsia" w:cs="Times New Roman" w:eastAsiaTheme="minorEastAsia"/>
                <w:color w:val="auto"/>
                <w:kern w:val="2"/>
                <w:sz w:val="21"/>
                <w:szCs w:val="24"/>
                <w:highlight w:val="none"/>
                <w:lang w:val="en-US" w:eastAsia="zh-CN" w:bidi="ar-SA"/>
              </w:rPr>
              <w:t>东南侧</w:t>
            </w:r>
            <w:r>
              <w:rPr>
                <w:rFonts w:hint="eastAsia" w:ascii="Times New Roman" w:hAnsi="Times New Roman" w:cs="Times New Roman"/>
                <w:color w:val="auto"/>
                <w:kern w:val="2"/>
                <w:sz w:val="21"/>
                <w:szCs w:val="24"/>
                <w:highlight w:val="none"/>
                <w:lang w:val="en-US" w:eastAsia="zh-CN" w:bidi="ar-SA"/>
              </w:rPr>
              <w:t>下风向</w:t>
            </w:r>
            <w:r>
              <w:rPr>
                <w:rFonts w:hint="eastAsia" w:cs="Times New Roman"/>
                <w:color w:val="auto"/>
                <w:kern w:val="2"/>
                <w:sz w:val="21"/>
                <w:szCs w:val="24"/>
                <w:highlight w:val="none"/>
                <w:lang w:val="en-US" w:eastAsia="zh-CN" w:bidi="ar-SA"/>
              </w:rPr>
              <w:t>处TSP</w:t>
            </w:r>
            <w:r>
              <w:rPr>
                <w:rFonts w:hint="default" w:ascii="Times New Roman" w:hAnsi="Times New Roman" w:cs="Times New Roman" w:eastAsiaTheme="minorEastAsia"/>
                <w:color w:val="auto"/>
                <w:kern w:val="2"/>
                <w:sz w:val="21"/>
                <w:szCs w:val="24"/>
                <w:highlight w:val="none"/>
                <w:lang w:val="en-US" w:eastAsia="zh-CN" w:bidi="ar-SA"/>
              </w:rPr>
              <w:t>进行监测</w:t>
            </w:r>
            <w:r>
              <w:rPr>
                <w:rFonts w:hint="default" w:ascii="Times New Roman" w:hAnsi="Times New Roman" w:cs="Times New Roman" w:eastAsiaTheme="minorEastAsia"/>
                <w:color w:val="auto"/>
                <w:kern w:val="2"/>
                <w:sz w:val="21"/>
                <w:szCs w:val="24"/>
                <w:lang w:val="en-US" w:eastAsia="zh-CN" w:bidi="ar-SA"/>
              </w:rPr>
              <w:t>，其监测结果作为评价本项目</w:t>
            </w:r>
            <w:r>
              <w:rPr>
                <w:rFonts w:hint="eastAsia" w:ascii="Times New Roman" w:hAnsi="Times New Roman" w:cs="Times New Roman"/>
                <w:color w:val="auto"/>
                <w:kern w:val="2"/>
                <w:sz w:val="21"/>
                <w:szCs w:val="24"/>
                <w:lang w:val="en-US" w:eastAsia="zh-CN" w:bidi="ar-SA"/>
              </w:rPr>
              <w:t>特征污染物</w:t>
            </w:r>
            <w:r>
              <w:rPr>
                <w:rFonts w:hint="default" w:ascii="Times New Roman" w:hAnsi="Times New Roman" w:cs="Times New Roman" w:eastAsiaTheme="minorEastAsia"/>
                <w:color w:val="auto"/>
                <w:kern w:val="2"/>
                <w:sz w:val="21"/>
                <w:szCs w:val="24"/>
                <w:lang w:val="en-US" w:eastAsia="zh-CN" w:bidi="ar-SA"/>
              </w:rPr>
              <w:t>分析资料数据。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②采样时段、次数及频率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监测时间为20</w:t>
            </w:r>
            <w:r>
              <w:rPr>
                <w:rFonts w:hint="eastAsia" w:cs="Times New Roman" w:eastAsiaTheme="minorEastAsia"/>
                <w:color w:val="auto"/>
                <w:kern w:val="2"/>
                <w:sz w:val="21"/>
                <w:szCs w:val="24"/>
                <w:lang w:val="en-US" w:eastAsia="zh-CN" w:bidi="ar-SA"/>
              </w:rPr>
              <w:t>24</w:t>
            </w:r>
            <w:r>
              <w:rPr>
                <w:rFonts w:hint="default" w:ascii="Times New Roman" w:hAnsi="Times New Roman" w:cs="Times New Roman" w:eastAsiaTheme="minorEastAsia"/>
                <w:color w:val="auto"/>
                <w:kern w:val="2"/>
                <w:sz w:val="21"/>
                <w:szCs w:val="24"/>
                <w:lang w:val="en-US" w:eastAsia="zh-CN" w:bidi="ar-SA"/>
              </w:rPr>
              <w:t>年</w:t>
            </w:r>
            <w:r>
              <w:rPr>
                <w:rFonts w:hint="eastAsia" w:cs="Times New Roman"/>
                <w:color w:val="auto"/>
                <w:kern w:val="2"/>
                <w:sz w:val="21"/>
                <w:szCs w:val="24"/>
                <w:lang w:val="en-US" w:eastAsia="zh-CN" w:bidi="ar-SA"/>
              </w:rPr>
              <w:t>4</w:t>
            </w:r>
            <w:r>
              <w:rPr>
                <w:rFonts w:hint="default" w:ascii="Times New Roman" w:hAnsi="Times New Roman" w:cs="Times New Roman" w:eastAsiaTheme="minorEastAsia"/>
                <w:color w:val="auto"/>
                <w:kern w:val="2"/>
                <w:sz w:val="21"/>
                <w:szCs w:val="24"/>
                <w:lang w:val="en-US" w:eastAsia="zh-CN" w:bidi="ar-SA"/>
              </w:rPr>
              <w:t>月</w:t>
            </w:r>
            <w:r>
              <w:rPr>
                <w:rFonts w:hint="eastAsia" w:cs="Times New Roman"/>
                <w:color w:val="auto"/>
                <w:kern w:val="2"/>
                <w:sz w:val="21"/>
                <w:szCs w:val="24"/>
                <w:lang w:val="en-US" w:eastAsia="zh-CN" w:bidi="ar-SA"/>
              </w:rPr>
              <w:t>16</w:t>
            </w:r>
            <w:r>
              <w:rPr>
                <w:rFonts w:hint="default" w:ascii="Times New Roman" w:hAnsi="Times New Roman" w:cs="Times New Roman" w:eastAsiaTheme="minorEastAsia"/>
                <w:color w:val="auto"/>
                <w:kern w:val="2"/>
                <w:sz w:val="21"/>
                <w:szCs w:val="24"/>
                <w:lang w:val="en-US" w:eastAsia="zh-CN" w:bidi="ar-SA"/>
              </w:rPr>
              <w:t>日-</w:t>
            </w:r>
            <w:r>
              <w:rPr>
                <w:rFonts w:hint="eastAsia" w:cs="Times New Roman"/>
                <w:color w:val="auto"/>
                <w:kern w:val="2"/>
                <w:sz w:val="21"/>
                <w:szCs w:val="24"/>
                <w:lang w:val="en-US" w:eastAsia="zh-CN" w:bidi="ar-SA"/>
              </w:rPr>
              <w:t>19</w:t>
            </w:r>
            <w:r>
              <w:rPr>
                <w:rFonts w:hint="default" w:ascii="Times New Roman" w:hAnsi="Times New Roman" w:cs="Times New Roman" w:eastAsiaTheme="minorEastAsia"/>
                <w:color w:val="auto"/>
                <w:kern w:val="2"/>
                <w:sz w:val="21"/>
                <w:szCs w:val="24"/>
                <w:lang w:val="en-US" w:eastAsia="zh-CN" w:bidi="ar-SA"/>
              </w:rPr>
              <w:t>日，</w:t>
            </w:r>
            <w:r>
              <w:rPr>
                <w:rFonts w:hint="eastAsia" w:cs="Times New Roman" w:eastAsiaTheme="minorEastAsia"/>
                <w:color w:val="auto"/>
                <w:kern w:val="2"/>
                <w:sz w:val="21"/>
                <w:szCs w:val="24"/>
                <w:lang w:val="en-US" w:eastAsia="zh-CN" w:bidi="ar-SA"/>
              </w:rPr>
              <w:t>其中TSP连续采样24h</w:t>
            </w:r>
            <w:r>
              <w:rPr>
                <w:rFonts w:hint="default" w:ascii="Times New Roman" w:hAnsi="Times New Roman" w:cs="Times New Roman" w:eastAsiaTheme="minorEastAsia"/>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textAlignment w:val="auto"/>
              <w:rPr>
                <w:rFonts w:hint="eastAsia"/>
                <w:color w:val="auto"/>
              </w:rPr>
            </w:pPr>
            <w:r>
              <w:rPr>
                <w:rFonts w:hint="eastAsia"/>
                <w:color w:val="auto"/>
                <w:lang w:eastAsia="zh-CN"/>
              </w:rPr>
              <w:t>④</w:t>
            </w:r>
            <w:r>
              <w:rPr>
                <w:rFonts w:hint="eastAsia"/>
                <w:color w:val="auto"/>
              </w:rPr>
              <w:t>评价标准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cs="Times New Roman"/>
                <w:color w:val="auto"/>
                <w:sz w:val="21"/>
                <w:szCs w:val="21"/>
                <w:lang w:val="en-US" w:eastAsia="zh-CN"/>
              </w:rPr>
              <w:t>TSP</w:t>
            </w:r>
            <w:r>
              <w:rPr>
                <w:rFonts w:hint="eastAsia" w:ascii="Times New Roman" w:hAnsi="Times New Roman" w:cs="Times New Roman"/>
                <w:color w:val="auto"/>
                <w:sz w:val="21"/>
                <w:szCs w:val="21"/>
                <w:lang w:val="en-US" w:eastAsia="zh-CN"/>
              </w:rPr>
              <w:t>执行《</w:t>
            </w:r>
            <w:r>
              <w:rPr>
                <w:rFonts w:hint="eastAsia" w:cs="Times New Roman"/>
                <w:color w:val="auto"/>
                <w:sz w:val="21"/>
                <w:szCs w:val="21"/>
                <w:lang w:val="en-US" w:eastAsia="zh-CN"/>
              </w:rPr>
              <w:t>环境空气质量标准</w:t>
            </w:r>
            <w:r>
              <w:rPr>
                <w:rFonts w:hint="eastAsia" w:ascii="Times New Roman" w:hAnsi="Times New Roman" w:cs="Times New Roman"/>
                <w:color w:val="auto"/>
                <w:sz w:val="21"/>
                <w:szCs w:val="21"/>
                <w:lang w:val="en-US" w:eastAsia="zh-CN"/>
              </w:rPr>
              <w:t>》中</w:t>
            </w:r>
            <w:r>
              <w:rPr>
                <w:rFonts w:hint="eastAsia" w:cs="Times New Roman"/>
                <w:color w:val="auto"/>
                <w:sz w:val="21"/>
                <w:szCs w:val="21"/>
                <w:lang w:val="en-US" w:eastAsia="zh-CN"/>
              </w:rPr>
              <w:t>24h二级</w:t>
            </w:r>
            <w:r>
              <w:rPr>
                <w:rFonts w:hint="eastAsia" w:ascii="Times New Roman" w:hAnsi="Times New Roman" w:cs="Times New Roman"/>
                <w:color w:val="auto"/>
                <w:sz w:val="21"/>
                <w:szCs w:val="21"/>
                <w:lang w:val="en-US" w:eastAsia="zh-CN"/>
              </w:rPr>
              <w:t>的标准限值</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详见下表</w:t>
            </w:r>
            <w:r>
              <w:rPr>
                <w:rFonts w:hint="eastAsia" w:cs="Times New Roman"/>
                <w:color w:val="auto"/>
                <w:sz w:val="21"/>
                <w:szCs w:val="21"/>
                <w:lang w:val="en-US" w:eastAsia="zh-CN"/>
              </w:rPr>
              <w:t>10</w:t>
            </w:r>
            <w:r>
              <w:rPr>
                <w:rFonts w:hint="eastAsia"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eastAsiaTheme="minorEastAsia"/>
                <w:color w:val="auto"/>
                <w:lang w:val="en-US" w:eastAsia="zh-CN"/>
              </w:rPr>
            </w:pPr>
            <w:r>
              <w:rPr>
                <w:rFonts w:hint="default" w:ascii="Times New Roman" w:hAnsi="Times New Roman" w:cs="Times New Roman"/>
                <w:color w:val="auto"/>
              </w:rPr>
              <w:t>表</w:t>
            </w:r>
            <w:r>
              <w:rPr>
                <w:rFonts w:hint="eastAsia" w:cs="Times New Roman"/>
                <w:color w:val="auto"/>
                <w:lang w:val="en-US" w:eastAsia="zh-CN"/>
              </w:rPr>
              <w:t>10</w:t>
            </w:r>
            <w:r>
              <w:rPr>
                <w:rFonts w:hint="default" w:ascii="Times New Roman" w:hAnsi="Times New Roman" w:cs="Times New Roman"/>
                <w:color w:val="auto"/>
              </w:rPr>
              <w:t xml:space="preserve"> </w:t>
            </w:r>
            <w:r>
              <w:rPr>
                <w:rFonts w:hint="eastAsia"/>
                <w:color w:val="auto"/>
              </w:rPr>
              <w:t xml:space="preserve"> </w:t>
            </w:r>
            <w:r>
              <w:rPr>
                <w:rFonts w:hint="eastAsia"/>
                <w:color w:val="auto"/>
                <w:lang w:val="en-US" w:eastAsia="zh-CN"/>
              </w:rPr>
              <w:t xml:space="preserve">                  TSP及汞</w:t>
            </w:r>
            <w:r>
              <w:rPr>
                <w:rFonts w:hint="eastAsia" w:ascii="Times New Roman" w:hAnsi="Times New Roman" w:cs="Times New Roman"/>
                <w:color w:val="auto"/>
                <w:sz w:val="21"/>
                <w:szCs w:val="21"/>
                <w:vertAlign w:val="baseline"/>
                <w:lang w:val="en-US" w:eastAsia="zh-CN"/>
              </w:rPr>
              <w:t>质量标准</w:t>
            </w:r>
          </w:p>
          <w:tbl>
            <w:tblPr>
              <w:tblStyle w:val="10"/>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532"/>
              <w:gridCol w:w="47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污染物</w:t>
                  </w:r>
                </w:p>
              </w:tc>
              <w:tc>
                <w:tcPr>
                  <w:tcW w:w="2863"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TSP（24小时值）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浓度限值</w:t>
                  </w:r>
                </w:p>
              </w:tc>
              <w:tc>
                <w:tcPr>
                  <w:tcW w:w="2863"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300u</w:t>
                  </w:r>
                  <w:r>
                    <w:rPr>
                      <w:rFonts w:hint="default"/>
                      <w:lang w:val="en-US" w:eastAsia="zh-CN"/>
                    </w:rPr>
                    <w:t>g/m</w:t>
                  </w:r>
                  <w:r>
                    <w:rPr>
                      <w:rFonts w:hint="default"/>
                      <w:vertAlign w:val="superscript"/>
                      <w:lang w:val="en-US" w:eastAsia="zh-CN"/>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eastAsia="zh-CN"/>
              </w:rPr>
              <w:t>⑤</w:t>
            </w:r>
            <w:r>
              <w:rPr>
                <w:rFonts w:hint="default" w:ascii="Times New Roman" w:hAnsi="Times New Roman" w:cs="Times New Roman"/>
                <w:color w:val="auto"/>
              </w:rPr>
              <w:t>评价方法</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对不同污染物的短期浓度进行环境质量状评价，</w:t>
            </w:r>
            <w:r>
              <w:rPr>
                <w:rFonts w:hint="default" w:ascii="Times New Roman" w:hAnsi="Times New Roman" w:cs="Times New Roman"/>
                <w:snapToGrid w:val="0"/>
                <w:color w:val="auto"/>
                <w:kern w:val="0"/>
                <w:sz w:val="21"/>
                <w:szCs w:val="21"/>
              </w:rPr>
              <w:t>评价方法</w:t>
            </w:r>
            <w:r>
              <w:rPr>
                <w:rFonts w:hint="default" w:ascii="Times New Roman" w:hAnsi="Times New Roman" w:cs="Times New Roman"/>
                <w:color w:val="auto"/>
                <w:sz w:val="21"/>
                <w:szCs w:val="21"/>
              </w:rPr>
              <w:t>采用超标率和最大浓度占标率进行评价，计算公式为：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超标率=超标数据个数/总监测数据个数×100%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position w:val="-30"/>
                <w:sz w:val="21"/>
                <w:szCs w:val="21"/>
                <w:lang w:eastAsia="zh-CN"/>
              </w:rPr>
              <w:object>
                <v:shape id="_x0000_i1026" o:spt="75" type="#_x0000_t75" style="height:34pt;width:78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式中：P</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—第i个污染物的最大浓度占标率（无量纲）；</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C</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—第i个污染物的最大浓度（mg/m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1050" w:firstLineChars="5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oi</w:t>
            </w:r>
            <w:r>
              <w:rPr>
                <w:rFonts w:hint="default" w:ascii="Times New Roman" w:hAnsi="Times New Roman" w:cs="Times New Roman"/>
                <w:color w:val="auto"/>
                <w:sz w:val="21"/>
                <w:szCs w:val="21"/>
              </w:rPr>
              <w:t>—第i个污染物的环境空气质量浓度标准（mg/m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eastAsia="zh-CN"/>
              </w:rPr>
              <w:t>⑥</w:t>
            </w:r>
            <w:r>
              <w:rPr>
                <w:rFonts w:hint="eastAsia" w:ascii="Times New Roman" w:hAnsi="Times New Roman" w:cs="Times New Roman"/>
                <w:color w:val="auto"/>
                <w:lang w:val="en-US" w:eastAsia="zh-CN"/>
              </w:rPr>
              <w:t>监测及</w:t>
            </w:r>
            <w:r>
              <w:rPr>
                <w:rFonts w:hint="default" w:ascii="Times New Roman" w:hAnsi="Times New Roman" w:cs="Times New Roman"/>
                <w:color w:val="auto"/>
              </w:rPr>
              <w:t>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Theme="minorEastAsia"/>
                <w:color w:val="auto"/>
                <w:lang w:val="en-US" w:eastAsia="zh-CN"/>
              </w:rPr>
            </w:pPr>
            <w:r>
              <w:rPr>
                <w:rFonts w:hint="eastAsia"/>
                <w:color w:val="auto"/>
                <w:lang w:val="en-US" w:eastAsia="zh-CN"/>
              </w:rPr>
              <w:t>详见下表</w:t>
            </w:r>
            <w:r>
              <w:rPr>
                <w:rFonts w:hint="eastAsia" w:cs="Times New Roman"/>
                <w:color w:val="auto"/>
                <w:lang w:val="en-US" w:eastAsia="zh-CN"/>
              </w:rPr>
              <w:t>11</w:t>
            </w:r>
            <w:r>
              <w:rPr>
                <w:rFonts w:hint="eastAsia"/>
                <w:color w:val="auto"/>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表</w:t>
            </w: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 xml:space="preserve">                     </w:t>
            </w:r>
            <w:r>
              <w:rPr>
                <w:rFonts w:hint="eastAsia"/>
                <w:lang w:val="en-US" w:eastAsia="zh-CN"/>
              </w:rPr>
              <w:t>TSP</w:t>
            </w:r>
            <w:r>
              <w:rPr>
                <w:rFonts w:hint="default" w:ascii="Times New Roman" w:hAnsi="Times New Roman" w:cs="Times New Roman"/>
                <w:color w:val="auto"/>
                <w:sz w:val="21"/>
                <w:szCs w:val="21"/>
                <w:lang w:val="en-US" w:eastAsia="zh-CN"/>
              </w:rPr>
              <w:t>现状监测</w:t>
            </w:r>
            <w:r>
              <w:rPr>
                <w:rFonts w:hint="eastAsia" w:ascii="Times New Roman" w:hAnsi="Times New Roman" w:cs="Times New Roman"/>
                <w:color w:val="auto"/>
                <w:sz w:val="21"/>
                <w:szCs w:val="21"/>
                <w:lang w:val="en-US" w:eastAsia="zh-CN"/>
              </w:rPr>
              <w:t>及评价</w:t>
            </w:r>
            <w:r>
              <w:rPr>
                <w:rFonts w:hint="default" w:ascii="Times New Roman" w:hAnsi="Times New Roman" w:cs="Times New Roman"/>
                <w:color w:val="auto"/>
                <w:sz w:val="21"/>
                <w:szCs w:val="21"/>
                <w:lang w:val="en-US" w:eastAsia="zh-CN"/>
              </w:rPr>
              <w:t>结果                 单位：</w:t>
            </w:r>
            <w:r>
              <w:rPr>
                <w:rFonts w:hint="eastAsia" w:cs="Times New Roman"/>
                <w:color w:val="auto"/>
                <w:sz w:val="21"/>
                <w:szCs w:val="21"/>
                <w:lang w:val="en-US" w:eastAsia="zh-CN"/>
              </w:rPr>
              <w:t>u</w:t>
            </w:r>
            <w:r>
              <w:rPr>
                <w:rFonts w:hint="default" w:ascii="Times New Roman" w:hAnsi="Times New Roman" w:cs="Times New Roman"/>
                <w:color w:val="auto"/>
                <w:sz w:val="21"/>
                <w:szCs w:val="21"/>
                <w:lang w:val="en-US" w:eastAsia="zh-CN"/>
              </w:rPr>
              <w:t>g/m</w:t>
            </w:r>
            <w:r>
              <w:rPr>
                <w:rFonts w:hint="default" w:ascii="Times New Roman" w:hAnsi="Times New Roman" w:cs="Times New Roman"/>
                <w:color w:val="auto"/>
                <w:sz w:val="21"/>
                <w:szCs w:val="21"/>
                <w:vertAlign w:val="superscript"/>
                <w:lang w:val="en-US" w:eastAsia="zh-CN"/>
              </w:rPr>
              <w:t>3</w:t>
            </w:r>
          </w:p>
          <w:tbl>
            <w:tblPr>
              <w:tblStyle w:val="1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80"/>
              <w:gridCol w:w="3074"/>
              <w:gridCol w:w="3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016" w:type="pct"/>
                  <w:tcBorders>
                    <w:tl2br w:val="nil"/>
                    <w:tr2bl w:val="nil"/>
                  </w:tcBorders>
                  <w:tcMar>
                    <w:left w:w="0" w:type="dxa"/>
                    <w:right w:w="0" w:type="dxa"/>
                  </w:tcMar>
                  <w:vAlign w:val="center"/>
                </w:tcPr>
                <w:p>
                  <w:pPr>
                    <w:pStyle w:val="15"/>
                    <w:keepNext w:val="0"/>
                    <w:keepLines w:val="0"/>
                    <w:suppressLineNumbers w:val="0"/>
                    <w:bidi w:val="0"/>
                    <w:spacing w:before="0" w:beforeAutospacing="0" w:after="0" w:afterAutospacing="0"/>
                    <w:ind w:left="0" w:right="0"/>
                    <w:jc w:val="center"/>
                    <w:rPr>
                      <w:rFonts w:hint="default"/>
                    </w:rPr>
                  </w:pPr>
                  <w:r>
                    <w:rPr>
                      <w:rFonts w:hint="default"/>
                      <w:lang w:eastAsia="zh-CN"/>
                    </w:rPr>
                    <w:t>采样点位</w:t>
                  </w:r>
                </w:p>
              </w:tc>
              <w:tc>
                <w:tcPr>
                  <w:tcW w:w="1859"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lang w:eastAsia="zh-CN"/>
                    </w:rPr>
                  </w:pPr>
                  <w:r>
                    <w:rPr>
                      <w:rFonts w:hint="default"/>
                      <w:lang w:eastAsia="zh-CN"/>
                    </w:rPr>
                    <w:t>采样日期</w:t>
                  </w:r>
                </w:p>
              </w:tc>
              <w:tc>
                <w:tcPr>
                  <w:tcW w:w="2124" w:type="pct"/>
                  <w:tcBorders>
                    <w:tl2br w:val="nil"/>
                    <w:tr2bl w:val="nil"/>
                  </w:tcBorders>
                  <w:vAlign w:val="center"/>
                </w:tcPr>
                <w:p>
                  <w:pPr>
                    <w:pStyle w:val="15"/>
                    <w:keepNext w:val="0"/>
                    <w:keepLines w:val="0"/>
                    <w:suppressLineNumbers w:val="0"/>
                    <w:bidi w:val="0"/>
                    <w:spacing w:before="0" w:beforeAutospacing="0" w:after="0" w:afterAutospacing="0"/>
                    <w:ind w:left="0" w:right="0"/>
                    <w:rPr>
                      <w:rFonts w:hint="default"/>
                    </w:rPr>
                  </w:pPr>
                  <w:r>
                    <w:rPr>
                      <w:rFonts w:hint="default"/>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016" w:type="pct"/>
                  <w:vMerge w:val="restart"/>
                  <w:tcBorders>
                    <w:tl2br w:val="nil"/>
                    <w:tr2bl w:val="nil"/>
                  </w:tcBorders>
                  <w:tcMar>
                    <w:left w:w="0" w:type="dxa"/>
                    <w:right w:w="0" w:type="dxa"/>
                  </w:tcMar>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项目区</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下风向</w:t>
                  </w:r>
                </w:p>
              </w:tc>
              <w:tc>
                <w:tcPr>
                  <w:tcW w:w="185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eastAsia" w:eastAsia="宋体" w:cs="Times New Roman"/>
                      <w:b w:val="0"/>
                      <w:bCs w:val="0"/>
                      <w:color w:val="auto"/>
                      <w:kern w:val="2"/>
                      <w:sz w:val="21"/>
                      <w:szCs w:val="21"/>
                      <w:highlight w:val="none"/>
                      <w:lang w:val="en-US" w:eastAsia="zh-CN" w:bidi="ar-SA"/>
                    </w:rPr>
                    <w:t>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16</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17</w:t>
                  </w:r>
                </w:p>
              </w:tc>
              <w:tc>
                <w:tcPr>
                  <w:tcW w:w="212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lang w:val="en-US" w:eastAsia="zh-CN"/>
                    </w:rPr>
                  </w:pPr>
                  <w:r>
                    <w:rPr>
                      <w:rFonts w:hint="eastAsia" w:eastAsia="宋体" w:cs="Times New Roman"/>
                      <w:i w:val="0"/>
                      <w:iCs w:val="0"/>
                      <w:color w:val="auto"/>
                      <w:kern w:val="0"/>
                      <w:sz w:val="21"/>
                      <w:szCs w:val="21"/>
                      <w:u w:val="none"/>
                      <w:lang w:val="en-US" w:eastAsia="zh-CN" w:bidi="ar"/>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16" w:type="pct"/>
                  <w:vMerge w:val="continue"/>
                  <w:tcBorders>
                    <w:tl2br w:val="nil"/>
                    <w:tr2bl w:val="nil"/>
                  </w:tcBorders>
                  <w:tcMar>
                    <w:left w:w="0" w:type="dxa"/>
                    <w:right w:w="0" w:type="dxa"/>
                  </w:tcMar>
                  <w:vAlign w:val="center"/>
                </w:tcPr>
                <w:p>
                  <w:pPr>
                    <w:pStyle w:val="15"/>
                    <w:keepNext w:val="0"/>
                    <w:keepLines w:val="0"/>
                    <w:suppressLineNumbers w:val="0"/>
                    <w:bidi w:val="0"/>
                    <w:spacing w:before="0" w:beforeAutospacing="0" w:after="0" w:afterAutospacing="0"/>
                    <w:ind w:left="0" w:right="0"/>
                    <w:rPr>
                      <w:rFonts w:hint="default"/>
                      <w:lang w:val="en-US" w:eastAsia="zh-CN"/>
                    </w:rPr>
                  </w:pPr>
                </w:p>
              </w:tc>
              <w:tc>
                <w:tcPr>
                  <w:tcW w:w="185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eastAsia" w:eastAsia="宋体" w:cs="Times New Roman"/>
                      <w:b w:val="0"/>
                      <w:bCs w:val="0"/>
                      <w:color w:val="auto"/>
                      <w:kern w:val="2"/>
                      <w:sz w:val="21"/>
                      <w:szCs w:val="21"/>
                      <w:highlight w:val="none"/>
                      <w:lang w:val="en-US" w:eastAsia="zh-CN" w:bidi="ar-SA"/>
                    </w:rPr>
                    <w:t>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17</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18</w:t>
                  </w:r>
                </w:p>
              </w:tc>
              <w:tc>
                <w:tcPr>
                  <w:tcW w:w="212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lang w:val="en-US" w:eastAsia="zh-CN"/>
                    </w:rPr>
                  </w:pPr>
                  <w:r>
                    <w:rPr>
                      <w:rFonts w:hint="eastAsia" w:eastAsia="宋体" w:cs="Times New Roman"/>
                      <w:i w:val="0"/>
                      <w:iCs w:val="0"/>
                      <w:color w:val="auto"/>
                      <w:kern w:val="0"/>
                      <w:sz w:val="21"/>
                      <w:szCs w:val="21"/>
                      <w:u w:val="none"/>
                      <w:lang w:val="en-US" w:eastAsia="zh-CN" w:bidi="ar"/>
                    </w:rPr>
                    <w:t>197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16" w:type="pct"/>
                  <w:vMerge w:val="continue"/>
                  <w:tcBorders>
                    <w:tl2br w:val="nil"/>
                    <w:tr2bl w:val="nil"/>
                  </w:tcBorders>
                  <w:tcMar>
                    <w:left w:w="0" w:type="dxa"/>
                    <w:right w:w="0" w:type="dxa"/>
                  </w:tcMar>
                  <w:vAlign w:val="center"/>
                </w:tcPr>
                <w:p>
                  <w:pPr>
                    <w:pStyle w:val="15"/>
                    <w:keepNext w:val="0"/>
                    <w:keepLines w:val="0"/>
                    <w:suppressLineNumbers w:val="0"/>
                    <w:bidi w:val="0"/>
                    <w:spacing w:before="0" w:beforeAutospacing="0" w:after="0" w:afterAutospacing="0"/>
                    <w:ind w:left="0" w:right="0"/>
                    <w:rPr>
                      <w:rFonts w:hint="default"/>
                      <w:lang w:val="en-US" w:eastAsia="zh-CN"/>
                    </w:rPr>
                  </w:pPr>
                </w:p>
              </w:tc>
              <w:tc>
                <w:tcPr>
                  <w:tcW w:w="185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eastAsia" w:eastAsia="宋体" w:cs="Times New Roman"/>
                      <w:b w:val="0"/>
                      <w:bCs w:val="0"/>
                      <w:color w:val="auto"/>
                      <w:kern w:val="2"/>
                      <w:sz w:val="21"/>
                      <w:szCs w:val="21"/>
                      <w:highlight w:val="none"/>
                      <w:lang w:val="en-US" w:eastAsia="zh-CN" w:bidi="ar-SA"/>
                    </w:rPr>
                    <w:t>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18</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04</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eastAsia="宋体" w:cs="Times New Roman"/>
                      <w:b w:val="0"/>
                      <w:bCs w:val="0"/>
                      <w:color w:val="auto"/>
                      <w:kern w:val="2"/>
                      <w:sz w:val="21"/>
                      <w:szCs w:val="21"/>
                      <w:highlight w:val="none"/>
                      <w:lang w:val="en-US" w:eastAsia="zh-CN" w:bidi="ar-SA"/>
                    </w:rPr>
                    <w:t>19</w:t>
                  </w:r>
                </w:p>
              </w:tc>
              <w:tc>
                <w:tcPr>
                  <w:tcW w:w="212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lang w:val="en-US" w:eastAsia="zh-CN"/>
                    </w:rPr>
                  </w:pPr>
                  <w:r>
                    <w:rPr>
                      <w:rFonts w:hint="eastAsia" w:eastAsia="宋体" w:cs="Times New Roman"/>
                      <w:i w:val="0"/>
                      <w:iCs w:val="0"/>
                      <w:color w:val="auto"/>
                      <w:kern w:val="0"/>
                      <w:sz w:val="21"/>
                      <w:szCs w:val="21"/>
                      <w:u w:val="none"/>
                      <w:lang w:val="en-US" w:eastAsia="zh-CN" w:bidi="ar"/>
                    </w:rPr>
                    <w:t>188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5" w:type="pct"/>
                  <w:gridSpan w:val="2"/>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lang w:val="en-US" w:eastAsia="zh-CN"/>
                    </w:rPr>
                  </w:pPr>
                  <w:r>
                    <w:rPr>
                      <w:rFonts w:hint="eastAsia"/>
                      <w:lang w:val="en-US" w:eastAsia="zh-CN"/>
                    </w:rPr>
                    <w:t>浓度范围</w:t>
                  </w:r>
                </w:p>
              </w:tc>
              <w:tc>
                <w:tcPr>
                  <w:tcW w:w="2124"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lang w:val="en-US" w:eastAsia="zh-CN"/>
                    </w:rPr>
                  </w:pPr>
                  <w:r>
                    <w:rPr>
                      <w:rFonts w:hint="eastAsia"/>
                      <w:lang w:val="en-US" w:eastAsia="zh-CN"/>
                    </w:rPr>
                    <w:t>183~197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5" w:type="pct"/>
                  <w:gridSpan w:val="2"/>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lang w:val="en-US" w:eastAsia="zh-CN"/>
                    </w:rPr>
                  </w:pPr>
                  <w:r>
                    <w:rPr>
                      <w:rFonts w:hint="eastAsia"/>
                      <w:lang w:val="en-US" w:eastAsia="zh-CN"/>
                    </w:rPr>
                    <w:t>最大占标率</w:t>
                  </w:r>
                </w:p>
              </w:tc>
              <w:tc>
                <w:tcPr>
                  <w:tcW w:w="2124"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lang w:val="en-US" w:eastAsia="zh-CN"/>
                    </w:rPr>
                  </w:pPr>
                  <w:r>
                    <w:rPr>
                      <w:rFonts w:hint="eastAsia"/>
                      <w:lang w:val="en-US" w:eastAsia="zh-CN"/>
                    </w:rPr>
                    <w:t>65.7%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5" w:type="pct"/>
                  <w:gridSpan w:val="2"/>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lang w:val="en-US" w:eastAsia="zh-CN"/>
                    </w:rPr>
                  </w:pPr>
                  <w:r>
                    <w:rPr>
                      <w:rFonts w:hint="eastAsia"/>
                      <w:lang w:val="en-US" w:eastAsia="zh-CN"/>
                    </w:rPr>
                    <w:t>超标率</w:t>
                  </w:r>
                </w:p>
              </w:tc>
              <w:tc>
                <w:tcPr>
                  <w:tcW w:w="2124" w:type="pct"/>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lang w:val="en-US" w:eastAsia="zh-CN"/>
                    </w:rPr>
                  </w:pPr>
                  <w:r>
                    <w:rPr>
                      <w:rFonts w:hint="eastAsia"/>
                      <w:lang w:val="en-US" w:eastAsia="zh-CN"/>
                    </w:rPr>
                    <w:t>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评价区域</w:t>
            </w:r>
            <w:r>
              <w:rPr>
                <w:rFonts w:hint="eastAsia" w:cs="Times New Roman"/>
                <w:color w:val="auto"/>
                <w:lang w:val="en-US" w:eastAsia="zh-CN"/>
              </w:rPr>
              <w:t>TSP现状监测值最大占标率为65.7%，超标率为0，满足</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环境空气质量标准</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二级标准及修改单要求</w:t>
            </w:r>
            <w:r>
              <w:rPr>
                <w:rFonts w:hint="eastAsia"/>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color w:val="auto"/>
                <w:lang w:val="en-US" w:eastAsia="zh-CN"/>
              </w:rPr>
            </w:pPr>
            <w:r>
              <w:rPr>
                <w:rFonts w:hint="eastAsia"/>
                <w:color w:val="auto"/>
                <w:lang w:val="en-US" w:eastAsia="zh-CN"/>
              </w:rPr>
              <w:t>2、地表水环境质量现状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bCs/>
                <w:color w:val="auto"/>
                <w:spacing w:val="0"/>
                <w:kern w:val="0"/>
                <w:sz w:val="21"/>
                <w:szCs w:val="21"/>
                <w:lang w:val="en-US" w:eastAsia="zh-CN"/>
              </w:rPr>
            </w:pPr>
            <w:r>
              <w:rPr>
                <w:rFonts w:hint="eastAsia" w:ascii="Times New Roman" w:hAnsi="Times New Roman" w:eastAsia="宋体" w:cs="Times New Roman"/>
                <w:bCs/>
                <w:color w:val="auto"/>
                <w:spacing w:val="0"/>
                <w:kern w:val="0"/>
                <w:sz w:val="21"/>
                <w:szCs w:val="21"/>
                <w:lang w:val="en-US" w:eastAsia="zh-CN"/>
              </w:rPr>
              <w:t xml:space="preserve">第七师胡杨河市涉及地表河流为奎屯河，根据《新疆水环境功能区划》，奎屯河控制城镇乌苏市，水质目标为Ⅲ类。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60" w:firstLineChars="200"/>
              <w:jc w:val="both"/>
              <w:textAlignment w:val="auto"/>
              <w:outlineLvl w:val="9"/>
              <w:rPr>
                <w:rFonts w:hint="eastAsia" w:cs="Times New Roman"/>
                <w:bCs/>
                <w:color w:val="auto"/>
                <w:spacing w:val="0"/>
                <w:kern w:val="0"/>
                <w:sz w:val="21"/>
                <w:szCs w:val="21"/>
                <w:lang w:val="en-US" w:eastAsia="zh-CN"/>
              </w:rPr>
            </w:pPr>
            <w:r>
              <w:rPr>
                <w:rFonts w:hint="eastAsia" w:ascii="宋体" w:hAnsi="宋体" w:eastAsia="宋体"/>
                <w:color w:val="000000"/>
                <w:sz w:val="23"/>
                <w:lang w:val="en-US" w:eastAsia="zh-CN"/>
              </w:rPr>
              <w:t>本次评价</w:t>
            </w:r>
            <w:r>
              <w:rPr>
                <w:rFonts w:hint="eastAsia" w:ascii="Times New Roman" w:hAnsi="Times New Roman" w:eastAsia="宋体" w:cs="Times New Roman"/>
                <w:bCs/>
                <w:color w:val="auto"/>
                <w:spacing w:val="0"/>
                <w:kern w:val="0"/>
                <w:sz w:val="21"/>
                <w:szCs w:val="21"/>
                <w:lang w:val="en-US" w:eastAsia="zh-CN"/>
              </w:rPr>
              <w:t>地表水环境质量现状引用《乌苏市养殖水域滩涂规划》（2021年）中奎屯河流域地表水水质监测数据及评价结果来表征奎屯河水质现状。</w:t>
            </w:r>
            <w:r>
              <w:rPr>
                <w:rFonts w:hint="eastAsia" w:cs="Times New Roman"/>
                <w:bCs/>
                <w:color w:val="auto"/>
                <w:spacing w:val="0"/>
                <w:kern w:val="0"/>
                <w:sz w:val="21"/>
                <w:szCs w:val="21"/>
                <w:lang w:val="en-US" w:eastAsia="zh-CN"/>
              </w:rPr>
              <w:t>具体监测结果见下表12。</w:t>
            </w:r>
          </w:p>
          <w:p>
            <w:pPr>
              <w:pStyle w:val="16"/>
              <w:keepNext w:val="0"/>
              <w:keepLines w:val="0"/>
              <w:suppressLineNumbers w:val="0"/>
              <w:bidi w:val="0"/>
              <w:spacing w:before="0" w:beforeAutospacing="0" w:after="0" w:afterAutospacing="0"/>
              <w:ind w:left="0" w:right="0"/>
              <w:rPr>
                <w:rFonts w:hint="eastAsia"/>
                <w:b w:val="0"/>
                <w:bCs w:val="0"/>
                <w:lang w:val="en-US" w:eastAsia="zh-CN"/>
              </w:rPr>
            </w:pPr>
            <w:r>
              <w:rPr>
                <w:rFonts w:hint="eastAsia"/>
                <w:b w:val="0"/>
                <w:bCs w:val="0"/>
              </w:rPr>
              <w:t>表</w:t>
            </w:r>
            <w:r>
              <w:rPr>
                <w:rFonts w:hint="eastAsia"/>
                <w:b w:val="0"/>
                <w:bCs w:val="0"/>
                <w:lang w:val="en-US" w:eastAsia="zh-CN"/>
              </w:rPr>
              <w:t xml:space="preserve">12      </w:t>
            </w:r>
            <w:r>
              <w:rPr>
                <w:rFonts w:hint="eastAsia"/>
                <w:b w:val="0"/>
                <w:bCs w:val="0"/>
              </w:rPr>
              <w:t>奎屯河流域地表水水质监测数据及评价结果</w:t>
            </w:r>
            <w:r>
              <w:rPr>
                <w:rFonts w:hint="eastAsia"/>
                <w:b w:val="0"/>
                <w:bCs w:val="0"/>
                <w:lang w:val="en-US" w:eastAsia="zh-CN"/>
              </w:rPr>
              <w:t xml:space="preserve">              </w:t>
            </w:r>
            <w:r>
              <w:rPr>
                <w:rFonts w:hint="eastAsia"/>
                <w:b w:val="0"/>
                <w:bCs w:val="0"/>
              </w:rPr>
              <w:t>单位：mg/L</w:t>
            </w:r>
          </w:p>
          <w:tbl>
            <w:tblPr>
              <w:tblStyle w:val="10"/>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9"/>
              <w:gridCol w:w="1521"/>
              <w:gridCol w:w="1499"/>
              <w:gridCol w:w="1327"/>
              <w:gridCol w:w="1327"/>
              <w:gridCol w:w="165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监测因子</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奎屯河上游</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奎屯河中游</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四棵树上游</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四棵树下游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8.2</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8.2</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7.9</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铜</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＜0.05</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锌</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＜0.05</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0.011</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CODcr</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1.77</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0.99</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氟化物</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0.11</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砷</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&lt;0.005</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未检出</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未检出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汞</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0.002</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未检出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铬（六价）</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&lt;0.005</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0.005</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氰化物</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挥发酚</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&lt;0.002</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68"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2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90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c>
                <w:tcPr>
                  <w:tcW w:w="80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cs="Times New Roman"/>
                <w:bCs/>
                <w:color w:val="auto"/>
                <w:spacing w:val="0"/>
                <w:kern w:val="0"/>
                <w:sz w:val="21"/>
                <w:szCs w:val="21"/>
                <w:lang w:val="en-US" w:eastAsia="zh-CN"/>
              </w:rPr>
            </w:pPr>
            <w:r>
              <w:rPr>
                <w:rFonts w:hint="eastAsia" w:cs="Times New Roman"/>
                <w:bCs/>
                <w:color w:val="auto"/>
                <w:spacing w:val="0"/>
                <w:kern w:val="0"/>
                <w:sz w:val="21"/>
                <w:szCs w:val="21"/>
                <w:lang w:val="en-US" w:eastAsia="zh-CN"/>
              </w:rPr>
              <w:t>奎屯河</w:t>
            </w:r>
            <w:r>
              <w:rPr>
                <w:rFonts w:hint="default" w:cs="Times New Roman"/>
                <w:bCs/>
                <w:color w:val="auto"/>
                <w:spacing w:val="0"/>
                <w:kern w:val="0"/>
                <w:sz w:val="21"/>
                <w:szCs w:val="21"/>
                <w:lang w:val="en-US" w:eastAsia="zh-CN"/>
              </w:rPr>
              <w:t>水资源主要由南部山区冰川融雪和山区降雨补给，境内主要河流天然水质较好，上游优于下游。河水矿化度在112-207mg/l之间，水化学类型比较稳定，以重碳酸盐类、钙组Ⅱ型水为主。河流矿化度沿程呈逐渐增加趋势</w:t>
            </w:r>
            <w:r>
              <w:rPr>
                <w:rFonts w:hint="eastAsia" w:cs="Times New Roman"/>
                <w:bCs/>
                <w:color w:val="auto"/>
                <w:spacing w:val="0"/>
                <w:kern w:val="0"/>
                <w:sz w:val="21"/>
                <w:szCs w:val="21"/>
                <w:lang w:val="en-US" w:eastAsia="zh-CN"/>
              </w:rPr>
              <w:t>，</w:t>
            </w:r>
            <w:r>
              <w:rPr>
                <w:rFonts w:hint="default" w:cs="Times New Roman"/>
                <w:bCs/>
                <w:color w:val="auto"/>
                <w:spacing w:val="0"/>
                <w:kern w:val="0"/>
                <w:sz w:val="21"/>
                <w:szCs w:val="21"/>
                <w:lang w:val="en-US" w:eastAsia="zh-CN"/>
              </w:rPr>
              <w:t>水质较好，</w:t>
            </w:r>
            <w:r>
              <w:rPr>
                <w:rFonts w:hint="eastAsia" w:cs="Times New Roman"/>
                <w:bCs/>
                <w:color w:val="auto"/>
                <w:spacing w:val="0"/>
                <w:kern w:val="0"/>
                <w:sz w:val="21"/>
                <w:szCs w:val="21"/>
                <w:lang w:val="en-US" w:eastAsia="zh-CN"/>
              </w:rPr>
              <w:t>可</w:t>
            </w:r>
            <w:r>
              <w:rPr>
                <w:rFonts w:hint="default" w:cs="Times New Roman"/>
                <w:bCs/>
                <w:color w:val="auto"/>
                <w:spacing w:val="0"/>
                <w:kern w:val="0"/>
                <w:sz w:val="21"/>
                <w:szCs w:val="21"/>
                <w:lang w:val="en-US" w:eastAsia="zh-CN"/>
              </w:rPr>
              <w:t>达到地表Ⅱ-Ⅲ类标准。</w:t>
            </w:r>
          </w:p>
          <w:p>
            <w:pPr>
              <w:keepNext w:val="0"/>
              <w:keepLines w:val="0"/>
              <w:suppressLineNumbers w:val="0"/>
              <w:spacing w:before="0" w:beforeAutospacing="0" w:after="0" w:afterAutospacing="0"/>
              <w:ind w:left="0" w:right="0" w:firstLine="0" w:firstLineChars="0"/>
              <w:rPr>
                <w:rFonts w:hint="default"/>
              </w:rPr>
            </w:pPr>
            <w:r>
              <w:rPr>
                <w:rFonts w:hint="eastAsia"/>
              </w:rPr>
              <w:t>3、</w:t>
            </w:r>
            <w:r>
              <w:rPr>
                <w:rFonts w:hint="default"/>
              </w:rPr>
              <w:t>声环境质量现状</w:t>
            </w:r>
          </w:p>
          <w:p>
            <w:pPr>
              <w:keepNext w:val="0"/>
              <w:keepLines w:val="0"/>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rPr>
              <w:t>本项目位于</w:t>
            </w:r>
            <w:r>
              <w:rPr>
                <w:rFonts w:hint="eastAsia"/>
                <w:lang w:val="en-US" w:eastAsia="zh-CN"/>
              </w:rPr>
              <w:t>胡杨河市经济技术开发区</w:t>
            </w:r>
            <w:r>
              <w:rPr>
                <w:rFonts w:hint="eastAsia"/>
                <w:color w:val="000000" w:themeColor="text1"/>
                <w14:textFill>
                  <w14:solidFill>
                    <w14:schemeClr w14:val="tx1"/>
                  </w14:solidFill>
                </w14:textFill>
              </w:rPr>
              <w:t>，项目区周边50m无声环境敏感目标，无需开展声环境质量监测。</w:t>
            </w:r>
          </w:p>
          <w:p>
            <w:pPr>
              <w:keepNext w:val="0"/>
              <w:keepLines w:val="0"/>
              <w:suppressLineNumbers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4、生态环境</w:t>
            </w:r>
          </w:p>
          <w:p>
            <w:pPr>
              <w:keepNext w:val="0"/>
              <w:keepLines w:val="0"/>
              <w:suppressLineNumbers w:val="0"/>
              <w:spacing w:before="0" w:beforeAutospacing="0" w:after="0" w:afterAutospacing="0"/>
              <w:ind w:left="0" w:right="0" w:firstLine="420"/>
              <w:rPr>
                <w:rFonts w:hint="default"/>
              </w:rPr>
            </w:pPr>
            <w:r>
              <w:rPr>
                <w:rFonts w:hint="eastAsia"/>
                <w:color w:val="000000" w:themeColor="text1"/>
                <w14:textFill>
                  <w14:solidFill>
                    <w14:schemeClr w14:val="tx1"/>
                  </w14:solidFill>
                </w14:textFill>
              </w:rPr>
              <w:t>本项目位于</w:t>
            </w:r>
            <w:r>
              <w:rPr>
                <w:rFonts w:hint="eastAsia"/>
                <w:lang w:val="en-US" w:eastAsia="zh-CN"/>
              </w:rPr>
              <w:t>胡杨河市经济技术开发区</w:t>
            </w:r>
            <w:r>
              <w:rPr>
                <w:rFonts w:hint="eastAsia"/>
                <w:color w:val="000000" w:themeColor="text1"/>
                <w14:textFill>
                  <w14:solidFill>
                    <w14:schemeClr w14:val="tx1"/>
                  </w14:solidFill>
                </w14:textFill>
              </w:rPr>
              <w:t>，</w:t>
            </w:r>
            <w:r>
              <w:rPr>
                <w:rFonts w:hint="eastAsia"/>
              </w:rPr>
              <w:t>根据《建设项目环境影响报告表编制技术指南》（污染影响类）（试行），本项目不进行生态现状调查。</w:t>
            </w:r>
          </w:p>
          <w:p>
            <w:pPr>
              <w:keepNext w:val="0"/>
              <w:keepLines w:val="0"/>
              <w:suppressLineNumbers w:val="0"/>
              <w:spacing w:before="0" w:beforeAutospacing="0" w:after="0" w:afterAutospacing="0"/>
              <w:ind w:left="0" w:right="0" w:firstLine="0" w:firstLineChars="0"/>
              <w:rPr>
                <w:rFonts w:hint="default"/>
              </w:rPr>
            </w:pPr>
            <w:r>
              <w:rPr>
                <w:rFonts w:hint="eastAsia"/>
              </w:rPr>
              <w:t>5、地下水、土壤环境</w:t>
            </w:r>
          </w:p>
          <w:p>
            <w:pPr>
              <w:keepNext w:val="0"/>
              <w:keepLines w:val="0"/>
              <w:suppressLineNumbers w:val="0"/>
              <w:spacing w:before="0" w:beforeAutospacing="0" w:after="0" w:afterAutospacing="0"/>
              <w:ind w:left="0" w:right="0" w:firstLine="420"/>
              <w:jc w:val="left"/>
              <w:rPr>
                <w:rFonts w:hint="default"/>
              </w:rPr>
            </w:pPr>
            <w:r>
              <w:rPr>
                <w:rFonts w:hint="default"/>
                <w:lang w:val="en-US" w:eastAsia="zh-CN"/>
              </w:rPr>
              <w:t>项目</w:t>
            </w:r>
            <w:r>
              <w:rPr>
                <w:rFonts w:hint="eastAsia"/>
                <w:lang w:val="en-US" w:eastAsia="zh-CN"/>
              </w:rPr>
              <w:t>光伏桩生产</w:t>
            </w:r>
            <w:r>
              <w:rPr>
                <w:rFonts w:hint="default"/>
                <w:lang w:val="en-US" w:eastAsia="zh-CN"/>
              </w:rPr>
              <w:t>属于水泥制品制造行业，根据《建设项目环境影响报告表编制技术指南（污染影响类）》（试行）可知，项目不存在土壤、地下水环境污染途径，根据指南要求，不开展土壤、地下水环境质量现状调查。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42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kern w:val="0"/>
              </w:rPr>
            </w:pPr>
            <w:r>
              <w:rPr>
                <w:rFonts w:hint="default" w:cs="Times New Roman"/>
                <w:kern w:val="0"/>
              </w:rPr>
              <w:t>环境</w:t>
            </w:r>
          </w:p>
          <w:p>
            <w:pPr>
              <w:keepNext w:val="0"/>
              <w:keepLines w:val="0"/>
              <w:suppressLineNumbers w:val="0"/>
              <w:spacing w:before="0" w:beforeAutospacing="0" w:after="0" w:afterAutospacing="0" w:line="240" w:lineRule="auto"/>
              <w:ind w:left="0" w:right="0" w:firstLine="0" w:firstLineChars="0"/>
              <w:jc w:val="center"/>
              <w:rPr>
                <w:rFonts w:hint="default" w:cs="Times New Roman"/>
                <w:kern w:val="0"/>
              </w:rPr>
            </w:pPr>
            <w:r>
              <w:rPr>
                <w:rFonts w:hint="default" w:cs="Times New Roman"/>
                <w:kern w:val="0"/>
              </w:rPr>
              <w:t>保护</w:t>
            </w:r>
          </w:p>
          <w:p>
            <w:pPr>
              <w:keepNext w:val="0"/>
              <w:keepLines w:val="0"/>
              <w:suppressLineNumbers w:val="0"/>
              <w:spacing w:before="0" w:beforeAutospacing="0" w:after="0" w:afterAutospacing="0" w:line="240" w:lineRule="auto"/>
              <w:ind w:left="0" w:right="0" w:firstLine="0" w:firstLineChars="0"/>
              <w:jc w:val="center"/>
              <w:rPr>
                <w:rFonts w:hint="default" w:cs="Times New Roman"/>
                <w:kern w:val="0"/>
              </w:rPr>
            </w:pPr>
            <w:r>
              <w:rPr>
                <w:rFonts w:hint="default" w:cs="Times New Roman"/>
                <w:kern w:val="0"/>
              </w:rPr>
              <w:t>目标</w:t>
            </w:r>
          </w:p>
        </w:tc>
        <w:tc>
          <w:tcPr>
            <w:tcW w:w="8485" w:type="dxa"/>
            <w:vAlign w:val="center"/>
          </w:tcPr>
          <w:p>
            <w:pPr>
              <w:keepNext w:val="0"/>
              <w:keepLines w:val="0"/>
              <w:suppressLineNumbers w:val="0"/>
              <w:spacing w:before="0" w:beforeAutospacing="0" w:after="0" w:afterAutospacing="0"/>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default"/>
                <w:color w:val="000000" w:themeColor="text1"/>
                <w14:textFill>
                  <w14:solidFill>
                    <w14:schemeClr w14:val="tx1"/>
                  </w14:solidFill>
                </w14:textFill>
              </w:rPr>
              <w:t>大气环境</w:t>
            </w:r>
            <w:r>
              <w:rPr>
                <w:rFonts w:hint="eastAsia"/>
                <w:color w:val="000000" w:themeColor="text1"/>
                <w14:textFill>
                  <w14:solidFill>
                    <w14:schemeClr w14:val="tx1"/>
                  </w14:solidFill>
                </w14:textFill>
              </w:rPr>
              <w:t>保护</w:t>
            </w:r>
            <w:r>
              <w:rPr>
                <w:rFonts w:hint="default"/>
                <w:color w:val="000000" w:themeColor="text1"/>
                <w14:textFill>
                  <w14:solidFill>
                    <w14:schemeClr w14:val="tx1"/>
                  </w14:solidFill>
                </w14:textFill>
              </w:rPr>
              <w:t>目标：</w:t>
            </w:r>
            <w:r>
              <w:rPr>
                <w:rFonts w:hint="eastAsia"/>
                <w:color w:val="000000" w:themeColor="text1"/>
                <w14:textFill>
                  <w14:solidFill>
                    <w14:schemeClr w14:val="tx1"/>
                  </w14:solidFill>
                </w14:textFill>
              </w:rPr>
              <w:t>项目位于</w:t>
            </w:r>
            <w:r>
              <w:rPr>
                <w:rFonts w:hint="eastAsia"/>
                <w:lang w:val="en-US" w:eastAsia="zh-CN"/>
              </w:rPr>
              <w:t>胡杨河市经济技术开发区</w:t>
            </w:r>
            <w:r>
              <w:rPr>
                <w:rFonts w:hint="eastAsia"/>
                <w:color w:val="000000" w:themeColor="text1"/>
                <w14:textFill>
                  <w14:solidFill>
                    <w14:schemeClr w14:val="tx1"/>
                  </w14:solidFill>
                </w14:textFill>
              </w:rPr>
              <w:t xml:space="preserve">，500m范围内大气环境敏感目标。  </w:t>
            </w:r>
          </w:p>
          <w:p>
            <w:pPr>
              <w:keepNext w:val="0"/>
              <w:keepLines w:val="0"/>
              <w:suppressLineNumbers w:val="0"/>
              <w:spacing w:before="0" w:beforeAutospacing="0" w:after="0" w:afterAutospacing="0"/>
              <w:ind w:left="0" w:right="0" w:firstLine="0" w:firstLineChars="0"/>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声环境</w:t>
            </w:r>
            <w:r>
              <w:rPr>
                <w:rFonts w:hint="eastAsia"/>
                <w:color w:val="000000" w:themeColor="text1"/>
                <w14:textFill>
                  <w14:solidFill>
                    <w14:schemeClr w14:val="tx1"/>
                  </w14:solidFill>
                </w14:textFill>
              </w:rPr>
              <w:t>保护目标：项目区</w:t>
            </w:r>
            <w:r>
              <w:rPr>
                <w:rFonts w:hint="default"/>
                <w:color w:val="000000" w:themeColor="text1"/>
                <w14:textFill>
                  <w14:solidFill>
                    <w14:schemeClr w14:val="tx1"/>
                  </w14:solidFill>
                </w14:textFill>
              </w:rPr>
              <w:t>50</w:t>
            </w:r>
            <w:r>
              <w:rPr>
                <w:rFonts w:hint="eastAsia"/>
                <w:color w:val="000000" w:themeColor="text1"/>
                <w14:textFill>
                  <w14:solidFill>
                    <w14:schemeClr w14:val="tx1"/>
                  </w14:solidFill>
                </w14:textFill>
              </w:rPr>
              <w:t>m</w:t>
            </w:r>
            <w:r>
              <w:rPr>
                <w:rFonts w:hint="default"/>
                <w:color w:val="000000" w:themeColor="text1"/>
                <w14:textFill>
                  <w14:solidFill>
                    <w14:schemeClr w14:val="tx1"/>
                  </w14:solidFill>
                </w14:textFill>
              </w:rPr>
              <w:t>范围内</w:t>
            </w:r>
            <w:r>
              <w:rPr>
                <w:rFonts w:hint="eastAsia"/>
                <w:color w:val="000000" w:themeColor="text1"/>
                <w14:textFill>
                  <w14:solidFill>
                    <w14:schemeClr w14:val="tx1"/>
                  </w14:solidFill>
                </w14:textFill>
              </w:rPr>
              <w:t>无</w:t>
            </w:r>
            <w:r>
              <w:rPr>
                <w:rFonts w:hint="default"/>
                <w:color w:val="000000" w:themeColor="text1"/>
                <w14:textFill>
                  <w14:solidFill>
                    <w14:schemeClr w14:val="tx1"/>
                  </w14:solidFill>
                </w14:textFill>
              </w:rPr>
              <w:t>声环境</w:t>
            </w:r>
            <w:r>
              <w:rPr>
                <w:rFonts w:hint="eastAsia"/>
                <w:color w:val="000000" w:themeColor="text1"/>
                <w14:textFill>
                  <w14:solidFill>
                    <w14:schemeClr w14:val="tx1"/>
                  </w14:solidFill>
                </w14:textFill>
              </w:rPr>
              <w:t>敏感</w:t>
            </w:r>
            <w:r>
              <w:rPr>
                <w:rFonts w:hint="default"/>
                <w:color w:val="000000" w:themeColor="text1"/>
                <w14:textFill>
                  <w14:solidFill>
                    <w14:schemeClr w14:val="tx1"/>
                  </w14:solidFill>
                </w14:textFill>
              </w:rPr>
              <w:t>保护目标。</w:t>
            </w:r>
          </w:p>
          <w:p>
            <w:pPr>
              <w:keepNext w:val="0"/>
              <w:keepLines w:val="0"/>
              <w:suppressLineNumbers w:val="0"/>
              <w:spacing w:before="0" w:beforeAutospacing="0" w:after="0" w:afterAutospacing="0"/>
              <w:ind w:left="0" w:right="0" w:firstLine="0" w:firstLineChars="0"/>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地下水环境</w:t>
            </w:r>
            <w:r>
              <w:rPr>
                <w:rFonts w:hint="eastAsia"/>
                <w:color w:val="000000" w:themeColor="text1"/>
                <w14:textFill>
                  <w14:solidFill>
                    <w14:schemeClr w14:val="tx1"/>
                  </w14:solidFill>
                </w14:textFill>
              </w:rPr>
              <w:t>保护目标：项目</w:t>
            </w:r>
            <w:r>
              <w:rPr>
                <w:rFonts w:hint="default"/>
                <w:color w:val="000000" w:themeColor="text1"/>
                <w14:textFill>
                  <w14:solidFill>
                    <w14:schemeClr w14:val="tx1"/>
                  </w14:solidFill>
                </w14:textFill>
              </w:rPr>
              <w:t>厂界外500</w:t>
            </w:r>
            <w:r>
              <w:rPr>
                <w:rFonts w:hint="eastAsia"/>
                <w:color w:val="000000" w:themeColor="text1"/>
                <w14:textFill>
                  <w14:solidFill>
                    <w14:schemeClr w14:val="tx1"/>
                  </w14:solidFill>
                </w14:textFill>
              </w:rPr>
              <w:t>m</w:t>
            </w:r>
            <w:r>
              <w:rPr>
                <w:rFonts w:hint="default"/>
                <w:color w:val="000000" w:themeColor="text1"/>
                <w14:textFill>
                  <w14:solidFill>
                    <w14:schemeClr w14:val="tx1"/>
                  </w14:solidFill>
                </w14:textFill>
              </w:rPr>
              <w:t>范围内的</w:t>
            </w:r>
            <w:r>
              <w:rPr>
                <w:rFonts w:hint="eastAsia"/>
                <w:color w:val="000000" w:themeColor="text1"/>
                <w14:textFill>
                  <w14:solidFill>
                    <w14:schemeClr w14:val="tx1"/>
                  </w14:solidFill>
                </w14:textFill>
              </w:rPr>
              <w:t>无</w:t>
            </w:r>
            <w:r>
              <w:rPr>
                <w:rFonts w:hint="default"/>
                <w:color w:val="000000" w:themeColor="text1"/>
                <w14:textFill>
                  <w14:solidFill>
                    <w14:schemeClr w14:val="tx1"/>
                  </w14:solidFill>
                </w14:textFill>
              </w:rPr>
              <w:t>地下水集中式饮用水水源和</w:t>
            </w:r>
            <w:r>
              <w:rPr>
                <w:rFonts w:hint="eastAsia"/>
                <w:color w:val="000000" w:themeColor="text1"/>
                <w14:textFill>
                  <w14:solidFill>
                    <w14:schemeClr w14:val="tx1"/>
                  </w14:solidFill>
                </w14:textFill>
              </w:rPr>
              <w:t>其他地下水敏感目标</w:t>
            </w:r>
            <w:r>
              <w:rPr>
                <w:rFonts w:hint="default"/>
                <w:color w:val="000000" w:themeColor="text1"/>
                <w14:textFill>
                  <w14:solidFill>
                    <w14:schemeClr w14:val="tx1"/>
                  </w14:solidFill>
                </w14:textFill>
              </w:rPr>
              <w:t>。</w:t>
            </w:r>
          </w:p>
          <w:p>
            <w:pPr>
              <w:keepNext w:val="0"/>
              <w:keepLines w:val="0"/>
              <w:suppressLineNumbers w:val="0"/>
              <w:spacing w:before="0" w:beforeAutospacing="0" w:after="0" w:afterAutospacing="0"/>
              <w:ind w:left="0" w:right="0" w:firstLine="0" w:firstLineChars="0"/>
              <w:rPr>
                <w:rFonts w:hint="default"/>
              </w:rPr>
            </w:pPr>
            <w:r>
              <w:rPr>
                <w:rFonts w:hint="default"/>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生态环境</w:t>
            </w:r>
            <w:r>
              <w:rPr>
                <w:rFonts w:hint="eastAsia"/>
                <w:color w:val="000000" w:themeColor="text1"/>
                <w14:textFill>
                  <w14:solidFill>
                    <w14:schemeClr w14:val="tx1"/>
                  </w14:solidFill>
                </w14:textFill>
              </w:rPr>
              <w:t>敏感目标：项目选址位于</w:t>
            </w:r>
            <w:r>
              <w:rPr>
                <w:rFonts w:hint="eastAsia"/>
                <w:lang w:val="en-US" w:eastAsia="zh-CN"/>
              </w:rPr>
              <w:t>胡杨河市经济技术开发区</w:t>
            </w:r>
            <w:r>
              <w:rPr>
                <w:rFonts w:hint="eastAsia"/>
                <w:color w:val="000000" w:themeColor="text1"/>
                <w14:textFill>
                  <w14:solidFill>
                    <w14:schemeClr w14:val="tx1"/>
                  </w14:solidFill>
                </w14:textFill>
              </w:rPr>
              <w:t>，无生态环境保护目标。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9" w:hRule="atLeast"/>
          <w:jc w:val="center"/>
        </w:trPr>
        <w:tc>
          <w:tcPr>
            <w:tcW w:w="426" w:type="dxa"/>
            <w:tcMar>
              <w:left w:w="28"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污染</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物排</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放控</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制标</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准</w:t>
            </w:r>
          </w:p>
        </w:tc>
        <w:tc>
          <w:tcPr>
            <w:tcW w:w="8485" w:type="dxa"/>
            <w:vAlign w:val="center"/>
          </w:tcPr>
          <w:p>
            <w:pPr>
              <w:keepNext w:val="0"/>
              <w:keepLines w:val="0"/>
              <w:suppressLineNumbers w:val="0"/>
              <w:spacing w:before="0" w:beforeAutospacing="0" w:after="0" w:afterAutospacing="0"/>
              <w:ind w:left="0" w:right="0" w:firstLine="0" w:firstLineChars="0"/>
              <w:rPr>
                <w:rFonts w:hint="default" w:cs="Times New Roman"/>
              </w:rPr>
            </w:pPr>
            <w:bookmarkStart w:id="3" w:name="OLE_LINK2"/>
            <w:r>
              <w:rPr>
                <w:rFonts w:hint="eastAsia"/>
              </w:rPr>
              <w:t>1、</w:t>
            </w:r>
            <w:r>
              <w:rPr>
                <w:rFonts w:hint="eastAsia" w:cs="Times New Roman"/>
              </w:rPr>
              <w:t>颗粒物执行《水泥工业大气污染物排放标准》(GB4915-2013)中表3无组织排放限值；</w:t>
            </w:r>
          </w:p>
          <w:p>
            <w:pPr>
              <w:keepNext w:val="0"/>
              <w:keepLines w:val="0"/>
              <w:widowControl/>
              <w:suppressLineNumbers w:val="0"/>
              <w:spacing w:before="0" w:beforeAutospacing="0" w:after="0" w:afterAutospacing="0" w:line="240" w:lineRule="auto"/>
              <w:ind w:left="0" w:right="0" w:firstLine="420"/>
              <w:rPr>
                <w:rFonts w:hint="default" w:cs="Times New Roman"/>
                <w:bCs/>
              </w:rPr>
            </w:pPr>
            <w:r>
              <w:rPr>
                <w:rFonts w:hint="default" w:cs="Times New Roman"/>
                <w:bCs/>
                <w:kern w:val="0"/>
              </w:rPr>
              <w:t>表</w:t>
            </w:r>
            <w:r>
              <w:rPr>
                <w:rFonts w:hint="eastAsia" w:cs="Times New Roman"/>
                <w:bCs/>
                <w:kern w:val="0"/>
                <w:lang w:val="en-US" w:eastAsia="zh-CN"/>
              </w:rPr>
              <w:t>13</w:t>
            </w:r>
            <w:r>
              <w:rPr>
                <w:rFonts w:hint="default" w:cs="Times New Roman"/>
                <w:bCs/>
                <w:kern w:val="0"/>
              </w:rPr>
              <w:t xml:space="preserve">           </w:t>
            </w:r>
            <w:r>
              <w:rPr>
                <w:rFonts w:hint="eastAsia" w:cs="Times New Roman"/>
                <w:bCs/>
                <w:kern w:val="0"/>
              </w:rPr>
              <w:t xml:space="preserve">   </w:t>
            </w:r>
            <w:r>
              <w:rPr>
                <w:rFonts w:hint="eastAsia" w:cs="Times New Roman"/>
                <w:bCs/>
                <w:kern w:val="0"/>
                <w:lang w:val="en-US" w:eastAsia="zh-CN"/>
              </w:rPr>
              <w:t xml:space="preserve">    </w:t>
            </w:r>
            <w:r>
              <w:rPr>
                <w:rFonts w:hint="eastAsia" w:cs="Times New Roman"/>
                <w:bCs/>
              </w:rPr>
              <w:t>水泥工业大气污染物排放标准</w:t>
            </w:r>
          </w:p>
          <w:tbl>
            <w:tblPr>
              <w:tblStyle w:val="1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4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exact"/>
              </w:trPr>
              <w:tc>
                <w:tcPr>
                  <w:tcW w:w="249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rPr>
                  </w:pPr>
                  <w:r>
                    <w:rPr>
                      <w:rFonts w:hint="eastAsia" w:cs="Times New Roman"/>
                    </w:rPr>
                    <w:t>污染物项目</w:t>
                  </w:r>
                </w:p>
              </w:tc>
              <w:tc>
                <w:tcPr>
                  <w:tcW w:w="2500"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rPr>
                  </w:pPr>
                  <w:r>
                    <w:rPr>
                      <w:rFonts w:hint="eastAsia" w:cs="Times New Roman"/>
                    </w:rPr>
                    <w:t>无组织限值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99"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rPr>
                  </w:pPr>
                  <w:r>
                    <w:rPr>
                      <w:rFonts w:hint="eastAsia" w:cs="Times New Roman"/>
                    </w:rPr>
                    <w:t>颗粒物</w:t>
                  </w:r>
                </w:p>
              </w:tc>
              <w:tc>
                <w:tcPr>
                  <w:tcW w:w="2500"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rPr>
                  </w:pPr>
                  <w:r>
                    <w:rPr>
                      <w:rFonts w:hint="eastAsia" w:cs="Times New Roman"/>
                    </w:rPr>
                    <w:t>0.5mg/m</w:t>
                  </w:r>
                  <w:r>
                    <w:rPr>
                      <w:rFonts w:hint="eastAsia" w:cs="Times New Roman"/>
                      <w:vertAlign w:val="superscript"/>
                    </w:rPr>
                    <w:t>3</w:t>
                  </w:r>
                </w:p>
              </w:tc>
            </w:tr>
            <w:bookmarkEnd w:id="3"/>
          </w:tbl>
          <w:p>
            <w:pPr>
              <w:keepNext w:val="0"/>
              <w:keepLines w:val="0"/>
              <w:suppressLineNumbers w:val="0"/>
              <w:spacing w:before="0" w:beforeAutospacing="0" w:after="0" w:afterAutospacing="0"/>
              <w:ind w:left="0" w:right="0" w:firstLine="0" w:firstLineChars="0"/>
              <w:rPr>
                <w:rFonts w:hint="eastAsia" w:eastAsia="宋体"/>
                <w:lang w:eastAsia="zh-CN"/>
              </w:rPr>
            </w:pPr>
            <w:r>
              <w:rPr>
                <w:rFonts w:hint="eastAsia"/>
                <w:lang w:val="en-US" w:eastAsia="zh-CN"/>
              </w:rPr>
              <w:t>2</w:t>
            </w:r>
            <w:r>
              <w:rPr>
                <w:rFonts w:hint="default"/>
              </w:rPr>
              <w:t>、</w:t>
            </w:r>
            <w:r>
              <w:rPr>
                <w:rFonts w:hint="eastAsia"/>
              </w:rPr>
              <w:t>厂界噪声执行</w:t>
            </w:r>
            <w:r>
              <w:rPr>
                <w:rFonts w:hint="default"/>
              </w:rPr>
              <w:t>《工业企业厂界环境噪声排放标准》（GB12348-2008）中3类</w:t>
            </w:r>
            <w:r>
              <w:rPr>
                <w:rFonts w:hint="eastAsia"/>
              </w:rPr>
              <w:t>区</w:t>
            </w:r>
            <w:r>
              <w:rPr>
                <w:rFonts w:hint="default"/>
              </w:rPr>
              <w:t>标准</w:t>
            </w:r>
            <w:r>
              <w:rPr>
                <w:rFonts w:hint="eastAsia"/>
                <w:lang w:eastAsia="zh-CN"/>
              </w:rPr>
              <w:t>，</w:t>
            </w:r>
            <w:r>
              <w:rPr>
                <w:rFonts w:hint="default"/>
                <w:color w:val="auto"/>
                <w:lang w:val="en-US" w:eastAsia="zh-CN"/>
              </w:rPr>
              <w:t>具体详见下表</w:t>
            </w:r>
            <w:r>
              <w:rPr>
                <w:rFonts w:hint="eastAsia"/>
                <w:color w:val="auto"/>
              </w:rPr>
              <w:t>。</w:t>
            </w:r>
          </w:p>
          <w:p>
            <w:pPr>
              <w:keepNext w:val="0"/>
              <w:keepLines w:val="0"/>
              <w:suppressLineNumbers w:val="0"/>
              <w:spacing w:before="0" w:beforeAutospacing="0" w:after="0" w:afterAutospacing="0" w:line="240" w:lineRule="auto"/>
              <w:ind w:left="0" w:right="0" w:firstLine="420"/>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表</w:t>
            </w:r>
            <w:r>
              <w:rPr>
                <w:rFonts w:hint="eastAsia" w:cs="Times New Roman"/>
                <w:color w:val="000000" w:themeColor="text1"/>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4</w:t>
            </w:r>
            <w:r>
              <w:rPr>
                <w:rFonts w:hint="default"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hint="default" w:cs="Times New Roman"/>
                <w:color w:val="000000" w:themeColor="text1"/>
                <w14:textFill>
                  <w14:solidFill>
                    <w14:schemeClr w14:val="tx1"/>
                  </w14:solidFill>
                </w14:textFill>
              </w:rPr>
              <w:t xml:space="preserve"> 工业企业厂界环境噪声排放限值   单位：dB（A）</w:t>
            </w:r>
          </w:p>
          <w:tbl>
            <w:tblPr>
              <w:tblStyle w:val="1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2353"/>
              <w:gridCol w:w="2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pct"/>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厂界外声环境功能区类别</w:t>
                  </w:r>
                </w:p>
              </w:tc>
              <w:tc>
                <w:tcPr>
                  <w:tcW w:w="2849" w:type="pct"/>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p>
              </w:tc>
              <w:tc>
                <w:tcPr>
                  <w:tcW w:w="1423"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昼间</w:t>
                  </w:r>
                </w:p>
              </w:tc>
              <w:tc>
                <w:tcPr>
                  <w:tcW w:w="142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3</w:t>
                  </w:r>
                </w:p>
              </w:tc>
              <w:tc>
                <w:tcPr>
                  <w:tcW w:w="1423"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default" w:cs="Times New Roman"/>
                      <w:color w:val="000000" w:themeColor="text1"/>
                      <w14:textFill>
                        <w14:solidFill>
                          <w14:schemeClr w14:val="tx1"/>
                        </w14:solidFill>
                      </w14:textFill>
                    </w:rPr>
                    <w:t>6</w:t>
                  </w:r>
                  <w:r>
                    <w:rPr>
                      <w:rFonts w:hint="eastAsia" w:cs="Times New Roman"/>
                      <w:color w:val="000000" w:themeColor="text1"/>
                      <w14:textFill>
                        <w14:solidFill>
                          <w14:schemeClr w14:val="tx1"/>
                        </w14:solidFill>
                      </w14:textFill>
                    </w:rPr>
                    <w:t>5</w:t>
                  </w:r>
                </w:p>
              </w:tc>
              <w:tc>
                <w:tcPr>
                  <w:tcW w:w="1425" w:type="pc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55</w:t>
                  </w:r>
                </w:p>
              </w:tc>
            </w:tr>
          </w:tbl>
          <w:p>
            <w:pPr>
              <w:keepNext w:val="0"/>
              <w:keepLines w:val="0"/>
              <w:suppressLineNumbers w:val="0"/>
              <w:spacing w:before="0" w:beforeAutospacing="0" w:after="0" w:afterAutospacing="0"/>
              <w:ind w:left="0" w:right="0" w:firstLine="0" w:firstLineChars="0"/>
              <w:rPr>
                <w:rFonts w:hint="eastAsia" w:eastAsia="宋体"/>
                <w:lang w:eastAsia="zh-CN"/>
              </w:rPr>
            </w:pPr>
            <w:r>
              <w:rPr>
                <w:rFonts w:hint="eastAsia"/>
                <w:lang w:val="en-US" w:eastAsia="zh-CN"/>
              </w:rPr>
              <w:t>3</w:t>
            </w:r>
            <w:r>
              <w:rPr>
                <w:rFonts w:hint="default"/>
              </w:rPr>
              <w:t>、</w:t>
            </w:r>
            <w:r>
              <w:rPr>
                <w:rFonts w:hint="eastAsia"/>
              </w:rPr>
              <w:t>生活污水执行</w:t>
            </w:r>
            <w:r>
              <w:rPr>
                <w:rFonts w:hint="default"/>
              </w:rPr>
              <w:t>《污水综合排放标准》（GB8978-1996）中三级标准</w:t>
            </w:r>
            <w:r>
              <w:rPr>
                <w:rFonts w:hint="eastAsia"/>
                <w:lang w:eastAsia="zh-CN"/>
              </w:rPr>
              <w:t>，</w:t>
            </w:r>
            <w:r>
              <w:rPr>
                <w:rFonts w:hint="default"/>
                <w:color w:val="auto"/>
                <w:lang w:val="en-US" w:eastAsia="zh-CN"/>
              </w:rPr>
              <w:t>具体详见下表</w:t>
            </w:r>
            <w:r>
              <w:rPr>
                <w:rFonts w:hint="eastAsia"/>
                <w:color w:val="auto"/>
              </w:rPr>
              <w:t>。</w:t>
            </w:r>
          </w:p>
          <w:p>
            <w:pPr>
              <w:keepNext w:val="0"/>
              <w:keepLines w:val="0"/>
              <w:widowControl/>
              <w:suppressLineNumbers w:val="0"/>
              <w:spacing w:before="0" w:beforeAutospacing="0" w:after="0" w:afterAutospacing="0" w:line="240" w:lineRule="auto"/>
              <w:ind w:left="0" w:right="0" w:firstLine="420"/>
              <w:rPr>
                <w:rFonts w:hint="default" w:cs="Times New Roman"/>
                <w:bCs/>
                <w:color w:val="000000" w:themeColor="text1"/>
                <w:kern w:val="0"/>
                <w14:textFill>
                  <w14:solidFill>
                    <w14:schemeClr w14:val="tx1"/>
                  </w14:solidFill>
                </w14:textFill>
              </w:rPr>
            </w:pPr>
            <w:r>
              <w:rPr>
                <w:rFonts w:hint="default" w:cs="Times New Roman"/>
                <w:bCs/>
                <w:color w:val="000000" w:themeColor="text1"/>
                <w:kern w:val="0"/>
                <w14:textFill>
                  <w14:solidFill>
                    <w14:schemeClr w14:val="tx1"/>
                  </w14:solidFill>
                </w14:textFill>
              </w:rPr>
              <w:t>表</w:t>
            </w:r>
            <w:r>
              <w:rPr>
                <w:rFonts w:hint="eastAsia" w:cs="Times New Roman"/>
                <w:bCs/>
                <w:color w:val="000000" w:themeColor="text1"/>
                <w:kern w:val="0"/>
                <w14:textFill>
                  <w14:solidFill>
                    <w14:schemeClr w14:val="tx1"/>
                  </w14:solidFill>
                </w14:textFill>
              </w:rPr>
              <w:t>1</w:t>
            </w:r>
            <w:r>
              <w:rPr>
                <w:rFonts w:hint="eastAsia" w:cs="Times New Roman"/>
                <w:bCs/>
                <w:color w:val="000000" w:themeColor="text1"/>
                <w:kern w:val="0"/>
                <w:lang w:val="en-US" w:eastAsia="zh-CN"/>
                <w14:textFill>
                  <w14:solidFill>
                    <w14:schemeClr w14:val="tx1"/>
                  </w14:solidFill>
                </w14:textFill>
              </w:rPr>
              <w:t>5</w:t>
            </w:r>
            <w:r>
              <w:rPr>
                <w:rFonts w:hint="default" w:cs="Times New Roman"/>
                <w:bCs/>
                <w:color w:val="000000" w:themeColor="text1"/>
                <w:kern w:val="0"/>
                <w14:textFill>
                  <w14:solidFill>
                    <w14:schemeClr w14:val="tx1"/>
                  </w14:solidFill>
                </w14:textFill>
              </w:rPr>
              <w:t xml:space="preserve">     </w:t>
            </w:r>
            <w:r>
              <w:rPr>
                <w:rFonts w:hint="eastAsia" w:cs="Times New Roman"/>
                <w:bCs/>
                <w:color w:val="000000" w:themeColor="text1"/>
                <w:kern w:val="0"/>
                <w14:textFill>
                  <w14:solidFill>
                    <w14:schemeClr w14:val="tx1"/>
                  </w14:solidFill>
                </w14:textFill>
              </w:rPr>
              <w:t xml:space="preserve">             </w:t>
            </w:r>
            <w:r>
              <w:rPr>
                <w:rFonts w:hint="default" w:cs="Times New Roman"/>
                <w:bCs/>
                <w:color w:val="000000" w:themeColor="text1"/>
                <w:kern w:val="0"/>
                <w14:textFill>
                  <w14:solidFill>
                    <w14:schemeClr w14:val="tx1"/>
                  </w14:solidFill>
                </w14:textFill>
              </w:rPr>
              <w:t xml:space="preserve"> </w:t>
            </w:r>
            <w:r>
              <w:rPr>
                <w:rFonts w:hint="eastAsia" w:cs="Times New Roman"/>
                <w:bCs/>
                <w:color w:val="000000" w:themeColor="text1"/>
                <w:kern w:val="0"/>
                <w14:textFill>
                  <w14:solidFill>
                    <w14:schemeClr w14:val="tx1"/>
                  </w14:solidFill>
                </w14:textFill>
              </w:rPr>
              <w:t>污水综合排放标准</w:t>
            </w:r>
            <w:r>
              <w:rPr>
                <w:rFonts w:hint="default" w:cs="Times New Roman"/>
                <w:bCs/>
                <w:color w:val="000000" w:themeColor="text1"/>
                <w:kern w:val="0"/>
                <w14:textFill>
                  <w14:solidFill>
                    <w14:schemeClr w14:val="tx1"/>
                  </w14:solidFill>
                </w14:textFill>
              </w:rPr>
              <w:t>浓度限值</w:t>
            </w:r>
          </w:p>
          <w:tbl>
            <w:tblPr>
              <w:tblStyle w:val="1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466"/>
              <w:gridCol w:w="2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序号</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项目</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三级标准限值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1</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eastAsiaTheme="minorEastAsia"/>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pH</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2</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default" w:cs="Times New Roman"/>
                      <w:bCs/>
                      <w:color w:val="000000" w:themeColor="text1"/>
                      <w:kern w:val="0"/>
                      <w14:textFill>
                        <w14:solidFill>
                          <w14:schemeClr w14:val="tx1"/>
                        </w14:solidFill>
                      </w14:textFill>
                    </w:rPr>
                    <w:t>COD</w:t>
                  </w:r>
                  <w:r>
                    <w:rPr>
                      <w:rFonts w:hint="default" w:cs="Times New Roman"/>
                      <w:bCs/>
                      <w:color w:val="000000" w:themeColor="text1"/>
                      <w:kern w:val="0"/>
                      <w:vertAlign w:val="subscript"/>
                      <w14:textFill>
                        <w14:solidFill>
                          <w14:schemeClr w14:val="tx1"/>
                        </w14:solidFill>
                      </w14:textFill>
                    </w:rPr>
                    <w:t>cr</w:t>
                  </w:r>
                  <w:r>
                    <w:rPr>
                      <w:rFonts w:hint="default" w:cs="Times New Roman"/>
                      <w:bCs/>
                      <w:color w:val="000000" w:themeColor="text1"/>
                      <w:kern w:val="0"/>
                      <w14:textFill>
                        <w14:solidFill>
                          <w14:schemeClr w14:val="tx1"/>
                        </w14:solidFill>
                      </w14:textFill>
                    </w:rPr>
                    <w:t>（mg/L）</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3</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default" w:cs="Times New Roman"/>
                      <w:bCs/>
                      <w:color w:val="000000" w:themeColor="text1"/>
                      <w:kern w:val="0"/>
                      <w14:textFill>
                        <w14:solidFill>
                          <w14:schemeClr w14:val="tx1"/>
                        </w14:solidFill>
                      </w14:textFill>
                    </w:rPr>
                    <w:t>BOD</w:t>
                  </w:r>
                  <w:r>
                    <w:rPr>
                      <w:rFonts w:hint="default" w:cs="Times New Roman"/>
                      <w:bCs/>
                      <w:color w:val="000000" w:themeColor="text1"/>
                      <w:kern w:val="0"/>
                      <w:vertAlign w:val="subscript"/>
                      <w14:textFill>
                        <w14:solidFill>
                          <w14:schemeClr w14:val="tx1"/>
                        </w14:solidFill>
                      </w14:textFill>
                    </w:rPr>
                    <w:t>5</w:t>
                  </w:r>
                  <w:r>
                    <w:rPr>
                      <w:rFonts w:hint="default" w:cs="Times New Roman"/>
                      <w:bCs/>
                      <w:color w:val="000000" w:themeColor="text1"/>
                      <w:kern w:val="0"/>
                      <w14:textFill>
                        <w14:solidFill>
                          <w14:schemeClr w14:val="tx1"/>
                        </w14:solidFill>
                      </w14:textFill>
                    </w:rPr>
                    <w:t>（mg/L）</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4</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default" w:cs="Times New Roman"/>
                      <w:bCs/>
                      <w:color w:val="000000" w:themeColor="text1"/>
                      <w:kern w:val="0"/>
                      <w14:textFill>
                        <w14:solidFill>
                          <w14:schemeClr w14:val="tx1"/>
                        </w14:solidFill>
                      </w14:textFill>
                    </w:rPr>
                    <w:t>SS（mg/L）</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5</w:t>
                  </w:r>
                </w:p>
              </w:tc>
              <w:tc>
                <w:tcPr>
                  <w:tcW w:w="2701"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eastAsiaTheme="minorEastAsia"/>
                      <w:bCs/>
                      <w:color w:val="000000" w:themeColor="text1"/>
                      <w:kern w:val="0"/>
                      <w14:textFill>
                        <w14:solidFill>
                          <w14:schemeClr w14:val="tx1"/>
                        </w14:solidFill>
                      </w14:textFill>
                    </w:rPr>
                  </w:pPr>
                  <w:r>
                    <w:rPr>
                      <w:rFonts w:hint="default" w:cs="Times New Roman"/>
                      <w:bCs/>
                      <w:color w:val="000000" w:themeColor="text1"/>
                      <w:kern w:val="0"/>
                      <w14:textFill>
                        <w14:solidFill>
                          <w14:schemeClr w14:val="tx1"/>
                        </w14:solidFill>
                      </w14:textFill>
                    </w:rPr>
                    <w:t>NH</w:t>
                  </w:r>
                  <w:r>
                    <w:rPr>
                      <w:rFonts w:hint="default" w:cs="Times New Roman"/>
                      <w:bCs/>
                      <w:color w:val="000000" w:themeColor="text1"/>
                      <w:kern w:val="0"/>
                      <w:vertAlign w:val="subscript"/>
                      <w14:textFill>
                        <w14:solidFill>
                          <w14:schemeClr w14:val="tx1"/>
                        </w14:solidFill>
                      </w14:textFill>
                    </w:rPr>
                    <w:t>3</w:t>
                  </w:r>
                  <w:r>
                    <w:rPr>
                      <w:rFonts w:hint="default" w:cs="Times New Roman"/>
                      <w:bCs/>
                      <w:color w:val="000000" w:themeColor="text1"/>
                      <w:kern w:val="0"/>
                      <w14:textFill>
                        <w14:solidFill>
                          <w14:schemeClr w14:val="tx1"/>
                        </w14:solidFill>
                      </w14:textFill>
                    </w:rPr>
                    <w:t>-N（以N 计</w:t>
                  </w:r>
                  <w:r>
                    <w:rPr>
                      <w:rFonts w:hint="eastAsia" w:cs="Times New Roman"/>
                      <w:bCs/>
                      <w:color w:val="000000" w:themeColor="text1"/>
                      <w:kern w:val="0"/>
                      <w14:textFill>
                        <w14:solidFill>
                          <w14:schemeClr w14:val="tx1"/>
                        </w14:solidFill>
                      </w14:textFill>
                    </w:rPr>
                    <w:t>，</w:t>
                  </w:r>
                  <w:r>
                    <w:rPr>
                      <w:rFonts w:hint="default" w:cs="Times New Roman"/>
                      <w:bCs/>
                      <w:color w:val="000000" w:themeColor="text1"/>
                      <w:kern w:val="0"/>
                      <w14:textFill>
                        <w14:solidFill>
                          <w14:schemeClr w14:val="tx1"/>
                        </w14:solidFill>
                      </w14:textFill>
                    </w:rPr>
                    <w:t>mg/L）</w:t>
                  </w:r>
                </w:p>
              </w:tc>
              <w:tc>
                <w:tcPr>
                  <w:tcW w:w="1667" w:type="pct"/>
                  <w:tcBorders>
                    <w:tl2br w:val="nil"/>
                    <w:tr2bl w:val="nil"/>
                  </w:tcBorders>
                </w:tcPr>
                <w:p>
                  <w:pPr>
                    <w:keepNext w:val="0"/>
                    <w:keepLines w:val="0"/>
                    <w:widowControl/>
                    <w:suppressLineNumbers w:val="0"/>
                    <w:spacing w:before="0" w:beforeAutospacing="0" w:after="0" w:afterAutospacing="0" w:line="240" w:lineRule="auto"/>
                    <w:ind w:left="0" w:right="0" w:firstLine="0" w:firstLineChars="0"/>
                    <w:jc w:val="center"/>
                    <w:rPr>
                      <w:rFonts w:hint="default" w:cs="Times New Roman"/>
                      <w:bCs/>
                      <w:color w:val="000000" w:themeColor="text1"/>
                      <w:kern w:val="0"/>
                      <w14:textFill>
                        <w14:solidFill>
                          <w14:schemeClr w14:val="tx1"/>
                        </w14:solidFill>
                      </w14:textFill>
                    </w:rPr>
                  </w:pPr>
                  <w:r>
                    <w:rPr>
                      <w:rFonts w:hint="eastAsia" w:cs="Times New Roman"/>
                      <w:bCs/>
                      <w:color w:val="000000" w:themeColor="text1"/>
                      <w:kern w:val="0"/>
                      <w14:textFill>
                        <w14:solidFill>
                          <w14:schemeClr w14:val="tx1"/>
                        </w14:solidFill>
                      </w14:textFill>
                    </w:rPr>
                    <w:t>/</w:t>
                  </w:r>
                </w:p>
              </w:tc>
            </w:tr>
          </w:tbl>
          <w:p>
            <w:pPr>
              <w:keepNext w:val="0"/>
              <w:keepLines w:val="0"/>
              <w:suppressLineNumbers w:val="0"/>
              <w:spacing w:before="0" w:beforeAutospacing="0" w:after="0" w:afterAutospacing="0"/>
              <w:ind w:left="0" w:right="0" w:firstLine="0" w:firstLineChars="0"/>
              <w:rPr>
                <w:rFonts w:hint="default"/>
              </w:rPr>
            </w:pPr>
            <w:r>
              <w:rPr>
                <w:rFonts w:hint="eastAsia"/>
                <w:lang w:val="en-US" w:eastAsia="zh-CN"/>
              </w:rPr>
              <w:t>4</w:t>
            </w:r>
            <w:r>
              <w:rPr>
                <w:rFonts w:hint="eastAsia"/>
              </w:rPr>
              <w:t>、一般</w:t>
            </w:r>
            <w:r>
              <w:rPr>
                <w:rFonts w:hint="eastAsia"/>
                <w:lang w:val="en-US" w:eastAsia="zh-CN"/>
              </w:rPr>
              <w:t>工业</w:t>
            </w:r>
            <w:r>
              <w:rPr>
                <w:rFonts w:hint="eastAsia"/>
              </w:rPr>
              <w:t>固废执行《一般工业固体废物贮存和填埋污染控制标准》(GB18599-2020)</w:t>
            </w:r>
            <w:r>
              <w:rPr>
                <w:rFonts w:hint="eastAsia"/>
                <w:lang w:val="en-US" w:eastAsia="zh-CN"/>
              </w:rPr>
              <w:t>中有关规定</w:t>
            </w:r>
            <w:r>
              <w:rPr>
                <w:rFonts w:hint="eastAsia"/>
              </w:rPr>
              <w:t>；</w:t>
            </w:r>
          </w:p>
          <w:p>
            <w:pPr>
              <w:keepNext w:val="0"/>
              <w:keepLines w:val="0"/>
              <w:suppressLineNumbers w:val="0"/>
              <w:spacing w:before="0" w:beforeAutospacing="0" w:after="0" w:afterAutospacing="0"/>
              <w:ind w:left="0" w:right="0" w:firstLine="0" w:firstLineChars="0"/>
              <w:rPr>
                <w:rFonts w:hint="default"/>
              </w:rPr>
            </w:pPr>
            <w:r>
              <w:rPr>
                <w:rFonts w:hint="eastAsia"/>
                <w:lang w:val="en-US" w:eastAsia="zh-CN"/>
              </w:rPr>
              <w:t>5</w:t>
            </w:r>
            <w:r>
              <w:rPr>
                <w:rFonts w:hint="eastAsia"/>
              </w:rPr>
              <w:t>、危险废物执行《危险废物贮存污染控制标准》（GB18597-2023）</w:t>
            </w:r>
            <w:r>
              <w:rPr>
                <w:rFonts w:hint="eastAsia"/>
                <w:lang w:val="en-US" w:eastAsia="zh-CN"/>
              </w:rPr>
              <w:t>中有关规定</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426" w:type="dxa"/>
            <w:vAlign w:val="center"/>
          </w:tcPr>
          <w:p>
            <w:pPr>
              <w:pStyle w:val="15"/>
              <w:keepNext w:val="0"/>
              <w:keepLines w:val="0"/>
              <w:suppressLineNumbers w:val="0"/>
              <w:spacing w:before="0" w:beforeAutospacing="0" w:after="0" w:afterAutospacing="0"/>
              <w:ind w:left="0" w:right="0"/>
              <w:rPr>
                <w:rFonts w:hint="default"/>
              </w:rPr>
            </w:pPr>
            <w:r>
              <w:rPr>
                <w:rFonts w:hint="eastAsia"/>
              </w:rPr>
              <w:t>总量</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控制</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rPr>
            </w:pPr>
            <w:r>
              <w:rPr>
                <w:rFonts w:hint="eastAsia" w:ascii="宋体" w:hAnsi="宋体" w:cs="宋体"/>
                <w:kern w:val="0"/>
              </w:rPr>
              <w:t>指标</w:t>
            </w:r>
          </w:p>
        </w:tc>
        <w:tc>
          <w:tcPr>
            <w:tcW w:w="8485" w:type="dxa"/>
            <w:vAlign w:val="center"/>
          </w:tcPr>
          <w:p>
            <w:pPr>
              <w:keepNext w:val="0"/>
              <w:keepLines w:val="0"/>
              <w:suppressLineNumbers w:val="0"/>
              <w:spacing w:before="0" w:beforeAutospacing="0" w:after="0" w:afterAutospacing="0"/>
              <w:ind w:left="0" w:right="0" w:firstLine="420"/>
              <w:rPr>
                <w:rFonts w:hint="default" w:eastAsia="宋体"/>
                <w:lang w:val="en-US" w:eastAsia="zh-CN"/>
              </w:rPr>
            </w:pPr>
            <w:r>
              <w:rPr>
                <w:rFonts w:hint="eastAsia"/>
                <w:lang w:val="en-US" w:eastAsia="zh-CN"/>
              </w:rPr>
              <w:t>根据本项目特点，不设置总量控制指标。</w:t>
            </w:r>
          </w:p>
        </w:tc>
      </w:tr>
    </w:tbl>
    <w:p>
      <w:pPr>
        <w:widowControl/>
        <w:spacing w:line="240" w:lineRule="auto"/>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0"/>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57" w:hRule="atLeast"/>
          <w:jc w:val="center"/>
        </w:trPr>
        <w:tc>
          <w:tcPr>
            <w:tcW w:w="746"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rPr>
            </w:pPr>
            <w:r>
              <w:rPr>
                <w:rFonts w:hint="eastAsia"/>
              </w:rPr>
              <w:t>施工</w:t>
            </w:r>
          </w:p>
          <w:p>
            <w:pPr>
              <w:pStyle w:val="15"/>
              <w:keepNext w:val="0"/>
              <w:keepLines w:val="0"/>
              <w:suppressLineNumbers w:val="0"/>
              <w:spacing w:before="0" w:beforeAutospacing="0" w:after="0" w:afterAutospacing="0"/>
              <w:ind w:left="0" w:right="0"/>
              <w:rPr>
                <w:rFonts w:hint="default"/>
              </w:rPr>
            </w:pPr>
            <w:r>
              <w:rPr>
                <w:rFonts w:hint="eastAsia"/>
              </w:rPr>
              <w:t>期环</w:t>
            </w:r>
          </w:p>
          <w:p>
            <w:pPr>
              <w:pStyle w:val="15"/>
              <w:keepNext w:val="0"/>
              <w:keepLines w:val="0"/>
              <w:suppressLineNumbers w:val="0"/>
              <w:spacing w:before="0" w:beforeAutospacing="0" w:after="0" w:afterAutospacing="0"/>
              <w:ind w:left="0" w:right="0"/>
              <w:rPr>
                <w:rFonts w:hint="default"/>
              </w:rPr>
            </w:pPr>
            <w:r>
              <w:rPr>
                <w:rFonts w:hint="eastAsia"/>
              </w:rPr>
              <w:t>境保</w:t>
            </w:r>
          </w:p>
          <w:p>
            <w:pPr>
              <w:pStyle w:val="15"/>
              <w:keepNext w:val="0"/>
              <w:keepLines w:val="0"/>
              <w:suppressLineNumbers w:val="0"/>
              <w:spacing w:before="0" w:beforeAutospacing="0" w:after="0" w:afterAutospacing="0"/>
              <w:ind w:left="0" w:right="0"/>
              <w:rPr>
                <w:rFonts w:hint="default"/>
              </w:rPr>
            </w:pPr>
            <w:r>
              <w:rPr>
                <w:rFonts w:hint="eastAsia"/>
              </w:rPr>
              <w:t>护措</w:t>
            </w:r>
          </w:p>
          <w:p>
            <w:pPr>
              <w:pStyle w:val="15"/>
              <w:keepNext w:val="0"/>
              <w:keepLines w:val="0"/>
              <w:suppressLineNumbers w:val="0"/>
              <w:spacing w:before="0" w:beforeAutospacing="0" w:after="0" w:afterAutospacing="0"/>
              <w:ind w:left="0" w:right="0"/>
              <w:rPr>
                <w:rFonts w:hint="default"/>
              </w:rPr>
            </w:pPr>
            <w:r>
              <w:rPr>
                <w:rFonts w:hint="eastAsia"/>
              </w:rPr>
              <w:t>施</w:t>
            </w:r>
          </w:p>
        </w:tc>
        <w:tc>
          <w:tcPr>
            <w:tcW w:w="8162" w:type="dxa"/>
            <w:vAlign w:val="top"/>
          </w:tcPr>
          <w:p>
            <w:pPr>
              <w:keepNext w:val="0"/>
              <w:keepLines w:val="0"/>
              <w:suppressLineNumbers w:val="0"/>
              <w:spacing w:before="0" w:beforeAutospacing="0" w:after="0" w:afterAutospacing="0"/>
              <w:ind w:left="0" w:right="0" w:firstLine="420"/>
              <w:jc w:val="both"/>
              <w:rPr>
                <w:rFonts w:hint="default"/>
                <w:color w:val="auto"/>
              </w:rPr>
            </w:pPr>
            <w:r>
              <w:rPr>
                <w:rFonts w:hint="eastAsia"/>
              </w:rPr>
              <w:t>项目</w:t>
            </w:r>
            <w:r>
              <w:rPr>
                <w:rFonts w:hint="eastAsia"/>
                <w:lang w:val="en-US" w:eastAsia="zh-CN"/>
              </w:rPr>
              <w:t>依托企业现有厂房、办公生活区进行生产，目前已完成设备安装并投入生产，施工期已结束。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auto"/>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746" w:type="dxa"/>
            <w:tcMar>
              <w:left w:w="28"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运营</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期环</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境影</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响和</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保护</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rPr>
            </w:pPr>
            <w:r>
              <w:rPr>
                <w:rFonts w:hint="eastAsia" w:ascii="宋体" w:hAnsi="宋体" w:cs="宋体"/>
                <w:bCs/>
              </w:rPr>
              <w:t>措施</w:t>
            </w:r>
          </w:p>
        </w:tc>
        <w:tc>
          <w:tcPr>
            <w:tcW w:w="8162" w:type="dxa"/>
            <w:vAlign w:val="center"/>
          </w:tcPr>
          <w:p>
            <w:pPr>
              <w:keepNext w:val="0"/>
              <w:keepLines w:val="0"/>
              <w:suppressLineNumbers w:val="0"/>
              <w:spacing w:before="0" w:beforeAutospacing="0" w:after="0" w:afterAutospacing="0"/>
              <w:ind w:left="0" w:right="0" w:firstLine="0" w:firstLineChars="0"/>
              <w:rPr>
                <w:rFonts w:hint="default"/>
              </w:rPr>
            </w:pPr>
            <w:r>
              <w:rPr>
                <w:rFonts w:hint="default"/>
              </w:rPr>
              <w:t>1、大气环境影响及保护措施</w:t>
            </w:r>
          </w:p>
          <w:p>
            <w:pPr>
              <w:keepNext w:val="0"/>
              <w:keepLines w:val="0"/>
              <w:suppressLineNumbers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1.1污染物源强核算</w:t>
            </w:r>
          </w:p>
          <w:p>
            <w:pPr>
              <w:keepNext w:val="0"/>
              <w:keepLines w:val="0"/>
              <w:suppressLineNumbers w:val="0"/>
              <w:spacing w:before="0" w:beforeAutospacing="0" w:after="0" w:afterAutospacing="0" w:line="360" w:lineRule="auto"/>
              <w:ind w:left="0" w:right="0" w:firstLine="420" w:firstLineChars="200"/>
              <w:rPr>
                <w:rFonts w:hint="default"/>
                <w:lang w:eastAsia="zh-CN"/>
              </w:rPr>
            </w:pPr>
            <w:r>
              <w:rPr>
                <w:rFonts w:hint="eastAsia"/>
                <w:lang w:val="en-US" w:eastAsia="zh-CN"/>
              </w:rPr>
              <w:t>本项目光伏桩属于水泥制品生产，本次评价源强采用《排放源统计调查产排污核算方法和系数手册》（公告 2021年 第24号）中“3021、3022、3029水泥制品制造行业系数手册”进行核算，物料贮存参考</w:t>
            </w:r>
            <w:r>
              <w:rPr>
                <w:rFonts w:hint="default"/>
                <w:lang w:val="en-US" w:eastAsia="zh-CN"/>
              </w:rPr>
              <w:t>《工业源固体物料堆场颗粒物核算系数手册》</w:t>
            </w:r>
            <w:r>
              <w:rPr>
                <w:rFonts w:hint="eastAsia"/>
                <w:lang w:val="en-US" w:eastAsia="zh-CN"/>
              </w:rPr>
              <w:t>进行核算</w:t>
            </w:r>
            <w:r>
              <w:rPr>
                <w:rFonts w:hint="default"/>
                <w:lang w:eastAsia="zh-CN"/>
              </w:rPr>
              <w:t>。</w:t>
            </w:r>
          </w:p>
          <w:p>
            <w:pPr>
              <w:keepNext w:val="0"/>
              <w:keepLines w:val="0"/>
              <w:suppressLineNumbers w:val="0"/>
              <w:spacing w:before="0" w:beforeAutospacing="0" w:after="0" w:afterAutospacing="0"/>
              <w:ind w:left="0" w:right="0" w:firstLine="420"/>
              <w:jc w:val="left"/>
              <w:rPr>
                <w:rFonts w:hint="eastAsia"/>
                <w:lang w:val="en-US" w:eastAsia="zh-CN"/>
              </w:rPr>
            </w:pPr>
            <w:r>
              <w:rPr>
                <w:rFonts w:hint="default"/>
              </w:rPr>
              <w:t>（1）</w:t>
            </w:r>
            <w:r>
              <w:rPr>
                <w:rFonts w:hint="eastAsia"/>
                <w:lang w:val="en-US" w:eastAsia="zh-CN"/>
              </w:rPr>
              <w:t>砂石料堆存粉尘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lang w:val="en-US" w:eastAsia="zh-CN"/>
              </w:rPr>
            </w:pPr>
            <w:r>
              <w:rPr>
                <w:rFonts w:hint="default"/>
                <w:lang w:val="en-US" w:eastAsia="zh-CN"/>
              </w:rPr>
              <w:t>项目</w:t>
            </w:r>
            <w:r>
              <w:rPr>
                <w:rFonts w:hint="eastAsia"/>
                <w:lang w:val="en-US" w:eastAsia="zh-CN"/>
              </w:rPr>
              <w:t>新建全</w:t>
            </w:r>
            <w:r>
              <w:rPr>
                <w:rFonts w:hint="eastAsia"/>
                <w:color w:val="auto"/>
                <w:lang w:val="en-US" w:eastAsia="zh-CN"/>
              </w:rPr>
              <w:t>封闭</w:t>
            </w:r>
            <w:r>
              <w:rPr>
                <w:rFonts w:hint="default"/>
                <w:lang w:val="en-US" w:eastAsia="zh-CN"/>
              </w:rPr>
              <w:t>堆场用于存储砂、石料，堆场起尘量参照《工业源固体物料堆场颗粒物核算系数手册》附件2相关核算方法，计算模式如下：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lang w:val="en-US" w:eastAsia="zh-CN"/>
              </w:rPr>
            </w:pPr>
            <w:r>
              <w:rPr>
                <w:rFonts w:hint="eastAsia"/>
                <w:lang w:val="en-US" w:eastAsia="zh-CN"/>
              </w:rPr>
              <w:object>
                <v:shape id="_x0000_i1027" o:spt="75" type="#_x0000_t75" style="height:20pt;width:240.95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lang w:val="en-US" w:eastAsia="zh-CN"/>
              </w:rPr>
            </w:pPr>
            <w:r>
              <w:rPr>
                <w:rFonts w:hint="default"/>
                <w:lang w:val="en-US" w:eastAsia="zh-CN"/>
              </w:rPr>
              <w:t xml:space="preserve">式中：P指颗粒物产生量（单位：t）；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 xml:space="preserve">ZCy指装卸扬尘产生量（单位：t）；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 xml:space="preserve">FCy指风蚀扬尘产生量（单位：t）；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Nc指年物料运载车次（</w:t>
            </w:r>
            <w:r>
              <w:rPr>
                <w:rFonts w:hint="eastAsia"/>
                <w:lang w:val="en-US" w:eastAsia="zh-CN"/>
              </w:rPr>
              <w:t>3586</w:t>
            </w:r>
            <w:r>
              <w:rPr>
                <w:rFonts w:hint="default"/>
                <w:lang w:val="en-US" w:eastAsia="zh-CN"/>
              </w:rPr>
              <w:t xml:space="preserve">车/a）；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 xml:space="preserve">D指单车平均运载量（30t/车）；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840" w:firstLineChars="400"/>
              <w:jc w:val="both"/>
              <w:textAlignment w:val="auto"/>
              <w:rPr>
                <w:rFonts w:hint="default"/>
                <w:lang w:val="en-US" w:eastAsia="zh-CN"/>
              </w:rPr>
            </w:pPr>
            <w:r>
              <w:rPr>
                <w:rFonts w:hint="default"/>
                <w:lang w:val="en-US" w:eastAsia="zh-CN"/>
              </w:rPr>
              <w:t xml:space="preserve">（a/b）指装卸扬尘概化系数（单位：kg/t），a指各省风速概化系数，见附录1（0.0011），b指物料含水率概化系数，见附录2（0.0084，参照混合矿石）；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Ef指堆场风蚀扬尘概化系数，见附录3（kg/m</w:t>
            </w:r>
            <w:r>
              <w:rPr>
                <w:rFonts w:hint="default"/>
                <w:vertAlign w:val="superscript"/>
                <w:lang w:val="en-US" w:eastAsia="zh-CN"/>
              </w:rPr>
              <w:t>2</w:t>
            </w:r>
            <w:r>
              <w:rPr>
                <w:rFonts w:hint="default"/>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S指堆场占地面积（</w:t>
            </w:r>
            <w:r>
              <w:rPr>
                <w:rFonts w:hint="eastAsia"/>
                <w:lang w:val="en-US" w:eastAsia="zh-CN"/>
              </w:rPr>
              <w:t>936</w:t>
            </w:r>
            <w:r>
              <w:rPr>
                <w:rFonts w:hint="default"/>
                <w:lang w:val="en-US" w:eastAsia="zh-CN"/>
              </w:rPr>
              <w:t>m</w:t>
            </w:r>
            <w:r>
              <w:rPr>
                <w:rFonts w:hint="default"/>
                <w:vertAlign w:val="superscript"/>
                <w:lang w:val="en-US" w:eastAsia="zh-CN"/>
              </w:rPr>
              <w:t>2</w:t>
            </w:r>
            <w:r>
              <w:rPr>
                <w:rFonts w:hint="default"/>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lang w:val="en-US" w:eastAsia="zh-CN"/>
              </w:rPr>
            </w:pPr>
            <w:r>
              <w:rPr>
                <w:rFonts w:hint="default"/>
                <w:lang w:val="en-US" w:eastAsia="zh-CN"/>
              </w:rPr>
              <w:t>工业企业固体物料堆场颗粒物排放量核算公式如下：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lang w:val="en-US" w:eastAsia="zh-CN"/>
              </w:rPr>
            </w:pPr>
            <w:r>
              <w:rPr>
                <w:rFonts w:hint="eastAsia"/>
                <w:lang w:val="en-US" w:eastAsia="zh-CN"/>
              </w:rPr>
              <w:object>
                <v:shape id="_x0000_i1028" o:spt="75" type="#_x0000_t75" style="height:18pt;width:120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lang w:val="en-US" w:eastAsia="zh-CN"/>
              </w:rPr>
            </w:pPr>
            <w:r>
              <w:rPr>
                <w:rFonts w:hint="default"/>
                <w:lang w:val="en-US" w:eastAsia="zh-CN"/>
              </w:rPr>
              <w:t>式中：P指颗粒物产生量（单位：t）；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 xml:space="preserve">Uc指颗粒物排放量（单位：t）；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Cm指颗粒物控制措施控制效率（单位：%），见附录4</w:t>
            </w:r>
            <w:r>
              <w:rPr>
                <w:rFonts w:hint="eastAsia"/>
                <w:lang w:val="en-US" w:eastAsia="zh-CN"/>
              </w:rPr>
              <w:t>（本项目采用洒水措施，控制效率为74</w:t>
            </w:r>
            <w:r>
              <w:rPr>
                <w:rFonts w:hint="default"/>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lang w:val="en-US" w:eastAsia="zh-CN"/>
              </w:rPr>
            </w:pPr>
            <w:r>
              <w:rPr>
                <w:rFonts w:hint="default"/>
                <w:lang w:val="en-US" w:eastAsia="zh-CN"/>
              </w:rPr>
              <w:t>Tm指堆场类型控制效率（单位：%），</w:t>
            </w:r>
            <w:r>
              <w:rPr>
                <w:rFonts w:hint="eastAsia"/>
                <w:lang w:val="en-US" w:eastAsia="zh-CN"/>
              </w:rPr>
              <w:t>见附录5</w:t>
            </w:r>
            <w:r>
              <w:rPr>
                <w:rFonts w:hint="default"/>
                <w:lang w:val="en-US" w:eastAsia="zh-CN"/>
              </w:rPr>
              <w:t>（</w:t>
            </w:r>
            <w:r>
              <w:rPr>
                <w:rFonts w:hint="eastAsia"/>
                <w:lang w:val="en-US" w:eastAsia="zh-CN"/>
              </w:rPr>
              <w:t>本项目砂石料堆场为全封闭式，控制效率为99%</w:t>
            </w:r>
            <w:r>
              <w:rPr>
                <w:rFonts w:hint="default"/>
                <w:lang w:val="en-US" w:eastAsia="zh-CN"/>
              </w:rPr>
              <w:t>）。</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根据以上公式，结合工业源固体物料堆场颗粒物核算系数手册附录1-5，本项目位于半敞开式堆场，风蚀E</w:t>
            </w:r>
            <w:r>
              <w:rPr>
                <w:rFonts w:hint="eastAsia"/>
                <w:vertAlign w:val="subscript"/>
                <w:lang w:val="en-US" w:eastAsia="zh-CN"/>
              </w:rPr>
              <w:t>f</w:t>
            </w:r>
            <w:r>
              <w:rPr>
                <w:rFonts w:hint="eastAsia"/>
                <w:lang w:val="en-US" w:eastAsia="zh-CN"/>
              </w:rPr>
              <w:t>取值0（</w:t>
            </w:r>
            <w:r>
              <w:rPr>
                <w:rFonts w:hint="default"/>
                <w:lang w:val="en-US" w:eastAsia="zh-CN"/>
              </w:rPr>
              <w:t>参照混合矿石</w:t>
            </w:r>
            <w:r>
              <w:rPr>
                <w:rFonts w:hint="eastAsia"/>
                <w:lang w:val="en-US" w:eastAsia="zh-CN"/>
              </w:rPr>
              <w:t>），颗粒物采用洒水降尘，控制效率为74%，其他参数取值详见表16。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rPr>
            </w:pPr>
            <w:r>
              <w:rPr>
                <w:rFonts w:hint="eastAsia"/>
                <w:lang w:val="en-US" w:eastAsia="zh-CN"/>
              </w:rPr>
              <w:t>表16                      参数取值表</w:t>
            </w:r>
          </w:p>
          <w:tbl>
            <w:tblPr>
              <w:tblStyle w:val="1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90"/>
              <w:gridCol w:w="675"/>
              <w:gridCol w:w="888"/>
              <w:gridCol w:w="885"/>
              <w:gridCol w:w="690"/>
              <w:gridCol w:w="1008"/>
              <w:gridCol w:w="667"/>
              <w:gridCol w:w="782"/>
              <w:gridCol w:w="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参数</w:t>
                  </w:r>
                </w:p>
              </w:tc>
              <w:tc>
                <w:tcPr>
                  <w:tcW w:w="497"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eastAsia"/>
                      <w:lang w:val="en-US" w:eastAsia="zh-CN"/>
                    </w:rPr>
                  </w:pPr>
                  <w:r>
                    <w:rPr>
                      <w:rFonts w:hint="eastAsia"/>
                    </w:rPr>
                    <w:t>N</w:t>
                  </w:r>
                  <w:r>
                    <w:rPr>
                      <w:rFonts w:hint="eastAsia"/>
                      <w:lang w:val="en-US" w:eastAsia="zh-CN"/>
                    </w:rPr>
                    <w:t>c</w:t>
                  </w:r>
                </w:p>
              </w:tc>
              <w:tc>
                <w:tcPr>
                  <w:tcW w:w="425"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eastAsia"/>
                      <w:lang w:val="en-US" w:eastAsia="zh-CN"/>
                    </w:rPr>
                  </w:pPr>
                  <w:r>
                    <w:rPr>
                      <w:rFonts w:hint="eastAsia"/>
                    </w:rPr>
                    <w:t>D</w:t>
                  </w:r>
                </w:p>
              </w:tc>
              <w:tc>
                <w:tcPr>
                  <w:tcW w:w="559"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a</w:t>
                  </w:r>
                </w:p>
              </w:tc>
              <w:tc>
                <w:tcPr>
                  <w:tcW w:w="557"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b</w:t>
                  </w:r>
                </w:p>
              </w:tc>
              <w:tc>
                <w:tcPr>
                  <w:tcW w:w="434"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lang w:val="en-US" w:eastAsia="zh-CN"/>
                    </w:rPr>
                  </w:pPr>
                  <w:r>
                    <w:rPr>
                      <w:rFonts w:hint="eastAsia"/>
                      <w:lang w:val="en-US" w:eastAsia="zh-CN"/>
                    </w:rPr>
                    <w:t>a/b</w:t>
                  </w:r>
                </w:p>
              </w:tc>
              <w:tc>
                <w:tcPr>
                  <w:tcW w:w="634"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lang w:val="en-US" w:eastAsia="zh-CN"/>
                    </w:rPr>
                  </w:pPr>
                  <w:r>
                    <w:rPr>
                      <w:rFonts w:hint="eastAsia"/>
                    </w:rPr>
                    <w:t>Ef</w:t>
                  </w:r>
                </w:p>
              </w:tc>
              <w:tc>
                <w:tcPr>
                  <w:tcW w:w="420"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lang w:val="en-US" w:eastAsia="zh-CN"/>
                    </w:rPr>
                  </w:pPr>
                  <w:r>
                    <w:rPr>
                      <w:rFonts w:hint="eastAsia"/>
                      <w:lang w:val="en-US" w:eastAsia="zh-CN"/>
                    </w:rPr>
                    <w:t>S</w:t>
                  </w:r>
                </w:p>
              </w:tc>
              <w:tc>
                <w:tcPr>
                  <w:tcW w:w="492"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rPr>
                  </w:pPr>
                  <w:r>
                    <w:rPr>
                      <w:rFonts w:hint="eastAsia"/>
                    </w:rPr>
                    <w:t>Cm</w:t>
                  </w:r>
                </w:p>
              </w:tc>
              <w:tc>
                <w:tcPr>
                  <w:tcW w:w="492"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rPr>
                  </w:pPr>
                  <w:r>
                    <w:rPr>
                      <w:rFonts w:hint="eastAsia"/>
                    </w:rPr>
                    <w:t>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取值</w:t>
                  </w:r>
                </w:p>
              </w:tc>
              <w:tc>
                <w:tcPr>
                  <w:tcW w:w="497"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3586</w:t>
                  </w:r>
                </w:p>
              </w:tc>
              <w:tc>
                <w:tcPr>
                  <w:tcW w:w="425"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30</w:t>
                  </w:r>
                </w:p>
              </w:tc>
              <w:tc>
                <w:tcPr>
                  <w:tcW w:w="559"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0.0011</w:t>
                  </w:r>
                </w:p>
              </w:tc>
              <w:tc>
                <w:tcPr>
                  <w:tcW w:w="557" w:type="pct"/>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0.0084</w:t>
                  </w:r>
                </w:p>
              </w:tc>
              <w:tc>
                <w:tcPr>
                  <w:tcW w:w="434"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default"/>
                      <w:lang w:val="en-US" w:eastAsia="zh-CN"/>
                    </w:rPr>
                  </w:pPr>
                  <w:r>
                    <w:rPr>
                      <w:rFonts w:hint="eastAsia"/>
                      <w:lang w:val="en-US" w:eastAsia="zh-CN"/>
                    </w:rPr>
                    <w:t>0.13</w:t>
                  </w:r>
                </w:p>
              </w:tc>
              <w:tc>
                <w:tcPr>
                  <w:tcW w:w="634"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default"/>
                      <w:lang w:val="en-US" w:eastAsia="zh-CN"/>
                    </w:rPr>
                  </w:pPr>
                  <w:r>
                    <w:rPr>
                      <w:rFonts w:hint="eastAsia"/>
                      <w:lang w:val="en-US" w:eastAsia="zh-CN"/>
                    </w:rPr>
                    <w:t>0</w:t>
                  </w:r>
                </w:p>
              </w:tc>
              <w:tc>
                <w:tcPr>
                  <w:tcW w:w="420"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default"/>
                      <w:lang w:val="en-US" w:eastAsia="zh-CN"/>
                    </w:rPr>
                  </w:pPr>
                  <w:r>
                    <w:rPr>
                      <w:rFonts w:hint="eastAsia"/>
                      <w:lang w:val="en-US" w:eastAsia="zh-CN"/>
                    </w:rPr>
                    <w:t>936</w:t>
                  </w:r>
                </w:p>
              </w:tc>
              <w:tc>
                <w:tcPr>
                  <w:tcW w:w="492"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lang w:val="en-US" w:eastAsia="zh-CN"/>
                    </w:rPr>
                  </w:pPr>
                  <w:r>
                    <w:rPr>
                      <w:rFonts w:hint="eastAsia"/>
                      <w:lang w:val="en-US" w:eastAsia="zh-CN"/>
                    </w:rPr>
                    <w:t>74%</w:t>
                  </w:r>
                </w:p>
              </w:tc>
              <w:tc>
                <w:tcPr>
                  <w:tcW w:w="492" w:type="pct"/>
                  <w:tcBorders>
                    <w:tl2br w:val="nil"/>
                    <w:tr2bl w:val="nil"/>
                  </w:tcBorders>
                  <w:vAlign w:val="center"/>
                </w:tcPr>
                <w:p>
                  <w:pPr>
                    <w:pStyle w:val="15"/>
                    <w:keepNext w:val="0"/>
                    <w:keepLines w:val="0"/>
                    <w:suppressLineNumbers w:val="0"/>
                    <w:spacing w:before="0" w:beforeAutospacing="0" w:after="0" w:afterAutospacing="0"/>
                    <w:ind w:left="0" w:right="0" w:firstLine="0" w:firstLineChars="0"/>
                    <w:jc w:val="center"/>
                    <w:rPr>
                      <w:rFonts w:hint="eastAsia"/>
                      <w:lang w:val="en-US" w:eastAsia="zh-CN"/>
                    </w:rPr>
                  </w:pPr>
                  <w:r>
                    <w:rPr>
                      <w:rFonts w:hint="eastAsia"/>
                      <w:lang w:val="en-US" w:eastAsia="zh-CN"/>
                    </w:rPr>
                    <w:t>99%</w:t>
                  </w:r>
                </w:p>
              </w:tc>
            </w:tr>
          </w:tbl>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经过计算，P=13.98t/a，经治理后，Uc=0.036t/a。</w:t>
            </w:r>
          </w:p>
          <w:p>
            <w:pPr>
              <w:keepNext w:val="0"/>
              <w:keepLines w:val="0"/>
              <w:suppressLineNumbers w:val="0"/>
              <w:spacing w:before="0" w:beforeAutospacing="0" w:after="0" w:afterAutospacing="0"/>
              <w:ind w:left="0" w:right="0" w:firstLine="420"/>
              <w:jc w:val="left"/>
              <w:rPr>
                <w:rFonts w:hint="default"/>
              </w:rPr>
            </w:pPr>
            <w:r>
              <w:rPr>
                <w:rFonts w:hint="default"/>
              </w:rPr>
              <w:t>本项目各生产工序均采用</w:t>
            </w:r>
            <w:r>
              <w:rPr>
                <w:rFonts w:hint="eastAsia"/>
                <w:lang w:val="en-US" w:eastAsia="zh-CN"/>
              </w:rPr>
              <w:t>铲车机械辅助上料</w:t>
            </w:r>
            <w:r>
              <w:rPr>
                <w:rFonts w:hint="default"/>
              </w:rPr>
              <w:t>，通过输送带输送，计量过程在密闭计量箱内进行，因此物料输送及计量过程产生的粉尘量较小。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lang w:val="en-US" w:eastAsia="zh-CN"/>
              </w:rPr>
            </w:pPr>
            <w:r>
              <w:rPr>
                <w:rFonts w:hint="eastAsia"/>
                <w:lang w:val="en-US" w:eastAsia="zh-CN"/>
              </w:rPr>
              <w:t>（2）水泥粉尘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lang w:val="en-US" w:eastAsia="zh-CN"/>
              </w:rPr>
            </w:pPr>
            <w:r>
              <w:rPr>
                <w:rFonts w:hint="eastAsia"/>
                <w:lang w:val="en-US" w:eastAsia="zh-CN"/>
              </w:rPr>
              <w:t>本项目设置4台水泥、矿粉、硅粉筒仓，粉料经气力输送至筒仓内，粉尘产排系数根据“3021、3022、3029水泥制品制造行业系数手册”进行核算，</w:t>
            </w:r>
            <w:r>
              <w:rPr>
                <w:rFonts w:hint="default"/>
                <w:lang w:val="en-US" w:eastAsia="zh-CN"/>
              </w:rPr>
              <w:t xml:space="preserve">产排污系数表见表 </w:t>
            </w:r>
            <w:r>
              <w:rPr>
                <w:rFonts w:hint="eastAsia"/>
                <w:lang w:val="en-US" w:eastAsia="zh-CN"/>
              </w:rPr>
              <w:t>17</w:t>
            </w:r>
            <w:r>
              <w:rPr>
                <w:rFonts w:hint="default"/>
                <w:lang w:val="en-US" w:eastAsia="zh-CN"/>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rPr>
            </w:pPr>
            <w:r>
              <w:rPr>
                <w:rFonts w:hint="default"/>
              </w:rPr>
              <w:t>表</w:t>
            </w:r>
            <w:r>
              <w:rPr>
                <w:rFonts w:hint="default"/>
                <w:lang w:val="en-US" w:eastAsia="zh-CN"/>
              </w:rPr>
              <w:t>1</w:t>
            </w:r>
            <w:r>
              <w:rPr>
                <w:rFonts w:hint="eastAsia"/>
                <w:lang w:val="en-US" w:eastAsia="zh-CN"/>
              </w:rPr>
              <w:t>7</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default"/>
              </w:rPr>
              <w:t>水泥制品制造业产排污系数表</w:t>
            </w:r>
          </w:p>
          <w:tbl>
            <w:tblPr>
              <w:tblStyle w:val="10"/>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16"/>
              <w:gridCol w:w="749"/>
              <w:gridCol w:w="679"/>
              <w:gridCol w:w="470"/>
              <w:gridCol w:w="1123"/>
              <w:gridCol w:w="1299"/>
              <w:gridCol w:w="1036"/>
              <w:gridCol w:w="1015"/>
              <w:gridCol w:w="10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1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产品</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名称</w:t>
                  </w:r>
                </w:p>
              </w:tc>
              <w:tc>
                <w:tcPr>
                  <w:tcW w:w="74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原料名称</w:t>
                  </w:r>
                </w:p>
              </w:tc>
              <w:tc>
                <w:tcPr>
                  <w:tcW w:w="67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工艺</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名称</w:t>
                  </w:r>
                </w:p>
              </w:tc>
              <w:tc>
                <w:tcPr>
                  <w:tcW w:w="470"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规模</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等级</w:t>
                  </w: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污染物指标</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单位</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产污</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系数</w:t>
                  </w:r>
                </w:p>
              </w:tc>
              <w:tc>
                <w:tcPr>
                  <w:tcW w:w="1015"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末端治理</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技术</w:t>
                  </w: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末端治理</w:t>
                  </w:r>
                </w:p>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效率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16"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rPr>
                  </w:pPr>
                  <w:r>
                    <w:rPr>
                      <w:rFonts w:hint="eastAsia"/>
                      <w:lang w:val="en-US" w:eastAsia="zh-CN"/>
                    </w:rPr>
                    <w:t>混凝土制品</w:t>
                  </w:r>
                </w:p>
              </w:tc>
              <w:tc>
                <w:tcPr>
                  <w:tcW w:w="749"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水泥、</w:t>
                  </w:r>
                  <w:r>
                    <w:rPr>
                      <w:rFonts w:hint="eastAsia"/>
                      <w:lang w:val="en-US" w:eastAsia="zh-CN"/>
                    </w:rPr>
                    <w:t>砂子、石子</w:t>
                  </w:r>
                  <w:r>
                    <w:rPr>
                      <w:rFonts w:hint="default"/>
                      <w:lang w:val="en-US" w:eastAsia="zh-CN"/>
                    </w:rPr>
                    <w:t>等</w:t>
                  </w:r>
                </w:p>
              </w:tc>
              <w:tc>
                <w:tcPr>
                  <w:tcW w:w="679"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物料</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输送</w:t>
                  </w:r>
                </w:p>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储存</w:t>
                  </w:r>
                </w:p>
              </w:tc>
              <w:tc>
                <w:tcPr>
                  <w:tcW w:w="470"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所有</w:t>
                  </w:r>
                </w:p>
                <w:p>
                  <w:pPr>
                    <w:pStyle w:val="15"/>
                    <w:keepNext w:val="0"/>
                    <w:keepLines w:val="0"/>
                    <w:suppressLineNumbers w:val="0"/>
                    <w:bidi w:val="0"/>
                    <w:spacing w:before="0" w:beforeAutospacing="0" w:after="0" w:afterAutospacing="0"/>
                    <w:ind w:left="0" w:right="0"/>
                    <w:rPr>
                      <w:rFonts w:hint="default"/>
                    </w:rPr>
                  </w:pPr>
                  <w:r>
                    <w:rPr>
                      <w:rFonts w:hint="default"/>
                    </w:rPr>
                    <w:t>规模</w:t>
                  </w: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工业废气量</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Nm</w:t>
                  </w:r>
                  <w:r>
                    <w:rPr>
                      <w:rFonts w:hint="default"/>
                      <w:vertAlign w:val="superscript"/>
                      <w:lang w:val="en-US" w:eastAsia="zh-CN"/>
                    </w:rPr>
                    <w:t>3</w:t>
                  </w:r>
                  <w:r>
                    <w:rPr>
                      <w:rFonts w:hint="default"/>
                    </w:rPr>
                    <w:t>/吨-</w:t>
                  </w:r>
                  <w:r>
                    <w:rPr>
                      <w:rFonts w:hint="eastAsia"/>
                      <w:lang w:val="en-US" w:eastAsia="zh-CN"/>
                    </w:rPr>
                    <w:t>产品</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22</w:t>
                  </w:r>
                </w:p>
              </w:tc>
              <w:tc>
                <w:tcPr>
                  <w:tcW w:w="1015"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袋式</w:t>
                  </w:r>
                  <w:r>
                    <w:rPr>
                      <w:rFonts w:hint="default"/>
                      <w:lang w:val="en-US" w:eastAsia="zh-CN"/>
                    </w:rPr>
                    <w:t>除尘</w:t>
                  </w: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16"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749"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679"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470"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工业粉尘</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Kg</w:t>
                  </w:r>
                  <w:r>
                    <w:rPr>
                      <w:rFonts w:hint="default"/>
                    </w:rPr>
                    <w:t>/吨-</w:t>
                  </w:r>
                  <w:r>
                    <w:rPr>
                      <w:rFonts w:hint="eastAsia"/>
                      <w:lang w:val="en-US" w:eastAsia="zh-CN"/>
                    </w:rPr>
                    <w:t>产品</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0.12</w:t>
                  </w:r>
                </w:p>
              </w:tc>
              <w:tc>
                <w:tcPr>
                  <w:tcW w:w="1015"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99.7%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lang w:val="en-US" w:eastAsia="zh-CN"/>
              </w:rPr>
            </w:pPr>
            <w:r>
              <w:rPr>
                <w:rFonts w:hint="default"/>
                <w:lang w:val="en-US" w:eastAsia="zh-CN"/>
              </w:rPr>
              <w:t>根据计算，</w:t>
            </w:r>
            <w:r>
              <w:rPr>
                <w:rFonts w:hint="eastAsia"/>
                <w:lang w:val="en-US" w:eastAsia="zh-CN"/>
              </w:rPr>
              <w:t>项目生产混凝土19.2万t</w:t>
            </w:r>
            <w:r>
              <w:rPr>
                <w:rFonts w:hint="default"/>
                <w:lang w:val="en-US" w:eastAsia="zh-CN"/>
              </w:rPr>
              <w:t>，总计储存输送粉尘</w:t>
            </w:r>
            <w:r>
              <w:rPr>
                <w:rFonts w:hint="eastAsia"/>
                <w:lang w:val="en-US" w:eastAsia="zh-CN"/>
              </w:rPr>
              <w:t>23.04</w:t>
            </w:r>
            <w:r>
              <w:rPr>
                <w:rFonts w:hint="default"/>
                <w:lang w:val="en-US" w:eastAsia="zh-CN"/>
              </w:rPr>
              <w:t>t/a，各筒仓均配套脉冲除尘器，收集效率约99.</w:t>
            </w:r>
            <w:r>
              <w:rPr>
                <w:rFonts w:hint="eastAsia"/>
                <w:lang w:val="en-US" w:eastAsia="zh-CN"/>
              </w:rPr>
              <w:t>7</w:t>
            </w:r>
            <w:r>
              <w:rPr>
                <w:rFonts w:hint="default"/>
                <w:lang w:val="en-US" w:eastAsia="zh-CN"/>
              </w:rPr>
              <w:t>%，经治理后，其排放量约为0.</w:t>
            </w:r>
            <w:r>
              <w:rPr>
                <w:rFonts w:hint="eastAsia"/>
                <w:lang w:val="en-US" w:eastAsia="zh-CN"/>
              </w:rPr>
              <w:t>07</w:t>
            </w:r>
            <w:r>
              <w:rPr>
                <w:rFonts w:hint="default"/>
                <w:lang w:val="en-US" w:eastAsia="zh-CN"/>
              </w:rPr>
              <w:t>t/a。</w:t>
            </w:r>
          </w:p>
          <w:p>
            <w:pPr>
              <w:keepNext w:val="0"/>
              <w:keepLines w:val="0"/>
              <w:suppressLineNumbers w:val="0"/>
              <w:spacing w:before="0" w:beforeAutospacing="0" w:after="0" w:afterAutospacing="0"/>
              <w:ind w:left="0" w:right="0" w:firstLine="420"/>
              <w:jc w:val="left"/>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搅拌粉尘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lang w:val="en-US" w:eastAsia="zh-CN"/>
              </w:rPr>
            </w:pPr>
            <w:r>
              <w:rPr>
                <w:rFonts w:hint="eastAsia"/>
                <w:lang w:val="en-US" w:eastAsia="zh-CN"/>
              </w:rPr>
              <w:t>本项目混凝土搅拌生产粉尘产排系数根据“3021、3022、3029水泥制品制造行业系数手册”进行核算，</w:t>
            </w:r>
            <w:r>
              <w:rPr>
                <w:rFonts w:hint="default"/>
                <w:lang w:val="en-US" w:eastAsia="zh-CN"/>
              </w:rPr>
              <w:t xml:space="preserve">产排污系数表见表 </w:t>
            </w:r>
            <w:r>
              <w:rPr>
                <w:rFonts w:hint="eastAsia"/>
                <w:lang w:val="en-US" w:eastAsia="zh-CN"/>
              </w:rPr>
              <w:t>18</w:t>
            </w:r>
            <w:r>
              <w:rPr>
                <w:rFonts w:hint="default"/>
                <w:lang w:val="en-US" w:eastAsia="zh-CN"/>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rPr>
            </w:pPr>
            <w:r>
              <w:rPr>
                <w:rFonts w:hint="default"/>
              </w:rPr>
              <w:t>表</w:t>
            </w:r>
            <w:r>
              <w:rPr>
                <w:rFonts w:hint="default"/>
                <w:lang w:val="en-US" w:eastAsia="zh-CN"/>
              </w:rPr>
              <w:t>1</w:t>
            </w:r>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default"/>
              </w:rPr>
              <w:t>水泥制品制造业产排污系数表</w:t>
            </w:r>
          </w:p>
          <w:tbl>
            <w:tblPr>
              <w:tblStyle w:val="10"/>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16"/>
              <w:gridCol w:w="749"/>
              <w:gridCol w:w="679"/>
              <w:gridCol w:w="470"/>
              <w:gridCol w:w="1123"/>
              <w:gridCol w:w="1299"/>
              <w:gridCol w:w="1036"/>
              <w:gridCol w:w="1015"/>
              <w:gridCol w:w="10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1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产品</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名称</w:t>
                  </w:r>
                </w:p>
              </w:tc>
              <w:tc>
                <w:tcPr>
                  <w:tcW w:w="74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原料名称</w:t>
                  </w:r>
                </w:p>
              </w:tc>
              <w:tc>
                <w:tcPr>
                  <w:tcW w:w="67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工艺</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名称</w:t>
                  </w:r>
                </w:p>
              </w:tc>
              <w:tc>
                <w:tcPr>
                  <w:tcW w:w="470"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规模</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等级</w:t>
                  </w: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污染物指标</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单位</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产污</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系数</w:t>
                  </w:r>
                </w:p>
              </w:tc>
              <w:tc>
                <w:tcPr>
                  <w:tcW w:w="1015"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末端治理</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技术</w:t>
                  </w: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末端治理</w:t>
                  </w:r>
                </w:p>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效率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16"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firstLine="0" w:firstLineChars="0"/>
                    <w:rPr>
                      <w:rFonts w:hint="default"/>
                    </w:rPr>
                  </w:pPr>
                  <w:r>
                    <w:rPr>
                      <w:rFonts w:hint="eastAsia"/>
                      <w:lang w:val="en-US" w:eastAsia="zh-CN"/>
                    </w:rPr>
                    <w:t>混凝土制品</w:t>
                  </w:r>
                </w:p>
              </w:tc>
              <w:tc>
                <w:tcPr>
                  <w:tcW w:w="749"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p>
                  <w:pPr>
                    <w:pStyle w:val="15"/>
                    <w:keepNext w:val="0"/>
                    <w:keepLines w:val="0"/>
                    <w:suppressLineNumbers w:val="0"/>
                    <w:bidi w:val="0"/>
                    <w:spacing w:before="0" w:beforeAutospacing="0" w:after="0" w:afterAutospacing="0"/>
                    <w:ind w:left="0" w:right="0" w:firstLine="0" w:firstLineChars="0"/>
                    <w:rPr>
                      <w:rFonts w:hint="default"/>
                    </w:rPr>
                  </w:pPr>
                  <w:r>
                    <w:rPr>
                      <w:rFonts w:hint="default"/>
                    </w:rPr>
                    <w:t>水泥、</w:t>
                  </w:r>
                  <w:r>
                    <w:rPr>
                      <w:rFonts w:hint="eastAsia"/>
                      <w:lang w:val="en-US" w:eastAsia="zh-CN"/>
                    </w:rPr>
                    <w:t>砂子、石子</w:t>
                  </w:r>
                  <w:r>
                    <w:rPr>
                      <w:rFonts w:hint="default"/>
                      <w:lang w:val="en-US" w:eastAsia="zh-CN"/>
                    </w:rPr>
                    <w:t>等</w:t>
                  </w:r>
                </w:p>
              </w:tc>
              <w:tc>
                <w:tcPr>
                  <w:tcW w:w="679"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物料</w:t>
                  </w:r>
                </w:p>
                <w:p>
                  <w:pPr>
                    <w:pStyle w:val="15"/>
                    <w:keepNext w:val="0"/>
                    <w:keepLines w:val="0"/>
                    <w:suppressLineNumbers w:val="0"/>
                    <w:bidi w:val="0"/>
                    <w:spacing w:before="0" w:beforeAutospacing="0" w:after="0" w:afterAutospacing="0"/>
                    <w:ind w:left="0" w:right="0"/>
                    <w:rPr>
                      <w:rFonts w:hint="default"/>
                    </w:rPr>
                  </w:pPr>
                  <w:r>
                    <w:rPr>
                      <w:rFonts w:hint="default"/>
                    </w:rPr>
                    <w:t>搅拌</w:t>
                  </w:r>
                </w:p>
              </w:tc>
              <w:tc>
                <w:tcPr>
                  <w:tcW w:w="470"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所有</w:t>
                  </w:r>
                </w:p>
                <w:p>
                  <w:pPr>
                    <w:pStyle w:val="15"/>
                    <w:keepNext w:val="0"/>
                    <w:keepLines w:val="0"/>
                    <w:suppressLineNumbers w:val="0"/>
                    <w:bidi w:val="0"/>
                    <w:spacing w:before="0" w:beforeAutospacing="0" w:after="0" w:afterAutospacing="0"/>
                    <w:ind w:left="0" w:right="0"/>
                    <w:rPr>
                      <w:rFonts w:hint="default"/>
                    </w:rPr>
                  </w:pPr>
                  <w:r>
                    <w:rPr>
                      <w:rFonts w:hint="default"/>
                    </w:rPr>
                    <w:t>规模</w:t>
                  </w: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工业废气量</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Nm</w:t>
                  </w:r>
                  <w:r>
                    <w:rPr>
                      <w:rFonts w:hint="default"/>
                      <w:vertAlign w:val="superscript"/>
                      <w:lang w:val="en-US" w:eastAsia="zh-CN"/>
                    </w:rPr>
                    <w:t>3</w:t>
                  </w:r>
                  <w:r>
                    <w:rPr>
                      <w:rFonts w:hint="default"/>
                    </w:rPr>
                    <w:t>/吨-</w:t>
                  </w:r>
                  <w:r>
                    <w:rPr>
                      <w:rFonts w:hint="eastAsia"/>
                      <w:lang w:val="en-US" w:eastAsia="zh-CN"/>
                    </w:rPr>
                    <w:t>产品</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25</w:t>
                  </w:r>
                </w:p>
              </w:tc>
              <w:tc>
                <w:tcPr>
                  <w:tcW w:w="1015" w:type="dxa"/>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袋式</w:t>
                  </w:r>
                  <w:r>
                    <w:rPr>
                      <w:rFonts w:hint="default"/>
                      <w:lang w:val="en-US" w:eastAsia="zh-CN"/>
                    </w:rPr>
                    <w:t>除尘</w:t>
                  </w: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firstLine="0" w:firstLineChars="0"/>
                    <w:rPr>
                      <w:rFonts w:hint="default"/>
                      <w:lang w:val="en-US" w:eastAsia="zh-CN"/>
                    </w:rPr>
                  </w:pPr>
                  <w:r>
                    <w:rPr>
                      <w:rFonts w:hint="eastAsia"/>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16"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749"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679"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470"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p>
              </w:tc>
              <w:tc>
                <w:tcPr>
                  <w:tcW w:w="1123"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工业粉尘</w:t>
                  </w:r>
                </w:p>
              </w:tc>
              <w:tc>
                <w:tcPr>
                  <w:tcW w:w="129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Kg</w:t>
                  </w:r>
                  <w:r>
                    <w:rPr>
                      <w:rFonts w:hint="default"/>
                    </w:rPr>
                    <w:t>/吨-</w:t>
                  </w:r>
                  <w:r>
                    <w:rPr>
                      <w:rFonts w:hint="eastAsia"/>
                      <w:lang w:val="en-US" w:eastAsia="zh-CN"/>
                    </w:rPr>
                    <w:t>产品</w:t>
                  </w:r>
                </w:p>
              </w:tc>
              <w:tc>
                <w:tcPr>
                  <w:tcW w:w="103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0.13</w:t>
                  </w:r>
                </w:p>
              </w:tc>
              <w:tc>
                <w:tcPr>
                  <w:tcW w:w="1015" w:type="dxa"/>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p>
              </w:tc>
              <w:tc>
                <w:tcPr>
                  <w:tcW w:w="1059"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firstLine="0" w:firstLineChars="0"/>
                    <w:rPr>
                      <w:rFonts w:hint="default"/>
                      <w:lang w:val="en-US" w:eastAsia="zh-CN"/>
                    </w:rPr>
                  </w:pPr>
                  <w:r>
                    <w:rPr>
                      <w:rFonts w:hint="eastAsia"/>
                      <w:lang w:val="en-US" w:eastAsia="zh-CN"/>
                    </w:rPr>
                    <w:t>99.7%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lang w:val="en-US" w:eastAsia="zh-CN"/>
              </w:rPr>
            </w:pPr>
            <w:r>
              <w:rPr>
                <w:rFonts w:hint="default"/>
                <w:lang w:val="en-US" w:eastAsia="zh-CN"/>
              </w:rPr>
              <w:t>根据计算，</w:t>
            </w:r>
            <w:r>
              <w:rPr>
                <w:rFonts w:hint="eastAsia"/>
                <w:lang w:val="en-US" w:eastAsia="zh-CN"/>
              </w:rPr>
              <w:t>项目生产混凝土19.2万t</w:t>
            </w:r>
            <w:r>
              <w:rPr>
                <w:rFonts w:hint="default"/>
                <w:lang w:val="en-US" w:eastAsia="zh-CN"/>
              </w:rPr>
              <w:t>，总计</w:t>
            </w:r>
            <w:r>
              <w:rPr>
                <w:rFonts w:hint="eastAsia"/>
                <w:lang w:val="en-US" w:eastAsia="zh-CN"/>
              </w:rPr>
              <w:t>物料搅拌</w:t>
            </w:r>
            <w:r>
              <w:rPr>
                <w:rFonts w:hint="default"/>
                <w:lang w:val="en-US" w:eastAsia="zh-CN"/>
              </w:rPr>
              <w:t>粉尘</w:t>
            </w:r>
            <w:r>
              <w:rPr>
                <w:rFonts w:hint="eastAsia"/>
                <w:lang w:val="en-US" w:eastAsia="zh-CN"/>
              </w:rPr>
              <w:t>24.96</w:t>
            </w:r>
            <w:r>
              <w:rPr>
                <w:rFonts w:hint="default"/>
                <w:lang w:val="en-US" w:eastAsia="zh-CN"/>
              </w:rPr>
              <w:t>t/a，搅拌楼采用全封闭，配套除尘系统，其除尘效率约为99.</w:t>
            </w:r>
            <w:r>
              <w:rPr>
                <w:rFonts w:hint="eastAsia"/>
                <w:lang w:val="en-US" w:eastAsia="zh-CN"/>
              </w:rPr>
              <w:t>7</w:t>
            </w:r>
            <w:r>
              <w:rPr>
                <w:rFonts w:hint="default"/>
                <w:lang w:val="en-US" w:eastAsia="zh-CN"/>
              </w:rPr>
              <w:t>%，经治理后，其排放量约为0.</w:t>
            </w:r>
            <w:r>
              <w:rPr>
                <w:rFonts w:hint="eastAsia"/>
                <w:lang w:val="en-US" w:eastAsia="zh-CN"/>
              </w:rPr>
              <w:t>075</w:t>
            </w:r>
            <w:r>
              <w:rPr>
                <w:rFonts w:hint="default"/>
                <w:lang w:val="en-US" w:eastAsia="zh-CN"/>
              </w:rPr>
              <w:t>t/a。</w:t>
            </w:r>
          </w:p>
          <w:p>
            <w:pPr>
              <w:keepNext w:val="0"/>
              <w:keepLines w:val="0"/>
              <w:suppressLineNumbers w:val="0"/>
              <w:spacing w:before="0" w:beforeAutospacing="0" w:after="0" w:afterAutospacing="0"/>
              <w:ind w:left="0" w:right="0" w:firstLine="420"/>
              <w:rPr>
                <w:rFonts w:hint="default"/>
              </w:rPr>
            </w:pPr>
            <w:r>
              <w:rPr>
                <w:rFonts w:hint="default"/>
              </w:rPr>
              <w:t>（</w:t>
            </w:r>
            <w:r>
              <w:rPr>
                <w:rFonts w:hint="eastAsia"/>
                <w:lang w:val="en-US" w:eastAsia="zh-CN"/>
              </w:rPr>
              <w:t>4</w:t>
            </w:r>
            <w:r>
              <w:rPr>
                <w:rFonts w:hint="default"/>
              </w:rPr>
              <w:t>）脱模废气</w:t>
            </w:r>
          </w:p>
          <w:p>
            <w:pPr>
              <w:keepNext w:val="0"/>
              <w:keepLines w:val="0"/>
              <w:suppressLineNumbers w:val="0"/>
              <w:spacing w:before="0" w:beforeAutospacing="0" w:after="0" w:afterAutospacing="0"/>
              <w:ind w:left="0" w:right="0" w:firstLine="420"/>
              <w:rPr>
                <w:rFonts w:hint="default"/>
                <w:color w:val="auto"/>
                <w:highlight w:val="none"/>
              </w:rPr>
            </w:pPr>
            <w:r>
              <w:rPr>
                <w:rFonts w:hint="default"/>
                <w:color w:val="auto"/>
                <w:highlight w:val="none"/>
              </w:rPr>
              <w:t>本项目使用的脱模剂为</w:t>
            </w:r>
            <w:r>
              <w:rPr>
                <w:rFonts w:hint="eastAsia"/>
                <w:color w:val="auto"/>
                <w:highlight w:val="none"/>
                <w:lang w:val="en-US" w:eastAsia="zh-CN"/>
              </w:rPr>
              <w:t>环保水基</w:t>
            </w:r>
            <w:r>
              <w:rPr>
                <w:rFonts w:hint="default"/>
                <w:color w:val="auto"/>
                <w:highlight w:val="none"/>
              </w:rPr>
              <w:t>脱模剂，属于以水为溶剂</w:t>
            </w:r>
            <w:r>
              <w:rPr>
                <w:rFonts w:hint="eastAsia"/>
                <w:color w:val="auto"/>
                <w:highlight w:val="none"/>
                <w:lang w:eastAsia="zh-CN"/>
              </w:rPr>
              <w:t>，</w:t>
            </w:r>
            <w:r>
              <w:rPr>
                <w:rFonts w:hint="eastAsia"/>
                <w:color w:val="auto"/>
                <w:highlight w:val="none"/>
                <w:lang w:val="en-US" w:eastAsia="zh-CN"/>
              </w:rPr>
              <w:t>经过合理配比后使用，其具有</w:t>
            </w:r>
            <w:r>
              <w:rPr>
                <w:rFonts w:hint="default"/>
                <w:color w:val="auto"/>
                <w:highlight w:val="none"/>
              </w:rPr>
              <w:t>沸点高，</w:t>
            </w:r>
            <w:r>
              <w:rPr>
                <w:rFonts w:hint="eastAsia"/>
                <w:color w:val="auto"/>
                <w:highlight w:val="none"/>
                <w:lang w:val="en-US" w:eastAsia="zh-CN"/>
              </w:rPr>
              <w:t>不易</w:t>
            </w:r>
            <w:r>
              <w:rPr>
                <w:rFonts w:hint="default"/>
                <w:color w:val="auto"/>
                <w:highlight w:val="none"/>
              </w:rPr>
              <w:t>挥发</w:t>
            </w:r>
            <w:r>
              <w:rPr>
                <w:rFonts w:hint="eastAsia"/>
                <w:color w:val="auto"/>
                <w:highlight w:val="none"/>
                <w:lang w:val="en-US" w:eastAsia="zh-CN"/>
              </w:rPr>
              <w:t>等特点</w:t>
            </w:r>
            <w:r>
              <w:rPr>
                <w:rFonts w:hint="default"/>
                <w:color w:val="auto"/>
                <w:highlight w:val="none"/>
              </w:rPr>
              <w:t>，经加强车间通风后对周围环境影响较小。</w:t>
            </w:r>
          </w:p>
          <w:p>
            <w:pPr>
              <w:keepNext w:val="0"/>
              <w:keepLines w:val="0"/>
              <w:suppressLineNumbers w:val="0"/>
              <w:spacing w:before="0" w:beforeAutospacing="0" w:after="0" w:afterAutospacing="0"/>
              <w:ind w:left="0" w:right="0" w:firstLine="420"/>
              <w:rPr>
                <w:rFonts w:hint="default"/>
              </w:rPr>
            </w:pPr>
            <w:r>
              <w:rPr>
                <w:rFonts w:hint="eastAsia"/>
                <w:lang w:val="en-US" w:eastAsia="zh-CN"/>
              </w:rPr>
              <w:t>1.</w:t>
            </w:r>
            <w:r>
              <w:rPr>
                <w:rFonts w:hint="default"/>
              </w:rPr>
              <w:t>2、非正常工况污染物排放情况</w:t>
            </w:r>
          </w:p>
          <w:p>
            <w:pPr>
              <w:keepNext w:val="0"/>
              <w:keepLines w:val="0"/>
              <w:suppressLineNumbers w:val="0"/>
              <w:spacing w:before="0" w:beforeAutospacing="0" w:after="0" w:afterAutospacing="0"/>
              <w:ind w:left="0" w:right="0" w:firstLine="420"/>
              <w:rPr>
                <w:rFonts w:hint="default"/>
              </w:rPr>
            </w:pPr>
            <w:r>
              <w:rPr>
                <w:rFonts w:hint="default"/>
              </w:rPr>
              <w:t>考虑到本项目废气的产生特点及治理设施的运行操作状况，本项目非正常</w:t>
            </w:r>
            <w:r>
              <w:rPr>
                <w:rFonts w:hint="eastAsia"/>
                <w:lang w:val="en-US" w:eastAsia="zh-CN"/>
              </w:rPr>
              <w:t>工况</w:t>
            </w:r>
            <w:r>
              <w:rPr>
                <w:rFonts w:hint="default"/>
              </w:rPr>
              <w:t>主要考虑废气处理设施</w:t>
            </w:r>
            <w:r>
              <w:rPr>
                <w:rFonts w:hint="eastAsia"/>
                <w:lang w:val="en-US" w:eastAsia="zh-CN"/>
              </w:rPr>
              <w:t>达不到应有效率时</w:t>
            </w:r>
            <w:r>
              <w:rPr>
                <w:rFonts w:hint="default"/>
              </w:rPr>
              <w:t>，造成废气污染物超标排放。本次环评考虑</w:t>
            </w:r>
            <w:r>
              <w:rPr>
                <w:rFonts w:hint="eastAsia"/>
                <w:lang w:val="en-US" w:eastAsia="zh-CN"/>
              </w:rPr>
              <w:t>水泥筒仓、搅拌系统除尘器</w:t>
            </w:r>
            <w:r>
              <w:rPr>
                <w:rFonts w:hint="default"/>
              </w:rPr>
              <w:t>失效，处理效率下降为0%的情况，非正常工况下污染物排放情况详见下表。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lang w:val="en-US" w:eastAsia="zh-CN"/>
              </w:rPr>
            </w:pPr>
            <w:r>
              <w:rPr>
                <w:rFonts w:hint="eastAsia"/>
                <w:lang w:val="en-US" w:eastAsia="zh-CN"/>
              </w:rPr>
              <w:t>表19                  非正常工况污染物排放情况</w:t>
            </w:r>
          </w:p>
          <w:tbl>
            <w:tblPr>
              <w:tblStyle w:val="11"/>
              <w:tblW w:w="0" w:type="auto"/>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14"/>
              <w:gridCol w:w="839"/>
              <w:gridCol w:w="817"/>
              <w:gridCol w:w="1292"/>
              <w:gridCol w:w="1085"/>
              <w:gridCol w:w="739"/>
              <w:gridCol w:w="728"/>
              <w:gridCol w:w="8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污染源</w:t>
                  </w:r>
                </w:p>
              </w:tc>
              <w:tc>
                <w:tcPr>
                  <w:tcW w:w="8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非正常原因</w:t>
                  </w:r>
                </w:p>
              </w:tc>
              <w:tc>
                <w:tcPr>
                  <w:tcW w:w="8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污染物</w:t>
                  </w:r>
                </w:p>
              </w:tc>
              <w:tc>
                <w:tcPr>
                  <w:tcW w:w="13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非正常浓度（mg/m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0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非正常排放速率（kg/h）</w:t>
                  </w:r>
                </w:p>
              </w:tc>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单次持续时间</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年发生频次</w:t>
                  </w:r>
                </w:p>
              </w:tc>
              <w:tc>
                <w:tcPr>
                  <w:tcW w:w="9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筒仓</w:t>
                  </w:r>
                </w:p>
              </w:tc>
              <w:tc>
                <w:tcPr>
                  <w:tcW w:w="89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除尘器失效</w:t>
                  </w:r>
                </w:p>
              </w:tc>
              <w:tc>
                <w:tcPr>
                  <w:tcW w:w="8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5454.5</w:t>
                  </w:r>
                </w:p>
              </w:tc>
              <w:tc>
                <w:tcPr>
                  <w:tcW w:w="10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单筒仓装料2h</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p>
              </w:tc>
              <w:tc>
                <w:tcPr>
                  <w:tcW w:w="9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日常加强除尘器维护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搅拌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系统</w:t>
                  </w:r>
                </w:p>
              </w:tc>
              <w:tc>
                <w:tcPr>
                  <w:tcW w:w="8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5200</w:t>
                  </w:r>
                </w:p>
              </w:tc>
              <w:tc>
                <w:tcPr>
                  <w:tcW w:w="10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3.25</w:t>
                  </w:r>
                </w:p>
              </w:tc>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1h</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p>
              </w:tc>
              <w:tc>
                <w:tcPr>
                  <w:tcW w:w="92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lang w:val="en-US" w:eastAsia="zh-CN"/>
                    </w:rPr>
                  </w:pPr>
                </w:p>
              </w:tc>
            </w:tr>
          </w:tbl>
          <w:p>
            <w:pPr>
              <w:keepNext w:val="0"/>
              <w:keepLines w:val="0"/>
              <w:suppressLineNumbers w:val="0"/>
              <w:spacing w:before="0" w:beforeAutospacing="0" w:after="0" w:afterAutospacing="0"/>
              <w:ind w:left="0" w:right="0" w:firstLine="420"/>
              <w:rPr>
                <w:rFonts w:hint="default"/>
              </w:rPr>
            </w:pPr>
            <w:r>
              <w:rPr>
                <w:rFonts w:hint="default"/>
              </w:rPr>
              <w:t>由</w:t>
            </w:r>
            <w:r>
              <w:rPr>
                <w:rFonts w:hint="eastAsia"/>
                <w:lang w:val="en-US" w:eastAsia="zh-CN"/>
              </w:rPr>
              <w:t>上表</w:t>
            </w:r>
            <w:r>
              <w:rPr>
                <w:rFonts w:hint="default"/>
              </w:rPr>
              <w:t>可知，在非正常工况下，颗粒物排放浓度</w:t>
            </w:r>
            <w:r>
              <w:rPr>
                <w:rFonts w:hint="eastAsia"/>
                <w:lang w:val="en-US" w:eastAsia="zh-CN"/>
              </w:rPr>
              <w:t>满足</w:t>
            </w:r>
            <w:r>
              <w:rPr>
                <w:rFonts w:hint="default"/>
              </w:rPr>
              <w:t>《水泥工业大气污染物排放标准》（GB4915-2013）表2 中水泥仓及其他通风生产设备对应的颗粒物排放标准限值，因此，非正常工况下，项目产生的废气故对周围环境将产生较大影响，企业需立即停止生产，并对废气处理设施进行检修，在废气处理设施正常运行后再继续生产。</w:t>
            </w:r>
          </w:p>
          <w:p>
            <w:pPr>
              <w:keepNext w:val="0"/>
              <w:keepLines w:val="0"/>
              <w:suppressLineNumbers w:val="0"/>
              <w:spacing w:before="0" w:beforeAutospacing="0" w:after="0" w:afterAutospacing="0"/>
              <w:ind w:left="0" w:right="0" w:firstLine="420"/>
              <w:rPr>
                <w:rFonts w:hint="default"/>
              </w:rPr>
            </w:pPr>
            <w:r>
              <w:rPr>
                <w:rFonts w:hint="eastAsia"/>
                <w:lang w:val="en-US" w:eastAsia="zh-CN"/>
              </w:rPr>
              <w:t>1.</w:t>
            </w:r>
            <w:r>
              <w:rPr>
                <w:rFonts w:hint="eastAsia"/>
              </w:rPr>
              <w:t>3、废气污染防治措施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lang w:val="en-US" w:eastAsia="zh-CN"/>
              </w:rPr>
              <w:t>参照《排污许可证申请与核发技术规范 水泥工业》（HJ847-2017）</w:t>
            </w:r>
            <w:r>
              <w:rPr>
                <w:rFonts w:hint="default"/>
              </w:rPr>
              <w:t>相关的规定与要求，结合本项目实际情况，以此分析项目废气治理措施的可行性，详见下表。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lang w:val="en-US" w:eastAsia="zh-CN"/>
              </w:rPr>
            </w:pPr>
            <w:r>
              <w:rPr>
                <w:rFonts w:hint="eastAsia"/>
                <w:lang w:val="en-US" w:eastAsia="zh-CN"/>
              </w:rPr>
              <w:t>表20         项目废气治理措施与排污许可规范相符性一览表</w:t>
            </w:r>
          </w:p>
          <w:tbl>
            <w:tblPr>
              <w:tblStyle w:val="1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228"/>
              <w:gridCol w:w="3241"/>
              <w:gridCol w:w="6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主要生产单元</w:t>
                  </w:r>
                </w:p>
              </w:tc>
              <w:tc>
                <w:tcPr>
                  <w:tcW w:w="2031"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《排污许可证申请与核发技术规范 水泥工业》（HJ847-2017）</w:t>
                  </w:r>
                  <w:r>
                    <w:rPr>
                      <w:rFonts w:hint="eastAsia"/>
                      <w:lang w:val="en-US" w:eastAsia="zh-CN"/>
                    </w:rPr>
                    <w:t>关于无组织排放控制要求</w:t>
                  </w:r>
                </w:p>
              </w:tc>
              <w:tc>
                <w:tcPr>
                  <w:tcW w:w="203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本项目采取治理措施</w:t>
                  </w:r>
                </w:p>
              </w:tc>
              <w:tc>
                <w:tcPr>
                  <w:tcW w:w="414"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是否</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原辅料堆存</w:t>
                  </w:r>
                </w:p>
              </w:tc>
              <w:tc>
                <w:tcPr>
                  <w:tcW w:w="2031"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（1）粉状物料密闭储存，其他块石、粘湿物料、浆料等辅材设置不低于堆放物高度的严密围挡，并采取有效覆盖等措施防治扬尘污染。</w:t>
                  </w:r>
                </w:p>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w:t>
                  </w:r>
                  <w:r>
                    <w:rPr>
                      <w:rFonts w:hint="default"/>
                      <w:lang w:val="en-US" w:eastAsia="zh-CN"/>
                    </w:rPr>
                    <w:t>粉状物料采用密闭罐车运输</w:t>
                  </w:r>
                </w:p>
              </w:tc>
              <w:tc>
                <w:tcPr>
                  <w:tcW w:w="203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①项目水泥存储于水泥筒仓内，同时加装仓顶除尘器。砂石骨料堆场采用全封闭堆场贮存，设置洒水降尘设施。</w:t>
                  </w:r>
                  <w:r>
                    <w:rPr>
                      <w:rFonts w:hint="eastAsia"/>
                      <w:lang w:val="en-US" w:eastAsia="zh-CN"/>
                    </w:rPr>
                    <w:br w:type="textWrapping"/>
                  </w:r>
                  <w:r>
                    <w:rPr>
                      <w:rFonts w:hint="eastAsia"/>
                      <w:lang w:val="en-US" w:eastAsia="zh-CN"/>
                    </w:rPr>
                    <w:t>②粉料水泥、矿粉等由粉料罐车运输，气力输送至粉料筒仓内。</w:t>
                  </w:r>
                </w:p>
              </w:tc>
              <w:tc>
                <w:tcPr>
                  <w:tcW w:w="414"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其它</w:t>
                  </w:r>
                </w:p>
                <w:p>
                  <w:pPr>
                    <w:pStyle w:val="1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要求</w:t>
                  </w:r>
                </w:p>
              </w:tc>
              <w:tc>
                <w:tcPr>
                  <w:tcW w:w="2031"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（1）厂区道路全硬化，道路定期洒水、及时清扫。</w:t>
                  </w:r>
                </w:p>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（2）厂区设置车轮清洗、清扫设施。</w:t>
                  </w:r>
                </w:p>
              </w:tc>
              <w:tc>
                <w:tcPr>
                  <w:tcW w:w="203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项目区及厂区全部硬化处置，设置专人负责全厂的环境卫生，使其保持清洁，定期对厂区及运输道路进行洒水降尘。</w:t>
                  </w:r>
                </w:p>
              </w:tc>
              <w:tc>
                <w:tcPr>
                  <w:tcW w:w="414"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lang w:val="en-US" w:eastAsia="zh-CN"/>
              </w:rPr>
            </w:pPr>
            <w:r>
              <w:rPr>
                <w:rFonts w:hint="default"/>
                <w:lang w:val="en-US" w:eastAsia="zh-CN"/>
              </w:rPr>
              <w:t>项目在生产过程中使用砂、石骨料以及水泥</w:t>
            </w:r>
            <w:r>
              <w:rPr>
                <w:rFonts w:hint="eastAsia"/>
                <w:lang w:val="en-US" w:eastAsia="zh-CN"/>
              </w:rPr>
              <w:t>粉料</w:t>
            </w:r>
            <w:r>
              <w:rPr>
                <w:rFonts w:hint="default"/>
                <w:lang w:val="en-US" w:eastAsia="zh-CN"/>
              </w:rPr>
              <w:t>。项目生产原料防尘措施与《工业料堆场扬尘整治规范》（DB65/T 4061-2017）相关要求相符性详见下表。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lang w:val="en-US" w:eastAsia="zh-CN"/>
              </w:rPr>
            </w:pPr>
            <w:r>
              <w:rPr>
                <w:rFonts w:hint="eastAsia"/>
                <w:lang w:val="en-US" w:eastAsia="zh-CN"/>
              </w:rPr>
              <w:t>表21   与工业料堆场扬尘（DB65/T4601-2017）整治可行技术对比表</w:t>
            </w:r>
          </w:p>
          <w:tbl>
            <w:tblPr>
              <w:tblStyle w:val="1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37"/>
              <w:gridCol w:w="3208"/>
              <w:gridCol w:w="3009"/>
              <w:gridCol w:w="8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27" w:type="pct"/>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主要生产单元</w:t>
                  </w:r>
                </w:p>
              </w:tc>
              <w:tc>
                <w:tcPr>
                  <w:tcW w:w="2018" w:type="pct"/>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料场扬尘整治方案</w:t>
                  </w:r>
                </w:p>
              </w:tc>
              <w:tc>
                <w:tcPr>
                  <w:tcW w:w="1893" w:type="pct"/>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本项目治理措施</w:t>
                  </w:r>
                </w:p>
              </w:tc>
              <w:tc>
                <w:tcPr>
                  <w:tcW w:w="561" w:type="pct"/>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可行性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0" w:hRule="atLeast"/>
                <w:jc w:val="center"/>
              </w:trPr>
              <w:tc>
                <w:tcPr>
                  <w:tcW w:w="527" w:type="pct"/>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料场装卸、运输作业</w:t>
                  </w:r>
                </w:p>
              </w:tc>
              <w:tc>
                <w:tcPr>
                  <w:tcW w:w="2018" w:type="pct"/>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（1）</w:t>
                  </w:r>
                  <w:r>
                    <w:rPr>
                      <w:rFonts w:hint="default"/>
                      <w:lang w:val="en-US" w:eastAsia="zh-CN"/>
                    </w:rPr>
                    <w:t>采取封闭、遮盖、洒水降尘措施，密闭输送物料必须在装料、卸料处配备吸尘、喷淋防尘措施。</w:t>
                  </w:r>
                </w:p>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w:t>
                  </w:r>
                  <w:r>
                    <w:rPr>
                      <w:rFonts w:hint="default"/>
                      <w:lang w:val="en-US" w:eastAsia="zh-CN"/>
                    </w:rPr>
                    <w:t>对于工业料堆场的坡面、场坪和路面等，必须采取铺装、硬化、定期喷洒抑尘剂或稳定剂等措施</w:t>
                  </w:r>
                  <w:r>
                    <w:rPr>
                      <w:rFonts w:hint="eastAsia"/>
                      <w:lang w:val="en-US" w:eastAsia="zh-CN"/>
                    </w:rPr>
                    <w:t>。</w:t>
                  </w:r>
                </w:p>
              </w:tc>
              <w:tc>
                <w:tcPr>
                  <w:tcW w:w="1893" w:type="pct"/>
                  <w:noWrap w:val="0"/>
                  <w:vAlign w:val="center"/>
                </w:tcPr>
                <w:p>
                  <w:pPr>
                    <w:pStyle w:val="15"/>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w:t>
                  </w:r>
                  <w:r>
                    <w:rPr>
                      <w:rFonts w:hint="default"/>
                      <w:lang w:val="en-US" w:eastAsia="zh-CN"/>
                    </w:rPr>
                    <w:t>粉料水泥由罐车运输，气压输送至粉料</w:t>
                  </w:r>
                  <w:r>
                    <w:rPr>
                      <w:rFonts w:hint="eastAsia"/>
                      <w:lang w:val="en-US" w:eastAsia="zh-CN"/>
                    </w:rPr>
                    <w:t>筒仓</w:t>
                  </w:r>
                  <w:r>
                    <w:rPr>
                      <w:rFonts w:hint="default"/>
                      <w:lang w:val="en-US" w:eastAsia="zh-CN"/>
                    </w:rPr>
                    <w:t>内，粉料</w:t>
                  </w:r>
                  <w:r>
                    <w:rPr>
                      <w:rFonts w:hint="eastAsia"/>
                      <w:lang w:val="en-US" w:eastAsia="zh-CN"/>
                    </w:rPr>
                    <w:t>筒</w:t>
                  </w:r>
                  <w:r>
                    <w:rPr>
                      <w:rFonts w:hint="default"/>
                      <w:lang w:val="en-US" w:eastAsia="zh-CN"/>
                    </w:rPr>
                    <w:t>仓设除尘设备</w:t>
                  </w:r>
                  <w:r>
                    <w:rPr>
                      <w:rFonts w:hint="eastAsia"/>
                      <w:lang w:val="en-US" w:eastAsia="zh-CN"/>
                    </w:rPr>
                    <w:t>，砂石骨料堆场采用全封闭堆场，设置洒水降尘设施。</w:t>
                  </w:r>
                </w:p>
                <w:p>
                  <w:pPr>
                    <w:pStyle w:val="15"/>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（2）料场地面、</w:t>
                  </w:r>
                  <w:r>
                    <w:rPr>
                      <w:rFonts w:hint="default"/>
                      <w:lang w:val="en-US" w:eastAsia="zh-CN"/>
                    </w:rPr>
                    <w:t>厂区</w:t>
                  </w:r>
                  <w:r>
                    <w:rPr>
                      <w:rFonts w:hint="eastAsia"/>
                      <w:lang w:val="en-US" w:eastAsia="zh-CN"/>
                    </w:rPr>
                    <w:t>道路</w:t>
                  </w:r>
                  <w:r>
                    <w:rPr>
                      <w:rFonts w:hint="default"/>
                      <w:lang w:val="en-US" w:eastAsia="zh-CN"/>
                    </w:rPr>
                    <w:t>进行硬化处理，定期洒水</w:t>
                  </w:r>
                  <w:r>
                    <w:rPr>
                      <w:rFonts w:hint="eastAsia"/>
                      <w:lang w:val="en-US" w:eastAsia="zh-CN"/>
                    </w:rPr>
                    <w:t>。</w:t>
                  </w:r>
                </w:p>
              </w:tc>
              <w:tc>
                <w:tcPr>
                  <w:tcW w:w="561" w:type="pct"/>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04" w:hRule="atLeast"/>
                <w:jc w:val="center"/>
              </w:trPr>
              <w:tc>
                <w:tcPr>
                  <w:tcW w:w="527" w:type="pct"/>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运输车辆清洗</w:t>
                  </w:r>
                </w:p>
              </w:tc>
              <w:tc>
                <w:tcPr>
                  <w:tcW w:w="2018" w:type="pct"/>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在工业料堆场出口处设置车辆清洗的专用场地，配备运输车辆冲洗保洁设施，冲洗沉积物必须及时进行清理和清运，冲洗污水必须经回收系统收集、处理，处理符合GB8978的规定后排放。</w:t>
                  </w:r>
                </w:p>
              </w:tc>
              <w:tc>
                <w:tcPr>
                  <w:tcW w:w="1893" w:type="pct"/>
                  <w:noWrap w:val="0"/>
                  <w:vAlign w:val="center"/>
                </w:tcPr>
                <w:p>
                  <w:pPr>
                    <w:pStyle w:val="15"/>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项目设备清洗冲洗废水沉淀后会用于混凝土搅拌系统。</w:t>
                  </w:r>
                </w:p>
              </w:tc>
              <w:tc>
                <w:tcPr>
                  <w:tcW w:w="561" w:type="pct"/>
                  <w:noWrap w:val="0"/>
                  <w:vAlign w:val="center"/>
                </w:tcPr>
                <w:p>
                  <w:pPr>
                    <w:pStyle w:val="1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04" w:hRule="atLeast"/>
                <w:jc w:val="center"/>
              </w:trPr>
              <w:tc>
                <w:tcPr>
                  <w:tcW w:w="527" w:type="pct"/>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其他管理要求</w:t>
                  </w:r>
                </w:p>
              </w:tc>
              <w:tc>
                <w:tcPr>
                  <w:tcW w:w="2018" w:type="pct"/>
                  <w:noWrap w:val="0"/>
                  <w:vAlign w:val="center"/>
                </w:tcPr>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（1）</w:t>
                  </w:r>
                  <w:r>
                    <w:rPr>
                      <w:rFonts w:hint="default"/>
                      <w:lang w:val="en-US" w:eastAsia="zh-CN"/>
                    </w:rPr>
                    <w:t>应管理和维护好料堆场堆存、装卸、输送和扬尘污染防治的设施、设备和场所，保证其正常运行和使用</w:t>
                  </w:r>
                  <w:r>
                    <w:rPr>
                      <w:rFonts w:hint="eastAsia"/>
                      <w:lang w:val="en-US" w:eastAsia="zh-CN"/>
                    </w:rPr>
                    <w:t>，</w:t>
                  </w:r>
                  <w:r>
                    <w:rPr>
                      <w:rFonts w:hint="default"/>
                      <w:lang w:val="en-US" w:eastAsia="zh-CN"/>
                    </w:rPr>
                    <w:t>并设立图形标志牌。</w:t>
                  </w:r>
                </w:p>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w:t>
                  </w:r>
                  <w:r>
                    <w:rPr>
                      <w:rFonts w:hint="default"/>
                      <w:lang w:val="en-US" w:eastAsia="zh-CN"/>
                    </w:rPr>
                    <w:t>宜在工业料堆场周边进行绿化，减少扬尘污染对环境的影响</w:t>
                  </w:r>
                </w:p>
              </w:tc>
              <w:tc>
                <w:tcPr>
                  <w:tcW w:w="1893" w:type="pct"/>
                  <w:noWrap w:val="0"/>
                  <w:vAlign w:val="center"/>
                </w:tcPr>
                <w:p>
                  <w:pPr>
                    <w:pStyle w:val="15"/>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（1）项目设专人负责厂区日常的环境管理工作，对散落地面的物料等进行及时清理和清洗，保持道路干净、整洁。</w:t>
                  </w:r>
                </w:p>
                <w:p>
                  <w:pPr>
                    <w:pStyle w:val="15"/>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（2）厂区进行绿化。</w:t>
                  </w:r>
                </w:p>
              </w:tc>
              <w:tc>
                <w:tcPr>
                  <w:tcW w:w="561" w:type="pct"/>
                  <w:noWrap w:val="0"/>
                  <w:vAlign w:val="center"/>
                </w:tcPr>
                <w:p>
                  <w:pPr>
                    <w:pStyle w:val="1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可行</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lang w:val="en-US" w:eastAsia="zh-CN"/>
              </w:rPr>
            </w:pPr>
            <w:r>
              <w:rPr>
                <w:rFonts w:hint="default"/>
                <w:lang w:val="en-US" w:eastAsia="zh-CN"/>
              </w:rPr>
              <w:t>由上表可知，本项目采取的无组织粉尘防治措施均符合《排污许可证申请与核发技术规范 水泥工业》（HJ847-2017）和《工业料堆场扬尘整治规范》（DB65/T4061-2017）中排污单位无组织排放控制要求，能够使项目厂界无组织粉尘排放</w:t>
            </w:r>
            <w:r>
              <w:rPr>
                <w:rFonts w:hint="eastAsia"/>
                <w:lang w:val="en-US" w:eastAsia="zh-CN"/>
              </w:rPr>
              <w:t>浓度</w:t>
            </w:r>
            <w:r>
              <w:rPr>
                <w:rFonts w:hint="default"/>
                <w:lang w:val="en-US" w:eastAsia="zh-CN"/>
              </w:rPr>
              <w:t>满足《水泥工业大气污染物排放标准》（GB4915-2013）表3的排放标准限值要求（无组织：颗粒物≤0.5mg/m</w:t>
            </w:r>
            <w:r>
              <w:rPr>
                <w:rFonts w:hint="default"/>
                <w:vertAlign w:val="superscript"/>
                <w:lang w:val="en-US" w:eastAsia="zh-CN"/>
              </w:rPr>
              <w:t>3</w:t>
            </w:r>
            <w:r>
              <w:rPr>
                <w:rFonts w:hint="default"/>
                <w:lang w:val="en-US" w:eastAsia="zh-CN"/>
              </w:rPr>
              <w:t>）。因此，项目</w:t>
            </w:r>
            <w:r>
              <w:rPr>
                <w:rFonts w:hint="eastAsia"/>
                <w:lang w:val="en-US" w:eastAsia="zh-CN"/>
              </w:rPr>
              <w:t>无组织</w:t>
            </w:r>
            <w:r>
              <w:rPr>
                <w:rFonts w:hint="default"/>
                <w:lang w:val="en-US" w:eastAsia="zh-CN"/>
              </w:rPr>
              <w:t>废气治理措施是合理可行的。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lang w:val="en-US" w:eastAsia="zh-CN"/>
              </w:rPr>
            </w:pPr>
            <w:r>
              <w:rPr>
                <w:rFonts w:hint="eastAsia"/>
                <w:lang w:val="en-US" w:eastAsia="zh-CN"/>
              </w:rPr>
              <w:t>1.4</w:t>
            </w:r>
            <w:r>
              <w:rPr>
                <w:rFonts w:hint="default"/>
                <w:lang w:val="en-US" w:eastAsia="zh-CN"/>
              </w:rPr>
              <w:t>监测计划</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 xml:space="preserve">根据《排污许可证申请与核发技术规范 </w:t>
            </w:r>
            <w:r>
              <w:rPr>
                <w:rFonts w:hint="eastAsia"/>
                <w:lang w:val="en-US" w:eastAsia="zh-CN"/>
              </w:rPr>
              <w:t xml:space="preserve"> </w:t>
            </w:r>
            <w:r>
              <w:rPr>
                <w:rFonts w:hint="default"/>
              </w:rPr>
              <w:t>水泥工业》（HJ847-2017）</w:t>
            </w:r>
            <w:r>
              <w:rPr>
                <w:rFonts w:hint="eastAsia"/>
                <w:lang w:val="en-US" w:eastAsia="zh-CN"/>
              </w:rPr>
              <w:t>及</w:t>
            </w:r>
            <w:r>
              <w:rPr>
                <w:rFonts w:hint="eastAsia"/>
                <w:lang w:eastAsia="zh-CN"/>
              </w:rPr>
              <w:t>《排污单位自行监测技术指南</w:t>
            </w:r>
            <w:r>
              <w:rPr>
                <w:rFonts w:hint="eastAsia"/>
                <w:lang w:val="en-US" w:eastAsia="zh-CN"/>
              </w:rPr>
              <w:t xml:space="preserve">  总则</w:t>
            </w:r>
            <w:r>
              <w:rPr>
                <w:rFonts w:hint="eastAsia"/>
                <w:lang w:eastAsia="zh-CN"/>
              </w:rPr>
              <w:t>》的</w:t>
            </w:r>
            <w:r>
              <w:rPr>
                <w:rFonts w:hint="default"/>
              </w:rPr>
              <w:t>相关规定，本次评价确定项目</w:t>
            </w:r>
            <w:r>
              <w:rPr>
                <w:rFonts w:hint="eastAsia"/>
                <w:lang w:eastAsia="zh-CN"/>
              </w:rPr>
              <w:t>废气</w:t>
            </w:r>
            <w:r>
              <w:rPr>
                <w:rFonts w:hint="default"/>
              </w:rPr>
              <w:t>监测计划见表</w:t>
            </w:r>
            <w:r>
              <w:rPr>
                <w:rFonts w:hint="eastAsia"/>
                <w:lang w:val="en-US" w:eastAsia="zh-CN"/>
              </w:rPr>
              <w:t>22</w:t>
            </w:r>
            <w:r>
              <w:rPr>
                <w:rFonts w:hint="default"/>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rPr>
            </w:pPr>
            <w:r>
              <w:rPr>
                <w:rFonts w:hint="default"/>
                <w:lang w:val="en-US" w:eastAsia="zh-CN"/>
              </w:rPr>
              <w:t>表</w:t>
            </w:r>
            <w:r>
              <w:rPr>
                <w:rFonts w:hint="eastAsia"/>
                <w:lang w:val="en-US" w:eastAsia="zh-CN"/>
              </w:rPr>
              <w:t>22</w:t>
            </w:r>
            <w:r>
              <w:rPr>
                <w:rFonts w:hint="default"/>
                <w:lang w:val="en-US" w:eastAsia="zh-CN"/>
              </w:rPr>
              <w:t xml:space="preserve">          </w:t>
            </w:r>
            <w:r>
              <w:rPr>
                <w:rFonts w:hint="eastAsia"/>
                <w:lang w:val="en-US" w:eastAsia="zh-CN"/>
              </w:rPr>
              <w:t xml:space="preserve">       </w:t>
            </w:r>
            <w:r>
              <w:rPr>
                <w:rFonts w:hint="default"/>
                <w:lang w:val="en-US" w:eastAsia="zh-CN"/>
              </w:rPr>
              <w:t>运营期</w:t>
            </w:r>
            <w:r>
              <w:rPr>
                <w:rFonts w:hint="eastAsia"/>
                <w:lang w:val="en-US" w:eastAsia="zh-CN"/>
              </w:rPr>
              <w:t>大气</w:t>
            </w:r>
            <w:r>
              <w:rPr>
                <w:rFonts w:hint="default"/>
                <w:lang w:val="en-US" w:eastAsia="zh-CN"/>
              </w:rPr>
              <w:t>污染物监测</w:t>
            </w:r>
            <w:r>
              <w:rPr>
                <w:rFonts w:hint="eastAsia"/>
                <w:lang w:val="en-US" w:eastAsia="zh-CN"/>
              </w:rPr>
              <w:t>计划表</w:t>
            </w:r>
          </w:p>
          <w:tbl>
            <w:tblPr>
              <w:tblStyle w:val="10"/>
              <w:tblW w:w="7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81"/>
              <w:gridCol w:w="1290"/>
              <w:gridCol w:w="4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74" w:type="dxa"/>
                  <w:vAlign w:val="center"/>
                </w:tcPr>
                <w:p>
                  <w:pPr>
                    <w:pStyle w:val="15"/>
                    <w:keepNext w:val="0"/>
                    <w:keepLines w:val="0"/>
                    <w:suppressLineNumbers w:val="0"/>
                    <w:spacing w:before="0" w:beforeAutospacing="0" w:after="0" w:afterAutospacing="0"/>
                    <w:ind w:left="0" w:right="0"/>
                    <w:rPr>
                      <w:rFonts w:hint="default"/>
                    </w:rPr>
                  </w:pPr>
                  <w:r>
                    <w:rPr>
                      <w:rFonts w:hint="default"/>
                    </w:rPr>
                    <w:t>监测点位</w:t>
                  </w:r>
                </w:p>
              </w:tc>
              <w:tc>
                <w:tcPr>
                  <w:tcW w:w="1581" w:type="dxa"/>
                  <w:vAlign w:val="center"/>
                </w:tcPr>
                <w:p>
                  <w:pPr>
                    <w:pStyle w:val="15"/>
                    <w:keepNext w:val="0"/>
                    <w:keepLines w:val="0"/>
                    <w:suppressLineNumbers w:val="0"/>
                    <w:spacing w:before="0" w:beforeAutospacing="0" w:after="0" w:afterAutospacing="0"/>
                    <w:ind w:left="0" w:right="0"/>
                    <w:rPr>
                      <w:rFonts w:hint="default"/>
                    </w:rPr>
                  </w:pPr>
                  <w:r>
                    <w:rPr>
                      <w:rFonts w:hint="default"/>
                    </w:rPr>
                    <w:t>监测</w:t>
                  </w:r>
                  <w:r>
                    <w:rPr>
                      <w:rFonts w:hint="eastAsia"/>
                      <w:lang w:val="en-US" w:eastAsia="zh-CN"/>
                    </w:rPr>
                    <w:t>指标</w:t>
                  </w:r>
                </w:p>
              </w:tc>
              <w:tc>
                <w:tcPr>
                  <w:tcW w:w="1290" w:type="dxa"/>
                  <w:vAlign w:val="center"/>
                </w:tcPr>
                <w:p>
                  <w:pPr>
                    <w:pStyle w:val="15"/>
                    <w:keepNext w:val="0"/>
                    <w:keepLines w:val="0"/>
                    <w:suppressLineNumbers w:val="0"/>
                    <w:spacing w:before="0" w:beforeAutospacing="0" w:after="0" w:afterAutospacing="0"/>
                    <w:ind w:left="0" w:right="0"/>
                    <w:rPr>
                      <w:rFonts w:hint="default"/>
                    </w:rPr>
                  </w:pPr>
                  <w:r>
                    <w:rPr>
                      <w:rFonts w:hint="default"/>
                    </w:rPr>
                    <w:t>监测频次</w:t>
                  </w:r>
                </w:p>
              </w:tc>
              <w:tc>
                <w:tcPr>
                  <w:tcW w:w="4001" w:type="dxa"/>
                  <w:vAlign w:val="center"/>
                </w:tcPr>
                <w:p>
                  <w:pPr>
                    <w:pStyle w:val="15"/>
                    <w:keepNext w:val="0"/>
                    <w:keepLines w:val="0"/>
                    <w:suppressLineNumbers w:val="0"/>
                    <w:spacing w:before="0" w:beforeAutospacing="0" w:after="0" w:afterAutospacing="0"/>
                    <w:ind w:left="0" w:right="0"/>
                    <w:rPr>
                      <w:rFonts w:hint="default"/>
                    </w:rPr>
                  </w:pPr>
                  <w:r>
                    <w:rPr>
                      <w:rFonts w:hint="default"/>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厂界</w:t>
                  </w:r>
                </w:p>
              </w:tc>
              <w:tc>
                <w:tcPr>
                  <w:tcW w:w="1581" w:type="dxa"/>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颗粒物</w:t>
                  </w:r>
                </w:p>
              </w:tc>
              <w:tc>
                <w:tcPr>
                  <w:tcW w:w="1290" w:type="dxa"/>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1次/年</w:t>
                  </w:r>
                </w:p>
              </w:tc>
              <w:tc>
                <w:tcPr>
                  <w:tcW w:w="4001" w:type="dxa"/>
                  <w:vAlign w:val="center"/>
                </w:tcPr>
                <w:p>
                  <w:pPr>
                    <w:pStyle w:val="15"/>
                    <w:keepNext w:val="0"/>
                    <w:keepLines w:val="0"/>
                    <w:suppressLineNumbers w:val="0"/>
                    <w:spacing w:before="0" w:beforeAutospacing="0" w:after="0" w:afterAutospacing="0"/>
                    <w:ind w:left="0" w:right="0"/>
                    <w:rPr>
                      <w:rFonts w:hint="eastAsia"/>
                    </w:rPr>
                  </w:pPr>
                  <w:r>
                    <w:rPr>
                      <w:rFonts w:hint="eastAsia"/>
                      <w:lang w:val="en-US" w:eastAsia="zh-CN"/>
                    </w:rPr>
                    <w:t>《水泥工业大气污染物排放标准》（GB4915-2013）表3的排放限值</w:t>
                  </w:r>
                </w:p>
              </w:tc>
            </w:tr>
          </w:tbl>
          <w:p>
            <w:pPr>
              <w:keepNext w:val="0"/>
              <w:keepLines w:val="0"/>
              <w:suppressLineNumbers w:val="0"/>
              <w:spacing w:before="0" w:beforeAutospacing="0" w:after="0" w:afterAutospacing="0"/>
              <w:ind w:left="0" w:right="0" w:firstLine="0" w:firstLineChars="0"/>
              <w:rPr>
                <w:rFonts w:hint="default"/>
              </w:rPr>
            </w:pPr>
            <w:r>
              <w:rPr>
                <w:rFonts w:hint="eastAsia"/>
              </w:rPr>
              <w:t>2、水环境影响及保护措施</w:t>
            </w:r>
          </w:p>
          <w:p>
            <w:pPr>
              <w:keepNext w:val="0"/>
              <w:keepLines w:val="0"/>
              <w:suppressLineNumbers w:val="0"/>
              <w:spacing w:before="0" w:beforeAutospacing="0" w:after="0" w:afterAutospacing="0"/>
              <w:ind w:left="0" w:right="0" w:firstLine="420"/>
              <w:rPr>
                <w:rFonts w:hint="eastAsia"/>
                <w:lang w:val="en-US" w:eastAsia="zh-CN"/>
              </w:rPr>
            </w:pPr>
            <w:r>
              <w:rPr>
                <w:rFonts w:hint="eastAsia"/>
                <w:lang w:val="en-US" w:eastAsia="zh-CN"/>
              </w:rPr>
              <w:t>2.1废水产生及排放情况</w:t>
            </w:r>
          </w:p>
          <w:p>
            <w:pPr>
              <w:keepNext w:val="0"/>
              <w:keepLines w:val="0"/>
              <w:suppressLineNumbers w:val="0"/>
              <w:spacing w:before="0" w:beforeAutospacing="0" w:after="0" w:afterAutospacing="0"/>
              <w:ind w:left="0" w:right="0" w:firstLine="420"/>
              <w:rPr>
                <w:rFonts w:hint="eastAsia"/>
              </w:rPr>
            </w:pPr>
            <w:r>
              <w:rPr>
                <w:rFonts w:hint="eastAsia"/>
              </w:rPr>
              <w:t>（1）搅拌机清洗废水</w:t>
            </w:r>
          </w:p>
          <w:p>
            <w:pPr>
              <w:keepNext w:val="0"/>
              <w:keepLines w:val="0"/>
              <w:suppressLineNumbers w:val="0"/>
              <w:spacing w:before="0" w:beforeAutospacing="0" w:after="0" w:afterAutospacing="0"/>
              <w:ind w:left="0" w:right="0" w:firstLine="420"/>
              <w:rPr>
                <w:rFonts w:hint="default"/>
              </w:rPr>
            </w:pPr>
            <w:r>
              <w:rPr>
                <w:rFonts w:hint="eastAsia"/>
              </w:rPr>
              <w:t>搅拌机在生产期间</w:t>
            </w:r>
            <w:r>
              <w:rPr>
                <w:rFonts w:hint="eastAsia"/>
                <w:lang w:val="en-US" w:eastAsia="zh-CN"/>
              </w:rPr>
              <w:t>每日进行</w:t>
            </w:r>
            <w:r>
              <w:rPr>
                <w:rFonts w:hint="eastAsia"/>
              </w:rPr>
              <w:t>清洗，产生清洗废水。按搅拌机平均每天冲洗水一次，每次冲洗水1.0m</w:t>
            </w:r>
            <w:r>
              <w:rPr>
                <w:rFonts w:hint="eastAsia"/>
                <w:vertAlign w:val="superscript"/>
              </w:rPr>
              <w:t>3</w:t>
            </w:r>
            <w:r>
              <w:rPr>
                <w:rFonts w:hint="eastAsia"/>
              </w:rPr>
              <w:t>计，污水产生量按用水量的85%计，污水产生量为</w:t>
            </w:r>
            <w:r>
              <w:rPr>
                <w:rFonts w:hint="eastAsia"/>
                <w:lang w:val="en-US" w:eastAsia="zh-CN"/>
              </w:rPr>
              <w:t>0.8</w:t>
            </w:r>
            <w:r>
              <w:rPr>
                <w:rFonts w:hint="eastAsia"/>
              </w:rPr>
              <w:t>5m</w:t>
            </w:r>
            <w:r>
              <w:rPr>
                <w:rFonts w:hint="eastAsia"/>
                <w:vertAlign w:val="superscript"/>
              </w:rPr>
              <w:t>3</w:t>
            </w:r>
            <w:r>
              <w:rPr>
                <w:rFonts w:hint="eastAsia"/>
              </w:rPr>
              <w:t>/d，</w:t>
            </w:r>
            <w:r>
              <w:rPr>
                <w:rFonts w:hint="eastAsia"/>
                <w:lang w:val="en-US" w:eastAsia="zh-CN"/>
              </w:rPr>
              <w:t>272</w:t>
            </w:r>
            <w:r>
              <w:rPr>
                <w:rFonts w:hint="eastAsia"/>
              </w:rPr>
              <w:t>m</w:t>
            </w:r>
            <w:r>
              <w:rPr>
                <w:rFonts w:hint="eastAsia"/>
                <w:vertAlign w:val="superscript"/>
              </w:rPr>
              <w:t>3</w:t>
            </w:r>
            <w:r>
              <w:rPr>
                <w:rFonts w:hint="eastAsia"/>
              </w:rPr>
              <w:t>/a，主要污染因子为SS，浓度约为3000mg/L。</w:t>
            </w:r>
          </w:p>
          <w:p>
            <w:pPr>
              <w:keepNext w:val="0"/>
              <w:keepLines w:val="0"/>
              <w:suppressLineNumbers w:val="0"/>
              <w:spacing w:before="0" w:beforeAutospacing="0" w:after="0" w:afterAutospacing="0"/>
              <w:ind w:left="0" w:right="0" w:firstLine="42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清洗废水夹带残留混凝土排出，混凝土残留量约50kg/d·台，搅拌机残留混凝土约</w:t>
            </w:r>
            <w:r>
              <w:rPr>
                <w:rFonts w:hint="eastAsia"/>
                <w:color w:val="000000" w:themeColor="text1"/>
                <w:lang w:val="en-US" w:eastAsia="zh-CN"/>
                <w14:textFill>
                  <w14:solidFill>
                    <w14:schemeClr w14:val="tx1"/>
                  </w14:solidFill>
                </w14:textFill>
              </w:rPr>
              <w:t>16</w:t>
            </w:r>
            <w:r>
              <w:rPr>
                <w:rFonts w:hint="eastAsia"/>
                <w:color w:val="000000" w:themeColor="text1"/>
                <w14:textFill>
                  <w14:solidFill>
                    <w14:schemeClr w14:val="tx1"/>
                  </w14:solidFill>
                </w14:textFill>
              </w:rPr>
              <w:t>t/a，残留混凝土全部回用于生产。</w:t>
            </w:r>
          </w:p>
          <w:p>
            <w:pPr>
              <w:keepNext w:val="0"/>
              <w:keepLines w:val="0"/>
              <w:suppressLineNumbers w:val="0"/>
              <w:spacing w:before="0" w:beforeAutospacing="0" w:after="0" w:afterAutospacing="0"/>
              <w:ind w:left="0" w:right="0"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养护废水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蒸汽养护冷凝低温水产生量约19440</w:t>
            </w:r>
            <w:r>
              <w:rPr>
                <w:rFonts w:hint="default"/>
                <w:color w:val="000000" w:themeColor="text1"/>
                <w:highlight w:val="none"/>
                <w14:textFill>
                  <w14:solidFill>
                    <w14:schemeClr w14:val="tx1"/>
                  </w14:solidFill>
                </w14:textFill>
              </w:rPr>
              <w:t>m</w:t>
            </w:r>
            <w:r>
              <w:rPr>
                <w:rFonts w:hint="default"/>
                <w:color w:val="000000" w:themeColor="text1"/>
                <w:highlight w:val="none"/>
                <w:vertAlign w:val="superscript"/>
                <w14:textFill>
                  <w14:solidFill>
                    <w14:schemeClr w14:val="tx1"/>
                  </w14:solidFill>
                </w14:textFill>
              </w:rPr>
              <w:t>3</w:t>
            </w:r>
            <w:r>
              <w:rPr>
                <w:rFonts w:hint="default"/>
                <w:color w:val="000000" w:themeColor="text1"/>
                <w:highlight w:val="none"/>
                <w14:textFill>
                  <w14:solidFill>
                    <w14:schemeClr w14:val="tx1"/>
                  </w14:solidFill>
                </w14:textFill>
              </w:rPr>
              <w:t>/a</w:t>
            </w:r>
            <w:r>
              <w:rPr>
                <w:rFonts w:hint="eastAsia"/>
                <w:color w:val="000000" w:themeColor="text1"/>
                <w:highlight w:val="none"/>
                <w:lang w:val="en-US" w:eastAsia="zh-CN"/>
                <w14:textFill>
                  <w14:solidFill>
                    <w14:schemeClr w14:val="tx1"/>
                  </w14:solidFill>
                </w14:textFill>
              </w:rPr>
              <w:t>（光伏桩产品带走约10%），经低温水池收集后泵至混凝土拌合生产</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综合利用</w:t>
            </w:r>
            <w:r>
              <w:rPr>
                <w:rFonts w:hint="eastAsia"/>
                <w:color w:val="000000" w:themeColor="text1"/>
                <w:highlight w:val="none"/>
                <w14:textFill>
                  <w14:solidFill>
                    <w14:schemeClr w14:val="tx1"/>
                  </w14:solidFill>
                </w14:textFill>
              </w:rPr>
              <w:t>不外排。</w:t>
            </w:r>
          </w:p>
          <w:p>
            <w:pPr>
              <w:keepNext w:val="0"/>
              <w:keepLines w:val="0"/>
              <w:suppressLineNumbers w:val="0"/>
              <w:spacing w:before="0" w:beforeAutospacing="0" w:after="0" w:afterAutospacing="0"/>
              <w:ind w:left="0" w:right="0" w:firstLine="420"/>
              <w:rPr>
                <w:rFonts w:hint="default"/>
              </w:rPr>
            </w:pPr>
            <w:r>
              <w:rPr>
                <w:rFonts w:hint="default"/>
              </w:rPr>
              <w:t>（</w:t>
            </w:r>
            <w:r>
              <w:rPr>
                <w:rFonts w:hint="eastAsia"/>
                <w:lang w:val="en-US" w:eastAsia="zh-CN"/>
              </w:rPr>
              <w:t>3</w:t>
            </w:r>
            <w:r>
              <w:rPr>
                <w:rFonts w:hint="default"/>
              </w:rPr>
              <w:t>）生活污水</w:t>
            </w:r>
          </w:p>
          <w:p>
            <w:pPr>
              <w:keepNext w:val="0"/>
              <w:keepLines w:val="0"/>
              <w:suppressLineNumbers w:val="0"/>
              <w:spacing w:before="0" w:beforeAutospacing="0" w:after="0" w:afterAutospacing="0" w:line="360" w:lineRule="auto"/>
              <w:ind w:left="0" w:right="0" w:firstLine="420" w:firstLineChars="200"/>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项目劳动定员</w:t>
            </w:r>
            <w:r>
              <w:rPr>
                <w:rFonts w:hint="eastAsia"/>
                <w:color w:val="000000" w:themeColor="text1"/>
                <w:lang w:val="en-US" w:eastAsia="zh-CN"/>
                <w14:textFill>
                  <w14:solidFill>
                    <w14:schemeClr w14:val="tx1"/>
                  </w14:solidFill>
                </w14:textFill>
              </w:rPr>
              <w:t>150</w:t>
            </w:r>
            <w:r>
              <w:rPr>
                <w:rFonts w:hint="default"/>
                <w:color w:val="000000" w:themeColor="text1"/>
                <w14:textFill>
                  <w14:solidFill>
                    <w14:schemeClr w14:val="tx1"/>
                  </w14:solidFill>
                </w14:textFill>
              </w:rPr>
              <w:t>人，生活污水产生量约</w:t>
            </w:r>
            <w:r>
              <w:rPr>
                <w:rFonts w:hint="eastAsia"/>
                <w:color w:val="000000" w:themeColor="text1"/>
                <w:lang w:val="en-US" w:eastAsia="zh-CN"/>
                <w14:textFill>
                  <w14:solidFill>
                    <w14:schemeClr w14:val="tx1"/>
                  </w14:solidFill>
                </w14:textFill>
              </w:rPr>
              <w:t>3072m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/a。生活污水水质一般为：CODCr</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300mg/L、</w:t>
            </w:r>
            <w:r>
              <w:rPr>
                <w:rFonts w:hint="default"/>
                <w:color w:val="000000" w:themeColor="text1"/>
                <w:lang w:val="en-US" w:eastAsia="zh-CN"/>
                <w14:textFill>
                  <w14:solidFill>
                    <w14:schemeClr w14:val="tx1"/>
                  </w14:solidFill>
                </w14:textFill>
              </w:rPr>
              <w:t>BOD</w:t>
            </w:r>
            <w:r>
              <w:rPr>
                <w:rFonts w:hint="default"/>
                <w:color w:val="000000" w:themeColor="text1"/>
                <w:vertAlign w:val="subscript"/>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：2</w:t>
            </w:r>
            <w:r>
              <w:rPr>
                <w:rFonts w:hint="default"/>
                <w:color w:val="000000" w:themeColor="text1"/>
                <w14:textFill>
                  <w14:solidFill>
                    <w14:schemeClr w14:val="tx1"/>
                  </w14:solidFill>
                </w14:textFill>
              </w:rPr>
              <w:t>00mg/L</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SS：50</w:t>
            </w:r>
            <w:r>
              <w:rPr>
                <w:rFonts w:hint="default"/>
                <w:color w:val="000000" w:themeColor="text1"/>
                <w14:textFill>
                  <w14:solidFill>
                    <w14:schemeClr w14:val="tx1"/>
                  </w14:solidFill>
                </w14:textFill>
              </w:rPr>
              <w:t>0mg/L</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NH</w:t>
            </w:r>
            <w:r>
              <w:rPr>
                <w:rFonts w:hint="default"/>
                <w:color w:val="000000" w:themeColor="text1"/>
                <w:vertAlign w:val="subscript"/>
                <w14:textFill>
                  <w14:solidFill>
                    <w14:schemeClr w14:val="tx1"/>
                  </w14:solidFill>
                </w14:textFill>
              </w:rPr>
              <w:t>3</w:t>
            </w:r>
            <w:r>
              <w:rPr>
                <w:rFonts w:hint="default"/>
                <w:color w:val="000000" w:themeColor="text1"/>
                <w14:textFill>
                  <w14:solidFill>
                    <w14:schemeClr w14:val="tx1"/>
                  </w14:solidFill>
                </w14:textFill>
              </w:rPr>
              <w:t>-N</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25mg/L，污染物产生量为 CODCr</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922</w:t>
            </w:r>
            <w:r>
              <w:rPr>
                <w:rFonts w:hint="default"/>
                <w:color w:val="000000" w:themeColor="text1"/>
                <w14:textFill>
                  <w14:solidFill>
                    <w14:schemeClr w14:val="tx1"/>
                  </w14:solidFill>
                </w14:textFill>
              </w:rPr>
              <w:t>t/a、</w:t>
            </w:r>
            <w:r>
              <w:rPr>
                <w:rFonts w:hint="default"/>
                <w:color w:val="000000" w:themeColor="text1"/>
                <w:lang w:val="en-US" w:eastAsia="zh-CN"/>
                <w14:textFill>
                  <w14:solidFill>
                    <w14:schemeClr w14:val="tx1"/>
                  </w14:solidFill>
                </w14:textFill>
              </w:rPr>
              <w:t>BOD5：</w:t>
            </w:r>
            <w:r>
              <w:rPr>
                <w:rFonts w:hint="default"/>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614</w:t>
            </w:r>
            <w:r>
              <w:rPr>
                <w:rFonts w:hint="default"/>
                <w:color w:val="000000" w:themeColor="text1"/>
                <w14:textFill>
                  <w14:solidFill>
                    <w14:schemeClr w14:val="tx1"/>
                  </w14:solidFill>
                </w14:textFill>
              </w:rPr>
              <w:t>t/a</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SS：</w:t>
            </w:r>
            <w:r>
              <w:rPr>
                <w:rFonts w:hint="eastAsia"/>
                <w:color w:val="000000" w:themeColor="text1"/>
                <w:lang w:val="en-US" w:eastAsia="zh-CN"/>
                <w14:textFill>
                  <w14:solidFill>
                    <w14:schemeClr w14:val="tx1"/>
                  </w14:solidFill>
                </w14:textFill>
              </w:rPr>
              <w:t>1.536</w:t>
            </w:r>
            <w:r>
              <w:rPr>
                <w:rFonts w:hint="default"/>
                <w:color w:val="000000" w:themeColor="text1"/>
                <w14:textFill>
                  <w14:solidFill>
                    <w14:schemeClr w14:val="tx1"/>
                  </w14:solidFill>
                </w14:textFill>
              </w:rPr>
              <w:t>t/a</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NH3-N</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077</w:t>
            </w:r>
            <w:r>
              <w:rPr>
                <w:rFonts w:hint="default"/>
                <w:color w:val="000000" w:themeColor="text1"/>
                <w14:textFill>
                  <w14:solidFill>
                    <w14:schemeClr w14:val="tx1"/>
                  </w14:solidFill>
                </w14:textFill>
              </w:rPr>
              <w:t>t/a</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生活污水</w:t>
            </w:r>
            <w:r>
              <w:rPr>
                <w:rFonts w:hint="eastAsia"/>
                <w:color w:val="000000" w:themeColor="text1"/>
                <w:lang w:val="en-US" w:eastAsia="zh-CN"/>
                <w14:textFill>
                  <w14:solidFill>
                    <w14:schemeClr w14:val="tx1"/>
                  </w14:solidFill>
                </w14:textFill>
              </w:rPr>
              <w:t>排入园区污水管网，最终进入</w:t>
            </w:r>
            <w:r>
              <w:rPr>
                <w:rFonts w:hint="default" w:ascii="Times New Roman" w:hAnsi="Times New Roman" w:cs="Times New Roman"/>
                <w:color w:val="000000" w:themeColor="text1"/>
                <w14:textFill>
                  <w14:solidFill>
                    <w14:schemeClr w14:val="tx1"/>
                  </w14:solidFill>
                </w14:textFill>
              </w:rPr>
              <w:t>胡杨河经济技术开发区南园</w:t>
            </w:r>
            <w:r>
              <w:rPr>
                <w:rFonts w:hint="eastAsia"/>
                <w:color w:val="000000" w:themeColor="text1"/>
                <w:lang w:val="en-US" w:eastAsia="zh-CN"/>
                <w14:textFill>
                  <w14:solidFill>
                    <w14:schemeClr w14:val="tx1"/>
                  </w14:solidFill>
                </w14:textFill>
              </w:rPr>
              <w:t>污水处理厂。</w:t>
            </w:r>
          </w:p>
          <w:p>
            <w:pPr>
              <w:keepNext w:val="0"/>
              <w:keepLines w:val="0"/>
              <w:suppressLineNumbers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2.2依托可行性分析</w:t>
            </w:r>
          </w:p>
          <w:p>
            <w:pPr>
              <w:keepNext w:val="0"/>
              <w:keepLines w:val="0"/>
              <w:suppressLineNumbers w:val="0"/>
              <w:bidi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胡杨河经济技术开发区南园区现有一座污水处理厂，位于南园区北侧。污水处理厂中心地理坐标：E 84°53′3.667″，N 44°51′46.184″，设计处理规模3万m</w:t>
            </w:r>
            <w:r>
              <w:rPr>
                <w:rFonts w:hint="default" w:ascii="Times New Roman" w:hAnsi="Times New Roman" w:cs="Times New Roman"/>
                <w:vertAlign w:val="superscript"/>
              </w:rPr>
              <w:t>3</w:t>
            </w:r>
            <w:r>
              <w:rPr>
                <w:rFonts w:hint="default" w:ascii="Times New Roman" w:hAnsi="Times New Roman" w:cs="Times New Roman"/>
              </w:rPr>
              <w:t>/d，目前南园区污水处理厂采用的处理工艺是“预处理→生化处理→深度处理”工艺，其中预处理单元采用“混凝沉淀+气浮”工艺，生化单元采用“水解酸化+A</w:t>
            </w:r>
            <w:r>
              <w:rPr>
                <w:rFonts w:hint="default" w:ascii="Times New Roman" w:hAnsi="Times New Roman" w:cs="Times New Roman"/>
                <w:vertAlign w:val="superscript"/>
              </w:rPr>
              <w:t>2</w:t>
            </w:r>
            <w:r>
              <w:rPr>
                <w:rFonts w:hint="default" w:ascii="Times New Roman" w:hAnsi="Times New Roman" w:cs="Times New Roman"/>
              </w:rPr>
              <w:t>/O”工艺，深度处理单元采用“臭氧+曝气生物滤池”工艺，</w:t>
            </w:r>
            <w:r>
              <w:rPr>
                <w:rFonts w:hint="default"/>
                <w:color w:val="auto"/>
              </w:rPr>
              <w:t>出水达到《城镇污水处理厂污染物排放标准》（GB18918-2002） 一级A标准后，通过中水管线排至中水库暂存。</w:t>
            </w:r>
            <w:r>
              <w:rPr>
                <w:rFonts w:hint="default" w:ascii="Times New Roman" w:hAnsi="Times New Roman" w:cs="Times New Roman"/>
              </w:rPr>
              <w:t>污泥采用“浓缩+双隔膜压滤机脱水”</w:t>
            </w:r>
            <w:r>
              <w:rPr>
                <w:rFonts w:hint="eastAsia" w:cs="Times New Roman"/>
                <w:lang w:val="en-US" w:eastAsia="zh-CN"/>
              </w:rPr>
              <w:t>处理</w:t>
            </w:r>
            <w:r>
              <w:rPr>
                <w:rFonts w:hint="default" w:ascii="Times New Roman" w:hAnsi="Times New Roman" w:cs="Times New Roman"/>
              </w:rPr>
              <w:t>工艺，然后卫生填埋处理。</w:t>
            </w:r>
          </w:p>
          <w:p>
            <w:pPr>
              <w:keepNext w:val="0"/>
              <w:keepLines w:val="0"/>
              <w:suppressLineNumbers w:val="0"/>
              <w:bidi w:val="0"/>
              <w:spacing w:before="0" w:beforeAutospacing="0" w:after="0" w:afterAutospacing="0"/>
              <w:ind w:left="0" w:right="0"/>
              <w:rPr>
                <w:rFonts w:hint="eastAsia" w:ascii="Times New Roman" w:hAnsi="Times New Roman" w:eastAsia="宋体" w:cs="Times New Roman"/>
                <w:lang w:eastAsia="zh-CN"/>
              </w:rPr>
            </w:pPr>
            <w:r>
              <w:rPr>
                <w:rFonts w:hint="default" w:ascii="Times New Roman" w:hAnsi="Times New Roman" w:cs="Times New Roman"/>
              </w:rPr>
              <w:t xml:space="preserve"> 根据调查，南园区现有污水处理厂全年日平均处理水量约5400m</w:t>
            </w:r>
            <w:r>
              <w:rPr>
                <w:rFonts w:hint="default" w:ascii="Times New Roman" w:hAnsi="Times New Roman" w:cs="Times New Roman"/>
                <w:vertAlign w:val="superscript"/>
              </w:rPr>
              <w:t>3</w:t>
            </w:r>
            <w:r>
              <w:rPr>
                <w:rFonts w:hint="default" w:ascii="Times New Roman" w:hAnsi="Times New Roman" w:cs="Times New Roman"/>
              </w:rPr>
              <w:t>/d，远小于3万m</w:t>
            </w:r>
            <w:r>
              <w:rPr>
                <w:rFonts w:hint="default" w:ascii="Times New Roman" w:hAnsi="Times New Roman" w:cs="Times New Roman"/>
                <w:vertAlign w:val="superscript"/>
              </w:rPr>
              <w:t>3</w:t>
            </w:r>
            <w:r>
              <w:rPr>
                <w:rFonts w:hint="default" w:ascii="Times New Roman" w:hAnsi="Times New Roman" w:cs="Times New Roman"/>
              </w:rPr>
              <w:t>/d的设计规模，尚富余较大的处理能力，完全能消纳项目区废水</w:t>
            </w:r>
            <w:r>
              <w:rPr>
                <w:rFonts w:hint="eastAsia" w:cs="Times New Roman"/>
                <w:lang w:val="en-US" w:eastAsia="zh-CN"/>
              </w:rPr>
              <w:t>9.6</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/d，项目生活污水依托胡杨河经济技术开发区南园区污水处理厂可行</w:t>
            </w:r>
            <w:r>
              <w:rPr>
                <w:rFonts w:hint="eastAsia" w:cs="Times New Roman"/>
                <w:lang w:eastAsia="zh-CN"/>
              </w:rPr>
              <w:t>。</w:t>
            </w:r>
            <w:bookmarkStart w:id="5" w:name="_GoBack"/>
            <w:bookmarkEnd w:id="5"/>
          </w:p>
          <w:p>
            <w:pPr>
              <w:keepNext w:val="0"/>
              <w:keepLines w:val="0"/>
              <w:suppressLineNumbers w:val="0"/>
              <w:spacing w:before="0" w:beforeAutospacing="0" w:after="0" w:afterAutospacing="0"/>
              <w:ind w:left="0" w:right="0" w:firstLine="0" w:firstLineChars="0"/>
              <w:rPr>
                <w:rFonts w:hint="default"/>
              </w:rPr>
            </w:pPr>
            <w:r>
              <w:rPr>
                <w:rFonts w:hint="eastAsia"/>
              </w:rPr>
              <w:t>3、声环境影响及保护措施</w:t>
            </w:r>
          </w:p>
          <w:p>
            <w:pPr>
              <w:keepNext w:val="0"/>
              <w:keepLines w:val="0"/>
              <w:suppressLineNumbers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3.1噪声源及源强</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本项目噪声主要来源于搅拌机、运输车辆、装载机、皮带输送机、物料传输装置运转过程中产生的噪声。根据对同类企业的类比调查， 其噪声源强在</w:t>
            </w:r>
            <w:r>
              <w:rPr>
                <w:rFonts w:hint="eastAsia"/>
                <w:lang w:val="en-US" w:eastAsia="zh-CN"/>
              </w:rPr>
              <w:t>70</w:t>
            </w:r>
            <w:r>
              <w:rPr>
                <w:rFonts w:hint="default"/>
              </w:rPr>
              <w:t>dB</w:t>
            </w:r>
            <w:r>
              <w:rPr>
                <w:rFonts w:hint="eastAsia"/>
              </w:rPr>
              <w:t>（A）</w:t>
            </w:r>
            <w:r>
              <w:rPr>
                <w:rFonts w:hint="default"/>
              </w:rPr>
              <w:t>～9</w:t>
            </w:r>
            <w:r>
              <w:rPr>
                <w:rFonts w:hint="eastAsia"/>
                <w:lang w:val="en-US" w:eastAsia="zh-CN"/>
              </w:rPr>
              <w:t>0</w:t>
            </w:r>
            <w:r>
              <w:rPr>
                <w:rFonts w:hint="default"/>
              </w:rPr>
              <w:t>dB</w:t>
            </w:r>
            <w:r>
              <w:rPr>
                <w:rFonts w:hint="eastAsia"/>
              </w:rPr>
              <w:t>（A）</w:t>
            </w:r>
            <w:r>
              <w:rPr>
                <w:rFonts w:hint="default"/>
              </w:rPr>
              <w:t>之间。项目噪声污染源源强及治理措施见表</w:t>
            </w:r>
            <w:r>
              <w:rPr>
                <w:rFonts w:hint="eastAsia"/>
                <w:lang w:val="en-US" w:eastAsia="zh-CN"/>
              </w:rPr>
              <w:t>23</w:t>
            </w:r>
            <w:r>
              <w:rPr>
                <w:rFonts w:hint="default"/>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rPr>
            </w:pPr>
            <w:r>
              <w:rPr>
                <w:rFonts w:hint="eastAsia"/>
              </w:rPr>
              <w:t>表</w:t>
            </w:r>
            <w:r>
              <w:rPr>
                <w:rFonts w:hint="eastAsia"/>
                <w:lang w:val="en-US" w:eastAsia="zh-CN"/>
              </w:rPr>
              <w:t xml:space="preserve">23 </w:t>
            </w:r>
            <w:r>
              <w:rPr>
                <w:rFonts w:hint="eastAsia"/>
              </w:rPr>
              <w:t xml:space="preserve">                 项目噪声设备及其源强一览表</w:t>
            </w:r>
          </w:p>
          <w:tbl>
            <w:tblPr>
              <w:tblStyle w:val="10"/>
              <w:tblW w:w="5000" w:type="pct"/>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92"/>
              <w:gridCol w:w="1733"/>
              <w:gridCol w:w="1207"/>
              <w:gridCol w:w="1757"/>
              <w:gridCol w:w="1757"/>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设备名称</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噪声声源 dB（A）</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所在工序</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运行情况</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持续时间</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搅拌机</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75</w:t>
                  </w:r>
                  <w:r>
                    <w:rPr>
                      <w:rFonts w:hint="default"/>
                    </w:rPr>
                    <w:t>～</w:t>
                  </w:r>
                  <w:r>
                    <w:rPr>
                      <w:rFonts w:hint="eastAsia"/>
                      <w:lang w:val="en-US" w:eastAsia="zh-CN"/>
                    </w:rPr>
                    <w:t>85</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搅拌站</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间歇</w:t>
                  </w:r>
                </w:p>
              </w:tc>
              <w:tc>
                <w:tcPr>
                  <w:tcW w:w="1105" w:type="pct"/>
                  <w:vMerge w:val="restar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24h正常生产</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运输车辆</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eastAsia="宋体"/>
                      <w:lang w:eastAsia="zh-CN"/>
                    </w:rPr>
                  </w:pPr>
                  <w:r>
                    <w:rPr>
                      <w:rFonts w:hint="eastAsia"/>
                      <w:lang w:val="en-US" w:eastAsia="zh-CN"/>
                    </w:rPr>
                    <w:t>70</w:t>
                  </w:r>
                  <w:r>
                    <w:rPr>
                      <w:rFonts w:hint="default"/>
                    </w:rPr>
                    <w:t>～8</w:t>
                  </w:r>
                  <w:r>
                    <w:rPr>
                      <w:rFonts w:hint="eastAsia"/>
                      <w:lang w:val="en-US" w:eastAsia="zh-CN"/>
                    </w:rPr>
                    <w:t>0</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运输过程</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rPr>
                  </w:pPr>
                  <w:r>
                    <w:rPr>
                      <w:rFonts w:hint="eastAsia"/>
                    </w:rPr>
                    <w:t>间歇</w:t>
                  </w:r>
                </w:p>
              </w:tc>
              <w:tc>
                <w:tcPr>
                  <w:tcW w:w="1105" w:type="pct"/>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装载机</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eastAsia="宋体"/>
                      <w:lang w:val="en-US" w:eastAsia="zh-CN"/>
                    </w:rPr>
                  </w:pPr>
                  <w:r>
                    <w:rPr>
                      <w:rFonts w:hint="eastAsia"/>
                      <w:lang w:val="en-US" w:eastAsia="zh-CN"/>
                    </w:rPr>
                    <w:t>70</w:t>
                  </w:r>
                  <w:r>
                    <w:rPr>
                      <w:rFonts w:hint="default"/>
                    </w:rPr>
                    <w:t>～</w:t>
                  </w:r>
                  <w:r>
                    <w:rPr>
                      <w:rFonts w:hint="eastAsia"/>
                      <w:lang w:val="en-US" w:eastAsia="zh-CN"/>
                    </w:rPr>
                    <w:t>80</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物料装载</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rPr>
                  </w:pPr>
                  <w:r>
                    <w:rPr>
                      <w:rFonts w:hint="eastAsia"/>
                    </w:rPr>
                    <w:t>间歇</w:t>
                  </w:r>
                </w:p>
              </w:tc>
              <w:tc>
                <w:tcPr>
                  <w:tcW w:w="1105" w:type="pct"/>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输送机</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default" w:eastAsia="宋体"/>
                      <w:lang w:val="en-US" w:eastAsia="zh-CN"/>
                    </w:rPr>
                  </w:pPr>
                  <w:r>
                    <w:rPr>
                      <w:rFonts w:hint="eastAsia"/>
                      <w:lang w:val="en-US" w:eastAsia="zh-CN"/>
                    </w:rPr>
                    <w:t>65</w:t>
                  </w:r>
                  <w:r>
                    <w:rPr>
                      <w:rFonts w:hint="default"/>
                    </w:rPr>
                    <w:t>～</w:t>
                  </w:r>
                  <w:r>
                    <w:rPr>
                      <w:rFonts w:hint="eastAsia"/>
                      <w:lang w:val="en-US" w:eastAsia="zh-CN"/>
                    </w:rPr>
                    <w:t>75</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物料传输</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eastAsia="宋体"/>
                      <w:lang w:eastAsia="zh-CN"/>
                    </w:rPr>
                  </w:pPr>
                  <w:r>
                    <w:rPr>
                      <w:rFonts w:hint="eastAsia"/>
                      <w:color w:val="auto"/>
                      <w:highlight w:val="none"/>
                      <w:lang w:val="en-US" w:eastAsia="zh-CN"/>
                    </w:rPr>
                    <w:t>间歇</w:t>
                  </w:r>
                </w:p>
              </w:tc>
              <w:tc>
                <w:tcPr>
                  <w:tcW w:w="1105" w:type="pct"/>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938"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空压机</w:t>
                  </w:r>
                </w:p>
              </w:tc>
              <w:tc>
                <w:tcPr>
                  <w:tcW w:w="1090"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eastAsia="宋体"/>
                      <w:lang w:eastAsia="zh-CN"/>
                    </w:rPr>
                  </w:pPr>
                  <w:r>
                    <w:rPr>
                      <w:rFonts w:hint="eastAsia"/>
                      <w:lang w:val="en-US" w:eastAsia="zh-CN"/>
                    </w:rPr>
                    <w:t>75</w:t>
                  </w:r>
                  <w:r>
                    <w:rPr>
                      <w:rFonts w:hint="default"/>
                    </w:rPr>
                    <w:t>～8</w:t>
                  </w:r>
                  <w:r>
                    <w:rPr>
                      <w:rFonts w:hint="eastAsia"/>
                      <w:lang w:val="en-US" w:eastAsia="zh-CN"/>
                    </w:rPr>
                    <w:t>5</w:t>
                  </w:r>
                </w:p>
              </w:tc>
              <w:tc>
                <w:tcPr>
                  <w:tcW w:w="759"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水泥筒仓</w:t>
                  </w:r>
                </w:p>
              </w:tc>
              <w:tc>
                <w:tcPr>
                  <w:tcW w:w="1105" w:type="pct"/>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r>
                    <w:rPr>
                      <w:rFonts w:hint="eastAsia"/>
                    </w:rPr>
                    <w:t>间歇</w:t>
                  </w:r>
                </w:p>
              </w:tc>
              <w:tc>
                <w:tcPr>
                  <w:tcW w:w="1105" w:type="pct"/>
                  <w:vMerge w:val="continue"/>
                  <w:tcBorders>
                    <w:tl2br w:val="nil"/>
                    <w:tr2bl w:val="nil"/>
                  </w:tcBorders>
                  <w:noWrap w:val="0"/>
                  <w:vAlign w:val="center"/>
                </w:tcPr>
                <w:p>
                  <w:pPr>
                    <w:pStyle w:val="15"/>
                    <w:keepNext w:val="0"/>
                    <w:keepLines w:val="0"/>
                    <w:suppressLineNumbers w:val="0"/>
                    <w:bidi w:val="0"/>
                    <w:spacing w:before="0" w:beforeAutospacing="0" w:after="0" w:afterAutospacing="0"/>
                    <w:ind w:left="0" w:right="0"/>
                    <w:jc w:val="center"/>
                    <w:rPr>
                      <w:rFonts w:hint="eastAsia"/>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3.2厂界达标情况分析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color w:val="auto"/>
                <w:highlight w:val="none"/>
                <w:lang w:val="en-US" w:eastAsia="zh-CN"/>
              </w:rPr>
            </w:pPr>
            <w:r>
              <w:rPr>
                <w:rFonts w:hint="eastAsia"/>
                <w:color w:val="auto"/>
                <w:highlight w:val="none"/>
                <w:lang w:val="en-US" w:eastAsia="zh-CN"/>
              </w:rPr>
              <w:t>本次噪声达标分析采用声环境衰减评价采用</w:t>
            </w:r>
            <w:r>
              <w:rPr>
                <w:rFonts w:hint="default"/>
                <w:color w:val="auto"/>
                <w:highlight w:val="none"/>
              </w:rPr>
              <w:t>点源传播衰减模式</w:t>
            </w:r>
            <w:r>
              <w:rPr>
                <w:rFonts w:hint="eastAsia"/>
                <w:color w:val="auto"/>
                <w:highlight w:val="none"/>
                <w:lang w:val="en-US" w:eastAsia="zh-CN"/>
              </w:rPr>
              <w:t>进行计算，公式：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center"/>
              <w:textAlignment w:val="auto"/>
              <w:rPr>
                <w:rFonts w:hint="default"/>
                <w:color w:val="auto"/>
                <w:highlight w:val="none"/>
              </w:rPr>
            </w:pPr>
            <w:r>
              <w:rPr>
                <w:rFonts w:hint="default"/>
                <w:color w:val="auto"/>
                <w:highlight w:val="none"/>
              </w:rPr>
              <w:object>
                <v:shape id="_x0000_i1029" o:spt="75" type="#_x0000_t75" style="height:34pt;width:87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color w:val="auto"/>
                <w:highlight w:val="none"/>
              </w:rPr>
            </w:pPr>
            <w:r>
              <w:rPr>
                <w:rFonts w:hint="default"/>
                <w:color w:val="auto"/>
                <w:highlight w:val="none"/>
              </w:rPr>
              <w:t>式中：</w:t>
            </w:r>
            <w:r>
              <w:rPr>
                <w:rFonts w:hint="default"/>
                <w:color w:val="auto"/>
                <w:highlight w:val="none"/>
                <w:lang w:val="en-US" w:eastAsia="zh-CN"/>
              </w:rPr>
              <w:t>Lp</w:t>
            </w:r>
            <w:r>
              <w:rPr>
                <w:rFonts w:hint="default"/>
                <w:color w:val="auto"/>
                <w:highlight w:val="none"/>
                <w:vertAlign w:val="subscript"/>
                <w:lang w:val="en-US" w:eastAsia="zh-CN"/>
              </w:rPr>
              <w:t>1</w:t>
            </w:r>
            <w:r>
              <w:rPr>
                <w:rFonts w:hint="default"/>
                <w:color w:val="auto"/>
                <w:highlight w:val="none"/>
              </w:rPr>
              <w:t>-受声点P</w:t>
            </w:r>
            <w:r>
              <w:rPr>
                <w:rFonts w:hint="default"/>
                <w:color w:val="auto"/>
                <w:highlight w:val="none"/>
                <w:vertAlign w:val="subscript"/>
              </w:rPr>
              <w:t>1</w:t>
            </w:r>
            <w:r>
              <w:rPr>
                <w:rFonts w:hint="default"/>
                <w:color w:val="auto"/>
                <w:highlight w:val="none"/>
              </w:rPr>
              <w:t>处的声级；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color w:val="auto"/>
                <w:highlight w:val="none"/>
              </w:rPr>
            </w:pPr>
            <w:r>
              <w:rPr>
                <w:rFonts w:hint="default"/>
                <w:color w:val="auto"/>
                <w:highlight w:val="none"/>
                <w:lang w:val="en-US" w:eastAsia="zh-CN"/>
              </w:rPr>
              <w:t>Lp</w:t>
            </w:r>
            <w:r>
              <w:rPr>
                <w:rFonts w:hint="default"/>
                <w:color w:val="auto"/>
                <w:highlight w:val="none"/>
                <w:vertAlign w:val="subscript"/>
                <w:lang w:val="en-US" w:eastAsia="zh-CN"/>
              </w:rPr>
              <w:t>2</w:t>
            </w:r>
            <w:r>
              <w:rPr>
                <w:rFonts w:hint="default"/>
                <w:color w:val="auto"/>
                <w:highlight w:val="none"/>
              </w:rPr>
              <w:t>--受声点P</w:t>
            </w:r>
            <w:r>
              <w:rPr>
                <w:rFonts w:hint="default"/>
                <w:color w:val="auto"/>
                <w:highlight w:val="none"/>
                <w:vertAlign w:val="subscript"/>
              </w:rPr>
              <w:t>2</w:t>
            </w:r>
            <w:r>
              <w:rPr>
                <w:rFonts w:hint="default"/>
                <w:color w:val="auto"/>
                <w:highlight w:val="none"/>
              </w:rPr>
              <w:t>处的声级；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color w:val="auto"/>
                <w:highlight w:val="none"/>
              </w:rPr>
            </w:pPr>
            <w:r>
              <w:rPr>
                <w:rFonts w:hint="default"/>
                <w:color w:val="auto"/>
                <w:highlight w:val="none"/>
              </w:rPr>
              <w:t>r</w:t>
            </w:r>
            <w:r>
              <w:rPr>
                <w:rFonts w:hint="default"/>
                <w:color w:val="auto"/>
                <w:highlight w:val="none"/>
                <w:vertAlign w:val="subscript"/>
              </w:rPr>
              <w:t>1</w:t>
            </w:r>
            <w:r>
              <w:rPr>
                <w:rFonts w:hint="default"/>
                <w:color w:val="auto"/>
                <w:highlight w:val="none"/>
              </w:rPr>
              <w:t>--声源至P</w:t>
            </w:r>
            <w:r>
              <w:rPr>
                <w:rFonts w:hint="default"/>
                <w:color w:val="auto"/>
                <w:highlight w:val="none"/>
                <w:vertAlign w:val="subscript"/>
              </w:rPr>
              <w:t>1</w:t>
            </w:r>
            <w:r>
              <w:rPr>
                <w:rFonts w:hint="default"/>
                <w:color w:val="auto"/>
                <w:highlight w:val="none"/>
              </w:rPr>
              <w:t>的距离（m）；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1050" w:firstLineChars="500"/>
              <w:jc w:val="both"/>
              <w:textAlignment w:val="auto"/>
              <w:rPr>
                <w:rFonts w:hint="default"/>
                <w:color w:val="auto"/>
                <w:highlight w:val="none"/>
              </w:rPr>
            </w:pPr>
            <w:r>
              <w:rPr>
                <w:rFonts w:hint="default"/>
                <w:color w:val="auto"/>
                <w:highlight w:val="none"/>
              </w:rPr>
              <w:t>r</w:t>
            </w:r>
            <w:r>
              <w:rPr>
                <w:rFonts w:hint="default"/>
                <w:color w:val="auto"/>
                <w:highlight w:val="none"/>
                <w:vertAlign w:val="subscript"/>
              </w:rPr>
              <w:t>2</w:t>
            </w:r>
            <w:r>
              <w:rPr>
                <w:rFonts w:hint="default"/>
                <w:color w:val="auto"/>
                <w:highlight w:val="none"/>
              </w:rPr>
              <w:t>--声源至P</w:t>
            </w:r>
            <w:r>
              <w:rPr>
                <w:rFonts w:hint="default"/>
                <w:color w:val="auto"/>
                <w:highlight w:val="none"/>
                <w:vertAlign w:val="subscript"/>
              </w:rPr>
              <w:t>2</w:t>
            </w:r>
            <w:r>
              <w:rPr>
                <w:rFonts w:hint="default"/>
                <w:color w:val="auto"/>
                <w:highlight w:val="none"/>
              </w:rPr>
              <w:t>的距离（m）。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color w:val="auto"/>
                <w:highlight w:val="none"/>
              </w:rPr>
            </w:pPr>
            <w:r>
              <w:rPr>
                <w:rFonts w:hint="default" w:ascii="Times New Roman" w:hAnsi="Times New Roman" w:cs="Times New Roman"/>
                <w:color w:val="auto"/>
                <w:highlight w:val="none"/>
                <w:lang w:val="en-US" w:eastAsia="zh-CN"/>
              </w:rPr>
              <w:t>经计算，</w:t>
            </w:r>
            <w:r>
              <w:rPr>
                <w:rFonts w:hint="default" w:ascii="Times New Roman" w:hAnsi="Times New Roman" w:eastAsia="宋体" w:cs="Times New Roman"/>
                <w:sz w:val="21"/>
              </w:rPr>
              <w:t>项目声源叠加总声源为</w:t>
            </w:r>
            <w:r>
              <w:rPr>
                <w:rFonts w:hint="eastAsia" w:ascii="Times New Roman" w:hAnsi="Times New Roman" w:eastAsia="TimesNewRomanPSMT" w:cs="Times New Roman"/>
                <w:sz w:val="21"/>
                <w:lang w:val="en-US" w:eastAsia="zh-CN"/>
              </w:rPr>
              <w:t>89</w:t>
            </w:r>
            <w:r>
              <w:rPr>
                <w:rFonts w:hint="default" w:ascii="Times New Roman" w:hAnsi="Times New Roman" w:eastAsia="TimesNewRomanPSMT" w:cs="Times New Roman"/>
                <w:sz w:val="21"/>
              </w:rPr>
              <w:t>dB</w:t>
            </w:r>
            <w:r>
              <w:rPr>
                <w:rFonts w:hint="default" w:ascii="Times New Roman" w:hAnsi="Times New Roman" w:eastAsia="宋体" w:cs="Times New Roman"/>
                <w:sz w:val="21"/>
              </w:rPr>
              <w:t>（</w:t>
            </w:r>
            <w:r>
              <w:rPr>
                <w:rFonts w:hint="default" w:ascii="Times New Roman" w:hAnsi="Times New Roman" w:eastAsia="TimesNewRomanPSMT" w:cs="Times New Roman"/>
                <w:sz w:val="21"/>
              </w:rPr>
              <w:t>A</w:t>
            </w:r>
            <w:r>
              <w:rPr>
                <w:rFonts w:hint="default" w:ascii="Times New Roman" w:hAnsi="Times New Roman" w:eastAsia="宋体" w:cs="Times New Roman"/>
                <w:sz w:val="21"/>
              </w:rPr>
              <w:t>），</w:t>
            </w:r>
            <w:r>
              <w:rPr>
                <w:rFonts w:hint="eastAsia"/>
                <w:color w:val="auto"/>
                <w:highlight w:val="none"/>
                <w:lang w:val="en-US" w:eastAsia="zh-CN"/>
              </w:rPr>
              <w:t>项目</w:t>
            </w:r>
            <w:r>
              <w:rPr>
                <w:rFonts w:hint="default"/>
                <w:color w:val="auto"/>
                <w:highlight w:val="none"/>
              </w:rPr>
              <w:t>噪声源在不同距离处的A声级贡献值计算结果见表</w:t>
            </w:r>
            <w:r>
              <w:rPr>
                <w:rFonts w:hint="eastAsia"/>
                <w:color w:val="auto"/>
                <w:highlight w:val="none"/>
                <w:lang w:val="en-US" w:eastAsia="zh-CN"/>
              </w:rPr>
              <w:t>246</w:t>
            </w:r>
            <w:r>
              <w:rPr>
                <w:rFonts w:hint="default"/>
                <w:color w:val="auto"/>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default"/>
                <w:color w:val="auto"/>
                <w:highlight w:val="none"/>
                <w:lang w:val="en-US" w:eastAsia="zh-CN"/>
              </w:rPr>
            </w:pPr>
            <w:r>
              <w:rPr>
                <w:rFonts w:hint="eastAsia"/>
                <w:color w:val="auto"/>
                <w:highlight w:val="none"/>
                <w:lang w:val="en-US" w:eastAsia="zh-CN"/>
              </w:rPr>
              <w:t>表24               不同距离处噪声衰减计算表</w:t>
            </w:r>
          </w:p>
          <w:tbl>
            <w:tblPr>
              <w:tblStyle w:val="10"/>
              <w:tblW w:w="79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0" w:type="dxa"/>
              </w:tblCellMar>
            </w:tblPr>
            <w:tblGrid>
              <w:gridCol w:w="1962"/>
              <w:gridCol w:w="1193"/>
              <w:gridCol w:w="1198"/>
              <w:gridCol w:w="1198"/>
              <w:gridCol w:w="1196"/>
              <w:gridCol w:w="11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674" w:hRule="atLeast"/>
                <w:jc w:val="center"/>
              </w:trPr>
              <w:tc>
                <w:tcPr>
                  <w:tcW w:w="1962" w:type="dxa"/>
                  <w:vAlign w:val="center"/>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rPr>
                  </w:pPr>
                  <w:r>
                    <w:rPr>
                      <w:rFonts w:hint="default"/>
                      <w:color w:val="auto"/>
                      <w:highlight w:val="none"/>
                    </w:rPr>
                    <w:t xml:space="preserve">   </w:t>
                  </w:r>
                  <w:r>
                    <w:rPr>
                      <w:rFonts w:hint="eastAsia"/>
                      <w:color w:val="auto"/>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mc:AlternateContent>
                      <mc:Choice Requires="wpsCustomData">
                        <wpsCustomData:diagonalParaType/>
                      </mc:Choice>
                    </mc:AlternateContent>
                    <w:rPr>
                      <w:rFonts w:hint="eastAsia" w:eastAsia="宋体"/>
                      <w:color w:val="auto"/>
                      <w:highlight w:val="none"/>
                      <w:lang w:val="en-US" w:eastAsia="zh-CN"/>
                    </w:rPr>
                  </w:pPr>
                  <w:r>
                    <w:rPr>
                      <w:rFonts w:hint="default"/>
                      <w:color w:val="auto"/>
                      <w:highlight w:val="none"/>
                    </w:rPr>
                    <w:t>声源</w:t>
                  </w:r>
                  <w:r>
                    <w:rPr>
                      <w:rFonts w:hint="eastAsia"/>
                      <w:color w:val="auto"/>
                      <w:highlight w:val="none"/>
                      <w:lang w:val="en-US" w:eastAsia="zh-CN"/>
                    </w:rPr>
                    <w:t>源强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rPr>
                  </w:pPr>
                  <w:r>
                    <w:rPr>
                      <w:rFonts w:hint="default"/>
                      <w:color w:val="auto"/>
                      <w:highlight w:val="none"/>
                    </w:rPr>
                    <w:t>距离（m）</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highlight w:val="none"/>
                      <w:lang w:eastAsia="zh-CN"/>
                    </w:rPr>
                  </w:pPr>
                  <w:r>
                    <w:rPr>
                      <w:rFonts w:hint="eastAsia"/>
                      <w:color w:val="auto"/>
                      <w:highlight w:val="none"/>
                      <w:lang w:val="en-US" w:eastAsia="zh-CN"/>
                    </w:rPr>
                    <w:t>5</w:t>
                  </w:r>
                </w:p>
              </w:tc>
              <w:tc>
                <w:tcPr>
                  <w:tcW w:w="1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10</w:t>
                  </w:r>
                </w:p>
              </w:tc>
              <w:tc>
                <w:tcPr>
                  <w:tcW w:w="1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rPr>
                  </w:pPr>
                  <w:r>
                    <w:rPr>
                      <w:rFonts w:hint="eastAsia"/>
                      <w:color w:val="auto"/>
                      <w:highlight w:val="none"/>
                      <w:lang w:val="en-US" w:eastAsia="zh-CN"/>
                    </w:rPr>
                    <w:t>2</w:t>
                  </w:r>
                  <w:r>
                    <w:rPr>
                      <w:rFonts w:hint="default"/>
                      <w:color w:val="auto"/>
                      <w:highlight w:val="none"/>
                    </w:rPr>
                    <w:t>0</w:t>
                  </w:r>
                </w:p>
              </w:tc>
              <w:tc>
                <w:tcPr>
                  <w:tcW w:w="11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50（厂界）</w:t>
                  </w:r>
                </w:p>
              </w:tc>
              <w:tc>
                <w:tcPr>
                  <w:tcW w:w="11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397" w:hRule="atLeast"/>
                <w:jc w:val="center"/>
              </w:trPr>
              <w:tc>
                <w:tcPr>
                  <w:tcW w:w="196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color w:val="auto"/>
                      <w:highlight w:val="none"/>
                      <w:lang w:val="en-US" w:eastAsia="zh-CN"/>
                    </w:rPr>
                  </w:pPr>
                  <w:r>
                    <w:rPr>
                      <w:rFonts w:hint="eastAsia"/>
                      <w:color w:val="auto"/>
                      <w:highlight w:val="none"/>
                      <w:lang w:val="en-US" w:eastAsia="zh-CN"/>
                    </w:rPr>
                    <w:t>89</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75</w:t>
                  </w:r>
                </w:p>
              </w:tc>
              <w:tc>
                <w:tcPr>
                  <w:tcW w:w="1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69</w:t>
                  </w:r>
                </w:p>
              </w:tc>
              <w:tc>
                <w:tcPr>
                  <w:tcW w:w="11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63</w:t>
                  </w:r>
                </w:p>
              </w:tc>
              <w:tc>
                <w:tcPr>
                  <w:tcW w:w="11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55</w:t>
                  </w:r>
                </w:p>
              </w:tc>
              <w:tc>
                <w:tcPr>
                  <w:tcW w:w="11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highlight w:val="none"/>
                      <w:lang w:val="en-US" w:eastAsia="zh-CN"/>
                    </w:rPr>
                  </w:pPr>
                  <w:r>
                    <w:rPr>
                      <w:rFonts w:hint="eastAsia"/>
                      <w:color w:val="auto"/>
                      <w:highlight w:val="none"/>
                      <w:lang w:val="en-US" w:eastAsia="zh-CN"/>
                    </w:rPr>
                    <w:t>49</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color w:val="auto"/>
                <w:highlight w:val="none"/>
                <w:lang w:val="en-US" w:eastAsia="zh-CN"/>
              </w:rPr>
            </w:pPr>
            <w:r>
              <w:rPr>
                <w:rFonts w:hint="default"/>
                <w:color w:val="auto"/>
                <w:highlight w:val="none"/>
                <w:lang w:val="en-US" w:eastAsia="zh-CN"/>
              </w:rPr>
              <w:t>由以上</w:t>
            </w:r>
            <w:r>
              <w:rPr>
                <w:rFonts w:hint="eastAsia"/>
                <w:color w:val="auto"/>
                <w:highlight w:val="none"/>
                <w:lang w:val="en-US" w:eastAsia="zh-CN"/>
              </w:rPr>
              <w:t>计算</w:t>
            </w:r>
            <w:r>
              <w:rPr>
                <w:rFonts w:hint="default"/>
                <w:color w:val="auto"/>
                <w:highlight w:val="none"/>
                <w:lang w:val="en-US" w:eastAsia="zh-CN"/>
              </w:rPr>
              <w:t>结果可知，本项目</w:t>
            </w:r>
            <w:r>
              <w:rPr>
                <w:rFonts w:hint="eastAsia"/>
                <w:color w:val="auto"/>
                <w:highlight w:val="none"/>
                <w:lang w:val="en-US" w:eastAsia="zh-CN"/>
              </w:rPr>
              <w:t>稳定运营</w:t>
            </w:r>
            <w:r>
              <w:rPr>
                <w:rFonts w:hint="default"/>
                <w:color w:val="auto"/>
                <w:highlight w:val="none"/>
                <w:lang w:val="en-US" w:eastAsia="zh-CN"/>
              </w:rPr>
              <w:t>后，</w:t>
            </w:r>
            <w:r>
              <w:rPr>
                <w:rFonts w:hint="eastAsia"/>
                <w:color w:val="auto"/>
                <w:highlight w:val="none"/>
                <w:lang w:val="en-US" w:eastAsia="zh-CN"/>
              </w:rPr>
              <w:t>厂界（距离源强50m）处昼间、夜间</w:t>
            </w:r>
            <w:r>
              <w:rPr>
                <w:rFonts w:hint="default"/>
                <w:color w:val="auto"/>
                <w:highlight w:val="none"/>
                <w:lang w:val="en-US" w:eastAsia="zh-CN"/>
              </w:rPr>
              <w:t>噪声</w:t>
            </w:r>
            <w:r>
              <w:rPr>
                <w:rFonts w:hint="eastAsia"/>
                <w:color w:val="auto"/>
                <w:highlight w:val="none"/>
                <w:lang w:val="en-US" w:eastAsia="zh-CN"/>
              </w:rPr>
              <w:t>贡献</w:t>
            </w:r>
            <w:r>
              <w:rPr>
                <w:rFonts w:hint="default"/>
                <w:color w:val="auto"/>
                <w:highlight w:val="none"/>
                <w:lang w:val="en-US" w:eastAsia="zh-CN"/>
              </w:rPr>
              <w:t>值</w:t>
            </w:r>
            <w:r>
              <w:rPr>
                <w:rFonts w:hint="eastAsia"/>
                <w:color w:val="auto"/>
                <w:highlight w:val="none"/>
                <w:lang w:val="en-US" w:eastAsia="zh-CN"/>
              </w:rPr>
              <w:t>即</w:t>
            </w:r>
            <w:r>
              <w:rPr>
                <w:rFonts w:hint="default"/>
                <w:color w:val="auto"/>
                <w:highlight w:val="none"/>
                <w:lang w:val="en-US" w:eastAsia="zh-CN"/>
              </w:rPr>
              <w:t>可满足《工业企业厂界环境噪声排放标准》（GB12348-2008）</w:t>
            </w:r>
            <w:r>
              <w:rPr>
                <w:rFonts w:hint="eastAsia"/>
                <w:color w:val="auto"/>
                <w:highlight w:val="none"/>
                <w:lang w:val="en-US" w:eastAsia="zh-CN"/>
              </w:rPr>
              <w:t>3</w:t>
            </w:r>
            <w:r>
              <w:rPr>
                <w:rFonts w:hint="default"/>
                <w:color w:val="auto"/>
                <w:highlight w:val="none"/>
                <w:lang w:val="en-US" w:eastAsia="zh-CN"/>
              </w:rPr>
              <w:t>类</w:t>
            </w:r>
            <w:r>
              <w:rPr>
                <w:rFonts w:hint="eastAsia"/>
                <w:color w:val="auto"/>
                <w:highlight w:val="none"/>
                <w:lang w:val="en-US" w:eastAsia="zh-CN"/>
              </w:rPr>
              <w:t>功能区昼间65dB（A）、夜间55dB（A）</w:t>
            </w:r>
            <w:r>
              <w:rPr>
                <w:rFonts w:hint="default"/>
                <w:color w:val="auto"/>
                <w:highlight w:val="none"/>
                <w:lang w:val="en-US" w:eastAsia="zh-CN"/>
              </w:rPr>
              <w:t>标准</w:t>
            </w:r>
            <w:r>
              <w:rPr>
                <w:rFonts w:hint="eastAsia"/>
                <w:color w:val="auto"/>
                <w:highlight w:val="none"/>
                <w:lang w:val="en-US" w:eastAsia="zh-CN"/>
              </w:rPr>
              <w:t>要求</w:t>
            </w:r>
            <w:r>
              <w:rPr>
                <w:rFonts w:hint="default"/>
                <w:color w:val="auto"/>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3.3噪声治理措施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项目在生产加工期间噪声主要控制措施有：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①设备选型方面，在满足功能要求的前提下，选用加工精度高、装配质量好、低噪设备；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②将强噪声源设备如搅拌机等布置在厂区中部，最大程度上减轻对外界的影响；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③加固设备底座基础设施，减少设备振颤降低噪声；对设备定期维护保养，使其处于良好工作状态；在设备与底座间加装降噪材料降低噪声；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lang w:eastAsia="zh-CN"/>
              </w:rPr>
            </w:pPr>
            <w:r>
              <w:rPr>
                <w:rFonts w:hint="default"/>
              </w:rPr>
              <w:t>④加强厂区绿化</w:t>
            </w:r>
            <w:r>
              <w:rPr>
                <w:rFonts w:hint="default"/>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fldChar w:fldCharType="begin"/>
            </w:r>
            <w:r>
              <w:rPr>
                <w:rFonts w:hint="default"/>
              </w:rPr>
              <w:instrText xml:space="preserve"> = 5 \* GB3 \* MERGEFORMAT </w:instrText>
            </w:r>
            <w:r>
              <w:rPr>
                <w:rFonts w:hint="default"/>
              </w:rPr>
              <w:fldChar w:fldCharType="separate"/>
            </w:r>
            <w:r>
              <w:rPr>
                <w:rFonts w:hint="default"/>
              </w:rPr>
              <w:t>⑤</w:t>
            </w:r>
            <w:r>
              <w:rPr>
                <w:rFonts w:hint="default"/>
              </w:rPr>
              <w:fldChar w:fldCharType="end"/>
            </w:r>
            <w:r>
              <w:rPr>
                <w:rFonts w:hint="default"/>
                <w:lang w:val="en-US" w:eastAsia="zh-CN"/>
              </w:rPr>
              <w:t>加强运输车辆的管理，严禁随意鸣笛。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rPr>
            </w:pPr>
            <w:r>
              <w:rPr>
                <w:rFonts w:hint="default"/>
              </w:rPr>
              <w:t>项目区周围无声环境敏感保护目标，通过上述措施并且</w:t>
            </w:r>
            <w:r>
              <w:rPr>
                <w:rFonts w:hint="eastAsia"/>
                <w:lang w:val="en-US" w:eastAsia="zh-CN"/>
              </w:rPr>
              <w:t>经距离衰减后</w:t>
            </w:r>
            <w:r>
              <w:rPr>
                <w:rFonts w:hint="default"/>
              </w:rPr>
              <w:t>可使项目噪声满足《工业企业环境噪声排放标准》（GB12348-2008）</w:t>
            </w:r>
            <w:r>
              <w:rPr>
                <w:rFonts w:hint="eastAsia"/>
                <w:lang w:val="en-US" w:eastAsia="zh-CN"/>
              </w:rPr>
              <w:t>3</w:t>
            </w:r>
            <w:r>
              <w:rPr>
                <w:rFonts w:hint="default"/>
              </w:rPr>
              <w:t>类声环境功能区</w:t>
            </w:r>
            <w:r>
              <w:rPr>
                <w:rFonts w:hint="eastAsia"/>
                <w:lang w:val="en-US" w:eastAsia="zh-CN"/>
              </w:rPr>
              <w:t>排放</w:t>
            </w:r>
            <w:r>
              <w:rPr>
                <w:rFonts w:hint="default"/>
              </w:rPr>
              <w:t>限值。</w:t>
            </w:r>
          </w:p>
          <w:p>
            <w:pPr>
              <w:keepNext w:val="0"/>
              <w:keepLines w:val="0"/>
              <w:suppressLineNumbers w:val="0"/>
              <w:spacing w:before="0" w:beforeAutospacing="0" w:after="0" w:afterAutospacing="0" w:line="360" w:lineRule="auto"/>
              <w:ind w:left="0" w:right="0" w:firstLine="420" w:firstLineChars="200"/>
              <w:rPr>
                <w:rFonts w:hint="eastAsia"/>
                <w:lang w:val="en-US" w:eastAsia="zh-CN"/>
              </w:rPr>
            </w:pPr>
            <w:r>
              <w:rPr>
                <w:rFonts w:hint="eastAsia"/>
                <w:lang w:val="en-US" w:eastAsia="zh-CN"/>
              </w:rPr>
              <w:t>3.4噪声监测计划</w:t>
            </w:r>
          </w:p>
          <w:p>
            <w:pPr>
              <w:keepNext w:val="0"/>
              <w:keepLines w:val="0"/>
              <w:suppressLineNumbers w:val="0"/>
              <w:spacing w:before="0" w:beforeAutospacing="0" w:after="0" w:afterAutospacing="0" w:line="360" w:lineRule="auto"/>
              <w:ind w:left="0" w:right="0" w:firstLine="420" w:firstLineChars="200"/>
              <w:rPr>
                <w:rFonts w:hint="default"/>
              </w:rPr>
            </w:pPr>
            <w:r>
              <w:rPr>
                <w:rFonts w:hint="default"/>
              </w:rPr>
              <w:t>本工程营运期</w:t>
            </w:r>
            <w:r>
              <w:rPr>
                <w:rFonts w:hint="eastAsia"/>
                <w:lang w:val="en-US" w:eastAsia="zh-CN"/>
              </w:rPr>
              <w:t>噪声</w:t>
            </w:r>
            <w:r>
              <w:rPr>
                <w:rFonts w:hint="default"/>
              </w:rPr>
              <w:t>监测方案计划见表</w:t>
            </w:r>
            <w:r>
              <w:rPr>
                <w:rFonts w:hint="eastAsia"/>
                <w:lang w:val="en-US" w:eastAsia="zh-CN"/>
              </w:rPr>
              <w:t>25</w:t>
            </w:r>
            <w:r>
              <w:rPr>
                <w:rFonts w:hint="default"/>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both"/>
              <w:textAlignment w:val="auto"/>
              <w:outlineLvl w:val="9"/>
              <w:rPr>
                <w:rFonts w:hint="default"/>
              </w:rPr>
            </w:pPr>
            <w:r>
              <w:rPr>
                <w:rFonts w:hint="default"/>
              </w:rPr>
              <w:t>表</w:t>
            </w:r>
            <w:r>
              <w:rPr>
                <w:rFonts w:hint="eastAsia"/>
                <w:lang w:val="en-US" w:eastAsia="zh-CN"/>
              </w:rPr>
              <w:t>25</w:t>
            </w:r>
            <w:r>
              <w:rPr>
                <w:rFonts w:hint="default"/>
              </w:rPr>
              <w:t xml:space="preserve">         </w:t>
            </w:r>
            <w:r>
              <w:rPr>
                <w:rFonts w:hint="default"/>
                <w:lang w:val="en-US" w:eastAsia="zh-CN"/>
              </w:rPr>
              <w:t xml:space="preserve">        </w:t>
            </w:r>
            <w:r>
              <w:rPr>
                <w:rFonts w:hint="eastAsia"/>
                <w:lang w:val="en-US" w:eastAsia="zh-CN"/>
              </w:rPr>
              <w:t xml:space="preserve"> </w:t>
            </w:r>
            <w:r>
              <w:rPr>
                <w:rFonts w:hint="default"/>
              </w:rPr>
              <w:t>运营期</w:t>
            </w:r>
            <w:r>
              <w:rPr>
                <w:rFonts w:hint="default"/>
                <w:lang w:val="en-US" w:eastAsia="zh-CN"/>
              </w:rPr>
              <w:t>噪声</w:t>
            </w:r>
            <w:r>
              <w:rPr>
                <w:rFonts w:hint="default"/>
              </w:rPr>
              <w:t>监测</w:t>
            </w:r>
            <w:r>
              <w:rPr>
                <w:rFonts w:hint="default"/>
                <w:lang w:val="en-US" w:eastAsia="zh-CN"/>
              </w:rPr>
              <w:t>计划表</w:t>
            </w:r>
          </w:p>
          <w:tbl>
            <w:tblPr>
              <w:tblStyle w:val="10"/>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420"/>
              <w:gridCol w:w="1352"/>
              <w:gridCol w:w="387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98"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监测点位</w:t>
                  </w:r>
                </w:p>
              </w:tc>
              <w:tc>
                <w:tcPr>
                  <w:tcW w:w="1420"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监测</w:t>
                  </w:r>
                  <w:r>
                    <w:rPr>
                      <w:rFonts w:hint="eastAsia"/>
                      <w:lang w:val="en-US" w:eastAsia="zh-CN"/>
                    </w:rPr>
                    <w:t>指标</w:t>
                  </w:r>
                </w:p>
              </w:tc>
              <w:tc>
                <w:tcPr>
                  <w:tcW w:w="1352"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监测频次</w:t>
                  </w:r>
                </w:p>
              </w:tc>
              <w:tc>
                <w:tcPr>
                  <w:tcW w:w="387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执行排放标准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厂界</w:t>
                  </w:r>
                  <w:r>
                    <w:rPr>
                      <w:rFonts w:hint="eastAsia"/>
                      <w:lang w:val="en-US" w:eastAsia="zh-CN"/>
                    </w:rPr>
                    <w:t>外</w:t>
                  </w:r>
                  <w:r>
                    <w:rPr>
                      <w:rFonts w:hint="default"/>
                    </w:rPr>
                    <w:t>1m</w:t>
                  </w:r>
                </w:p>
              </w:tc>
              <w:tc>
                <w:tcPr>
                  <w:tcW w:w="1420"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等效</w:t>
                  </w:r>
                  <w:r>
                    <w:rPr>
                      <w:rFonts w:hint="eastAsia"/>
                      <w:lang w:val="en-US" w:eastAsia="zh-CN"/>
                    </w:rPr>
                    <w:t>A</w:t>
                  </w:r>
                  <w:r>
                    <w:rPr>
                      <w:rFonts w:hint="default"/>
                    </w:rPr>
                    <w:t>声级</w:t>
                  </w:r>
                </w:p>
              </w:tc>
              <w:tc>
                <w:tcPr>
                  <w:tcW w:w="1352"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rPr>
                  </w:pPr>
                  <w:r>
                    <w:rPr>
                      <w:rFonts w:hint="default"/>
                    </w:rPr>
                    <w:t>每季度一次</w:t>
                  </w:r>
                </w:p>
              </w:tc>
              <w:tc>
                <w:tcPr>
                  <w:tcW w:w="3876" w:type="dxa"/>
                  <w:tcBorders>
                    <w:tl2br w:val="nil"/>
                    <w:tr2bl w:val="nil"/>
                  </w:tcBorders>
                  <w:noWrap w:val="0"/>
                  <w:vAlign w:val="center"/>
                </w:tcPr>
                <w:p>
                  <w:pPr>
                    <w:pStyle w:val="15"/>
                    <w:keepNext w:val="0"/>
                    <w:keepLines w:val="0"/>
                    <w:suppressLineNumbers w:val="0"/>
                    <w:bidi w:val="0"/>
                    <w:spacing w:before="0" w:beforeAutospacing="0" w:after="0" w:afterAutospacing="0"/>
                    <w:ind w:left="0" w:right="0"/>
                    <w:rPr>
                      <w:rFonts w:hint="default"/>
                      <w:lang w:val="en-US"/>
                    </w:rPr>
                  </w:pPr>
                  <w:r>
                    <w:rPr>
                      <w:rFonts w:hint="default"/>
                    </w:rPr>
                    <w:t>《工业企业厂界环境噪声排放标准》（GB12348-2008）</w:t>
                  </w:r>
                  <w:r>
                    <w:rPr>
                      <w:rFonts w:hint="eastAsia"/>
                      <w:lang w:val="en-US" w:eastAsia="zh-CN"/>
                    </w:rPr>
                    <w:t>3</w:t>
                  </w:r>
                  <w:r>
                    <w:rPr>
                      <w:rFonts w:hint="default"/>
                    </w:rPr>
                    <w:t>类</w:t>
                  </w:r>
                  <w:r>
                    <w:rPr>
                      <w:rFonts w:hint="eastAsia"/>
                      <w:lang w:val="en-US" w:eastAsia="zh-CN"/>
                    </w:rPr>
                    <w:t>功能区限值</w:t>
                  </w:r>
                </w:p>
              </w:tc>
            </w:tr>
          </w:tbl>
          <w:p>
            <w:pPr>
              <w:keepNext w:val="0"/>
              <w:keepLines w:val="0"/>
              <w:suppressLineNumbers w:val="0"/>
              <w:spacing w:before="0" w:beforeAutospacing="0" w:after="0" w:afterAutospacing="0"/>
              <w:ind w:left="0" w:right="0" w:firstLine="0" w:firstLineChars="0"/>
              <w:rPr>
                <w:rFonts w:hint="default"/>
              </w:rPr>
            </w:pPr>
            <w:r>
              <w:rPr>
                <w:rFonts w:hint="eastAsia"/>
              </w:rPr>
              <w:t>4、固体废物环境影响及保护措施</w:t>
            </w:r>
          </w:p>
          <w:p>
            <w:pPr>
              <w:keepNext w:val="0"/>
              <w:keepLines w:val="0"/>
              <w:suppressLineNumbers w:val="0"/>
              <w:spacing w:before="0" w:beforeAutospacing="0" w:after="0" w:afterAutospacing="0"/>
              <w:ind w:left="0" w:right="0" w:firstLine="420"/>
              <w:rPr>
                <w:rFonts w:hint="eastAsia"/>
                <w:lang w:val="en-US" w:eastAsia="zh-CN"/>
              </w:rPr>
            </w:pPr>
            <w:r>
              <w:rPr>
                <w:rFonts w:hint="eastAsia"/>
                <w:lang w:val="en-US" w:eastAsia="zh-CN"/>
              </w:rPr>
              <w:t>4.1固废产生情况</w:t>
            </w:r>
          </w:p>
          <w:p>
            <w:pPr>
              <w:keepNext w:val="0"/>
              <w:keepLines w:val="0"/>
              <w:suppressLineNumbers w:val="0"/>
              <w:spacing w:before="0" w:beforeAutospacing="0" w:after="0" w:afterAutospacing="0"/>
              <w:ind w:left="0" w:right="0" w:firstLine="420"/>
              <w:rPr>
                <w:rFonts w:hint="default"/>
              </w:rPr>
            </w:pPr>
            <w:r>
              <w:rPr>
                <w:rFonts w:hint="eastAsia"/>
                <w:lang w:val="en-US" w:eastAsia="zh-CN"/>
              </w:rPr>
              <w:t>项目生产过程中除尘器收集的粉尘、废混凝土、废钢材边角料、废矿物油以及</w:t>
            </w:r>
            <w:r>
              <w:rPr>
                <w:rFonts w:hint="default"/>
              </w:rPr>
              <w:t>生活垃圾。</w:t>
            </w:r>
          </w:p>
          <w:p>
            <w:pPr>
              <w:keepNext w:val="0"/>
              <w:keepLines w:val="0"/>
              <w:suppressLineNumbers w:val="0"/>
              <w:spacing w:before="0" w:beforeAutospacing="0" w:after="0" w:afterAutospacing="0"/>
              <w:ind w:left="0" w:right="0" w:firstLine="420"/>
              <w:rPr>
                <w:rFonts w:hint="eastAsia"/>
                <w:lang w:val="en-US" w:eastAsia="zh-CN"/>
              </w:rPr>
            </w:pPr>
            <w:r>
              <w:rPr>
                <w:rFonts w:hint="eastAsia"/>
                <w:lang w:val="en-US" w:eastAsia="zh-CN"/>
              </w:rPr>
              <w:t>（1）</w:t>
            </w:r>
            <w:r>
              <w:rPr>
                <w:rFonts w:hint="default"/>
                <w:lang w:val="en-US" w:eastAsia="zh-CN"/>
              </w:rPr>
              <w:t>项目</w:t>
            </w:r>
            <w:r>
              <w:rPr>
                <w:rFonts w:hint="eastAsia"/>
                <w:lang w:val="en-US" w:eastAsia="zh-CN"/>
              </w:rPr>
              <w:t>筒仓、</w:t>
            </w:r>
            <w:r>
              <w:rPr>
                <w:rFonts w:hint="default"/>
                <w:lang w:val="en-US" w:eastAsia="zh-CN"/>
              </w:rPr>
              <w:t>搅拌粉尘经布袋除尘器集中收集，收集到的粉尘量约</w:t>
            </w:r>
            <w:r>
              <w:rPr>
                <w:rFonts w:hint="eastAsia"/>
                <w:lang w:val="en-US" w:eastAsia="zh-CN"/>
              </w:rPr>
              <w:t>为47.86</w:t>
            </w:r>
            <w:r>
              <w:rPr>
                <w:rFonts w:hint="default"/>
                <w:lang w:val="en-US" w:eastAsia="zh-CN"/>
              </w:rPr>
              <w:t>t/a</w:t>
            </w:r>
            <w:r>
              <w:rPr>
                <w:rFonts w:hint="eastAsia"/>
                <w:lang w:val="en-US" w:eastAsia="zh-CN"/>
              </w:rPr>
              <w:t>，</w:t>
            </w:r>
            <w:r>
              <w:rPr>
                <w:rFonts w:hint="default"/>
                <w:lang w:val="en-US" w:eastAsia="zh-CN"/>
              </w:rPr>
              <w:t>回用于生产，不排放</w:t>
            </w:r>
            <w:r>
              <w:rPr>
                <w:rFonts w:hint="eastAsia" w:ascii="宋体" w:hAnsi="宋体" w:eastAsia="宋体"/>
                <w:sz w:val="21"/>
              </w:rPr>
              <w:t>，不作为固废管理</w:t>
            </w:r>
            <w:r>
              <w:rPr>
                <w:rFonts w:hint="default"/>
                <w:lang w:val="en-US" w:eastAsia="zh-CN"/>
              </w:rPr>
              <w:t>。</w:t>
            </w:r>
            <w:r>
              <w:rPr>
                <w:rFonts w:hint="eastAsia"/>
                <w:lang w:val="en-US" w:eastAsia="zh-CN"/>
              </w:rPr>
              <w:t>定期更换滤布约0.2t/a，固废代码900-009-S59，</w:t>
            </w:r>
          </w:p>
          <w:p>
            <w:pPr>
              <w:keepNext w:val="0"/>
              <w:keepLines w:val="0"/>
              <w:suppressLineNumbers w:val="0"/>
              <w:spacing w:before="0" w:beforeAutospacing="0" w:after="0" w:afterAutospacing="0"/>
              <w:ind w:left="0" w:leftChars="0" w:right="0" w:firstLine="0" w:firstLineChars="0"/>
              <w:rPr>
                <w:rFonts w:hint="default"/>
                <w:lang w:val="en-US"/>
              </w:rPr>
            </w:pPr>
            <w:r>
              <w:rPr>
                <w:rFonts w:hint="eastAsia"/>
              </w:rPr>
              <w:t>收集后外售</w:t>
            </w:r>
            <w:r>
              <w:rPr>
                <w:rFonts w:hint="eastAsia"/>
                <w:lang w:val="en-US" w:eastAsia="zh-CN"/>
              </w:rPr>
              <w:t>处理</w:t>
            </w:r>
            <w:r>
              <w:rPr>
                <w:rFonts w:hint="eastAsia"/>
              </w:rPr>
              <w:t>。</w:t>
            </w:r>
          </w:p>
          <w:p>
            <w:pPr>
              <w:keepNext w:val="0"/>
              <w:keepLines w:val="0"/>
              <w:suppressLineNumbers w:val="0"/>
              <w:spacing w:before="0" w:beforeAutospacing="0" w:after="0" w:afterAutospacing="0"/>
              <w:ind w:left="0" w:right="0" w:firstLine="420"/>
              <w:rPr>
                <w:rFonts w:hint="default"/>
              </w:rPr>
            </w:pPr>
            <w:r>
              <w:rPr>
                <w:rFonts w:hint="eastAsia"/>
                <w:lang w:eastAsia="zh-CN"/>
              </w:rPr>
              <w:t>（</w:t>
            </w:r>
            <w:r>
              <w:rPr>
                <w:rFonts w:hint="eastAsia"/>
                <w:lang w:val="en-US" w:eastAsia="zh-CN"/>
              </w:rPr>
              <w:t>2</w:t>
            </w:r>
            <w:r>
              <w:rPr>
                <w:rFonts w:hint="eastAsia"/>
                <w:lang w:eastAsia="zh-CN"/>
              </w:rPr>
              <w:t>）</w:t>
            </w:r>
            <w:r>
              <w:rPr>
                <w:rFonts w:hint="eastAsia"/>
              </w:rPr>
              <w:t>本项目清模工序将模具中残留的废物清理掉，防止影响后面管桩的表面质量。根据企业提供的资料，该过程废混凝土产生量约为</w:t>
            </w:r>
            <w:r>
              <w:rPr>
                <w:rFonts w:hint="eastAsia"/>
                <w:lang w:val="en-US" w:eastAsia="zh-CN"/>
              </w:rPr>
              <w:t>19</w:t>
            </w:r>
            <w:r>
              <w:rPr>
                <w:rFonts w:hint="eastAsia"/>
              </w:rPr>
              <w:t>t/a，</w:t>
            </w:r>
            <w:r>
              <w:rPr>
                <w:rFonts w:hint="eastAsia"/>
                <w:lang w:val="en-US" w:eastAsia="zh-CN"/>
              </w:rPr>
              <w:t>固废代码</w:t>
            </w:r>
            <w:r>
              <w:rPr>
                <w:rFonts w:hint="eastAsia"/>
              </w:rPr>
              <w:t>900-099-S59</w:t>
            </w:r>
            <w:r>
              <w:rPr>
                <w:rFonts w:hint="eastAsia"/>
                <w:lang w:eastAsia="zh-CN"/>
              </w:rPr>
              <w:t>，</w:t>
            </w:r>
            <w:r>
              <w:rPr>
                <w:rFonts w:hint="eastAsia"/>
              </w:rPr>
              <w:t>该部分混凝土残留物固化后不能回用，收集后</w:t>
            </w:r>
            <w:r>
              <w:rPr>
                <w:rFonts w:hint="eastAsia"/>
                <w:lang w:val="en-US" w:eastAsia="zh-CN"/>
              </w:rPr>
              <w:t>清运至一般工业固废堆场。</w:t>
            </w:r>
          </w:p>
          <w:p>
            <w:pPr>
              <w:keepNext w:val="0"/>
              <w:keepLines w:val="0"/>
              <w:suppressLineNumbers w:val="0"/>
              <w:spacing w:before="0" w:beforeAutospacing="0" w:after="0" w:afterAutospacing="0"/>
              <w:ind w:left="0" w:right="0" w:firstLine="420"/>
              <w:rPr>
                <w:rFonts w:hint="eastAsia"/>
              </w:rPr>
            </w:pPr>
            <w:r>
              <w:rPr>
                <w:rFonts w:hint="eastAsia"/>
                <w:lang w:eastAsia="zh-CN"/>
              </w:rPr>
              <w:t>（</w:t>
            </w:r>
            <w:r>
              <w:rPr>
                <w:rFonts w:hint="eastAsia"/>
                <w:lang w:val="en-US" w:eastAsia="zh-CN"/>
              </w:rPr>
              <w:t>3</w:t>
            </w:r>
            <w:r>
              <w:rPr>
                <w:rFonts w:hint="eastAsia"/>
                <w:lang w:eastAsia="zh-CN"/>
              </w:rPr>
              <w:t>）</w:t>
            </w:r>
            <w:r>
              <w:rPr>
                <w:rFonts w:hint="eastAsia"/>
              </w:rPr>
              <w:t>本项目在制作钢筋骨架时定长切断过程中，会有少量金属边角料产生，产生量约为原料用量的0.1%，则本项目金属边角料产生量约为</w:t>
            </w:r>
            <w:r>
              <w:rPr>
                <w:rFonts w:hint="eastAsia"/>
                <w:lang w:val="en-US" w:eastAsia="zh-CN"/>
              </w:rPr>
              <w:t>6.7</w:t>
            </w:r>
            <w:r>
              <w:rPr>
                <w:rFonts w:hint="eastAsia"/>
              </w:rPr>
              <w:t>t/a，</w:t>
            </w:r>
            <w:r>
              <w:rPr>
                <w:rFonts w:hint="eastAsia"/>
                <w:lang w:val="en-US" w:eastAsia="zh-CN"/>
              </w:rPr>
              <w:t>固废代码</w:t>
            </w:r>
            <w:r>
              <w:rPr>
                <w:rFonts w:hint="eastAsia"/>
              </w:rPr>
              <w:t>900-001-S17</w:t>
            </w:r>
            <w:r>
              <w:rPr>
                <w:rFonts w:hint="eastAsia"/>
                <w:lang w:eastAsia="zh-CN"/>
              </w:rPr>
              <w:t>，</w:t>
            </w:r>
            <w:r>
              <w:rPr>
                <w:rFonts w:hint="eastAsia"/>
              </w:rPr>
              <w:t xml:space="preserve"> </w:t>
            </w:r>
          </w:p>
          <w:p>
            <w:pPr>
              <w:keepNext w:val="0"/>
              <w:keepLines w:val="0"/>
              <w:suppressLineNumbers w:val="0"/>
              <w:spacing w:before="0" w:beforeAutospacing="0" w:after="0" w:afterAutospacing="0"/>
              <w:ind w:left="0" w:leftChars="0" w:right="0" w:firstLine="0" w:firstLineChars="0"/>
              <w:rPr>
                <w:rFonts w:hint="default"/>
              </w:rPr>
            </w:pPr>
            <w:r>
              <w:rPr>
                <w:rFonts w:hint="eastAsia"/>
              </w:rPr>
              <w:t>经收集后外售</w:t>
            </w:r>
            <w:r>
              <w:rPr>
                <w:rFonts w:hint="eastAsia"/>
                <w:lang w:val="en-US" w:eastAsia="zh-CN"/>
              </w:rPr>
              <w:t>处理</w:t>
            </w:r>
            <w:r>
              <w:rPr>
                <w:rFonts w:hint="eastAsia"/>
              </w:rPr>
              <w:t>。</w:t>
            </w:r>
          </w:p>
          <w:p>
            <w:pPr>
              <w:keepNext w:val="0"/>
              <w:keepLines w:val="0"/>
              <w:suppressLineNumbers w:val="0"/>
              <w:spacing w:before="0" w:beforeAutospacing="0" w:after="0" w:afterAutospacing="0"/>
              <w:ind w:left="0" w:right="0" w:firstLine="420"/>
              <w:rPr>
                <w:rFonts w:hint="default"/>
              </w:rPr>
            </w:pPr>
            <w:r>
              <w:rPr>
                <w:rFonts w:hint="eastAsia"/>
                <w:lang w:eastAsia="zh-CN"/>
              </w:rPr>
              <w:t>（</w:t>
            </w:r>
            <w:r>
              <w:rPr>
                <w:rFonts w:hint="eastAsia"/>
                <w:lang w:val="en-US" w:eastAsia="zh-CN"/>
              </w:rPr>
              <w:t>4</w:t>
            </w:r>
            <w:r>
              <w:rPr>
                <w:rFonts w:hint="eastAsia"/>
                <w:lang w:eastAsia="zh-CN"/>
              </w:rPr>
              <w:t>）</w:t>
            </w:r>
            <w:r>
              <w:rPr>
                <w:rFonts w:hint="eastAsia"/>
              </w:rPr>
              <w:t>本项目使用的脱模剂规格为1</w:t>
            </w:r>
            <w:r>
              <w:rPr>
                <w:rFonts w:hint="eastAsia"/>
                <w:lang w:val="en-US" w:eastAsia="zh-CN"/>
              </w:rPr>
              <w:t>0</w:t>
            </w:r>
            <w:r>
              <w:rPr>
                <w:rFonts w:hint="eastAsia"/>
              </w:rPr>
              <w:t>0kg/桶，单只桶的重量约</w:t>
            </w:r>
            <w:r>
              <w:rPr>
                <w:rFonts w:hint="eastAsia"/>
                <w:lang w:val="en-US" w:eastAsia="zh-CN"/>
              </w:rPr>
              <w:t>10</w:t>
            </w:r>
            <w:r>
              <w:rPr>
                <w:rFonts w:hint="eastAsia"/>
              </w:rPr>
              <w:t>kg，则项目废包装桶产生量为</w:t>
            </w:r>
            <w:r>
              <w:rPr>
                <w:rFonts w:hint="eastAsia"/>
                <w:lang w:val="en-US" w:eastAsia="zh-CN"/>
              </w:rPr>
              <w:t>3.6</w:t>
            </w:r>
            <w:r>
              <w:rPr>
                <w:rFonts w:hint="eastAsia"/>
              </w:rPr>
              <w:t>t/a，</w:t>
            </w:r>
            <w:r>
              <w:rPr>
                <w:rFonts w:hint="eastAsia"/>
                <w:lang w:val="en-US" w:eastAsia="zh-CN"/>
              </w:rPr>
              <w:t>固废代码</w:t>
            </w:r>
            <w:r>
              <w:rPr>
                <w:rFonts w:hint="eastAsia"/>
              </w:rPr>
              <w:t>900-099-S59</w:t>
            </w:r>
            <w:r>
              <w:rPr>
                <w:rFonts w:hint="eastAsia"/>
                <w:lang w:eastAsia="zh-CN"/>
              </w:rPr>
              <w:t>，</w:t>
            </w:r>
            <w:r>
              <w:rPr>
                <w:rFonts w:hint="eastAsia"/>
              </w:rPr>
              <w:t>收集后</w:t>
            </w:r>
            <w:r>
              <w:rPr>
                <w:rFonts w:hint="eastAsia"/>
                <w:lang w:val="en-US" w:eastAsia="zh-CN"/>
              </w:rPr>
              <w:t>由厂家回收处理。</w:t>
            </w:r>
          </w:p>
          <w:p>
            <w:pPr>
              <w:keepNext w:val="0"/>
              <w:keepLines w:val="0"/>
              <w:suppressLineNumbers w:val="0"/>
              <w:spacing w:before="0" w:beforeAutospacing="0" w:after="0" w:afterAutospacing="0"/>
              <w:ind w:left="0" w:right="0" w:firstLine="42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营运期设备需定期维护，会产生一定量的废</w:t>
            </w:r>
            <w:r>
              <w:rPr>
                <w:rFonts w:hint="eastAsia"/>
                <w:color w:val="000000" w:themeColor="text1"/>
                <w:highlight w:val="none"/>
                <w:lang w:val="en-US" w:eastAsia="zh-CN"/>
                <w14:textFill>
                  <w14:solidFill>
                    <w14:schemeClr w14:val="tx1"/>
                  </w14:solidFill>
                </w14:textFill>
              </w:rPr>
              <w:t>矿物</w:t>
            </w:r>
            <w:r>
              <w:rPr>
                <w:rFonts w:hint="eastAsia"/>
                <w:color w:val="000000" w:themeColor="text1"/>
                <w:highlight w:val="none"/>
                <w14:textFill>
                  <w14:solidFill>
                    <w14:schemeClr w14:val="tx1"/>
                  </w14:solidFill>
                </w14:textFill>
              </w:rPr>
              <w:t>油，产生量约为6t/a。根据《国家危险废物名录（2021 年版）》，废</w:t>
            </w:r>
            <w:r>
              <w:rPr>
                <w:rFonts w:hint="eastAsia"/>
                <w:color w:val="000000" w:themeColor="text1"/>
                <w:highlight w:val="none"/>
                <w:lang w:val="en-US" w:eastAsia="zh-CN"/>
                <w14:textFill>
                  <w14:solidFill>
                    <w14:schemeClr w14:val="tx1"/>
                  </w14:solidFill>
                </w14:textFill>
              </w:rPr>
              <w:t>矿物</w:t>
            </w:r>
            <w:r>
              <w:rPr>
                <w:rFonts w:hint="eastAsia"/>
                <w:color w:val="000000" w:themeColor="text1"/>
                <w:highlight w:val="none"/>
                <w14:textFill>
                  <w14:solidFill>
                    <w14:schemeClr w14:val="tx1"/>
                  </w14:solidFill>
                </w14:textFill>
              </w:rPr>
              <w:t>油属于危险废物，危废代码为HW08/900-214-08，</w:t>
            </w:r>
            <w:r>
              <w:rPr>
                <w:rFonts w:hint="eastAsia"/>
                <w:color w:val="000000" w:themeColor="text1"/>
                <w:highlight w:val="none"/>
                <w:lang w:val="en-US" w:eastAsia="zh-CN"/>
                <w14:textFill>
                  <w14:solidFill>
                    <w14:schemeClr w14:val="tx1"/>
                  </w14:solidFill>
                </w14:textFill>
              </w:rPr>
              <w:t>设置危废贮存间收集后，</w:t>
            </w:r>
            <w:r>
              <w:rPr>
                <w:rFonts w:hint="eastAsia"/>
                <w:color w:val="000000" w:themeColor="text1"/>
                <w:highlight w:val="none"/>
                <w14:textFill>
                  <w14:solidFill>
                    <w14:schemeClr w14:val="tx1"/>
                  </w14:solidFill>
                </w14:textFill>
              </w:rPr>
              <w:t>委托有资质单位处置。</w:t>
            </w:r>
          </w:p>
          <w:p>
            <w:pPr>
              <w:keepNext w:val="0"/>
              <w:keepLines w:val="0"/>
              <w:suppressLineNumbers w:val="0"/>
              <w:spacing w:before="0" w:beforeAutospacing="0" w:after="0" w:afterAutospacing="0"/>
              <w:ind w:left="0" w:right="0" w:firstLine="420"/>
              <w:rPr>
                <w:rFonts w:hint="default"/>
              </w:rPr>
            </w:pPr>
            <w:r>
              <w:rPr>
                <w:rFonts w:hint="eastAsia"/>
                <w:lang w:eastAsia="zh-CN"/>
              </w:rPr>
              <w:t>（</w:t>
            </w:r>
            <w:r>
              <w:rPr>
                <w:rFonts w:hint="eastAsia"/>
                <w:lang w:val="en-US" w:eastAsia="zh-CN"/>
              </w:rPr>
              <w:t>6</w:t>
            </w:r>
            <w:r>
              <w:rPr>
                <w:rFonts w:hint="eastAsia"/>
                <w:lang w:eastAsia="zh-CN"/>
              </w:rPr>
              <w:t>）</w:t>
            </w:r>
            <w:r>
              <w:rPr>
                <w:rFonts w:hint="eastAsia"/>
              </w:rPr>
              <w:t>生活垃圾</w:t>
            </w:r>
          </w:p>
          <w:p>
            <w:pPr>
              <w:keepNext w:val="0"/>
              <w:keepLines w:val="0"/>
              <w:suppressLineNumbers w:val="0"/>
              <w:spacing w:before="0" w:beforeAutospacing="0" w:after="0" w:afterAutospacing="0"/>
              <w:ind w:left="0" w:right="0" w:firstLine="420"/>
              <w:rPr>
                <w:rFonts w:hint="default"/>
              </w:rPr>
            </w:pPr>
            <w:r>
              <w:rPr>
                <w:rFonts w:hint="eastAsia"/>
              </w:rPr>
              <w:t>本项目劳动定员</w:t>
            </w:r>
            <w:r>
              <w:rPr>
                <w:rFonts w:hint="eastAsia"/>
                <w:lang w:val="en-US" w:eastAsia="zh-CN"/>
              </w:rPr>
              <w:t>15</w:t>
            </w:r>
            <w:r>
              <w:rPr>
                <w:rFonts w:hint="eastAsia"/>
              </w:rPr>
              <w:t>0人，生活垃圾产生量按人均0.5kg/d 计算，则企业生活垃圾产生量为</w:t>
            </w:r>
            <w:r>
              <w:rPr>
                <w:rFonts w:hint="eastAsia"/>
                <w:lang w:val="en-US" w:eastAsia="zh-CN"/>
              </w:rPr>
              <w:t>24</w:t>
            </w:r>
            <w:r>
              <w:rPr>
                <w:rFonts w:hint="eastAsia"/>
              </w:rPr>
              <w:t>t/a，定点收集后委托</w:t>
            </w:r>
            <w:r>
              <w:rPr>
                <w:rFonts w:hint="eastAsia"/>
                <w:lang w:val="en-US" w:eastAsia="zh-CN"/>
              </w:rPr>
              <w:t>园区</w:t>
            </w:r>
            <w:r>
              <w:rPr>
                <w:rFonts w:hint="eastAsia"/>
              </w:rPr>
              <w:t>环卫部门统一清运处理。</w:t>
            </w:r>
          </w:p>
          <w:p>
            <w:pPr>
              <w:keepNext w:val="0"/>
              <w:keepLines w:val="0"/>
              <w:suppressLineNumbers w:val="0"/>
              <w:spacing w:before="0" w:beforeAutospacing="0" w:after="0" w:afterAutospacing="0"/>
              <w:ind w:left="0" w:right="0" w:firstLine="42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4.2固废管理要求</w:t>
            </w:r>
          </w:p>
          <w:p>
            <w:pPr>
              <w:keepNext w:val="0"/>
              <w:keepLines w:val="0"/>
              <w:suppressLineNumbers w:val="0"/>
              <w:spacing w:before="0" w:beforeLines="0" w:beforeAutospacing="0" w:after="0" w:afterLines="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一般工业固废管理要求：</w:t>
            </w:r>
            <w:r>
              <w:rPr>
                <w:rFonts w:hint="default"/>
                <w:color w:val="000000" w:themeColor="text1"/>
                <w:highlight w:val="none"/>
                <w14:textFill>
                  <w14:solidFill>
                    <w14:schemeClr w14:val="tx1"/>
                  </w14:solidFill>
                </w14:textFill>
              </w:rPr>
              <w:t>环评</w:t>
            </w:r>
            <w:r>
              <w:rPr>
                <w:rFonts w:hint="eastAsia"/>
                <w:color w:val="000000" w:themeColor="text1"/>
                <w:highlight w:val="none"/>
                <w14:textFill>
                  <w14:solidFill>
                    <w14:schemeClr w14:val="tx1"/>
                  </w14:solidFill>
                </w14:textFill>
              </w:rPr>
              <w:t>要求</w:t>
            </w:r>
            <w:r>
              <w:rPr>
                <w:rFonts w:hint="default"/>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临时暂存一般工业固废场所</w:t>
            </w:r>
            <w:r>
              <w:rPr>
                <w:rFonts w:hint="default" w:eastAsia="宋体"/>
                <w:color w:val="000000" w:themeColor="text1"/>
                <w:highlight w:val="none"/>
                <w14:textFill>
                  <w14:solidFill>
                    <w14:schemeClr w14:val="tx1"/>
                  </w14:solidFill>
                </w14:textFill>
              </w:rPr>
              <w:t>应满足相应防渗漏、防雨淋、防扬尘等环境保护要求</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并建立</w:t>
            </w:r>
            <w:r>
              <w:rPr>
                <w:rFonts w:hint="eastAsia"/>
                <w:color w:val="000000" w:themeColor="text1"/>
                <w:highlight w:val="none"/>
                <w:lang w:val="en-US" w:eastAsia="zh-CN"/>
                <w14:textFill>
                  <w14:solidFill>
                    <w14:schemeClr w14:val="tx1"/>
                  </w14:solidFill>
                </w14:textFill>
              </w:rPr>
              <w:t xml:space="preserve">工业固体废物管理台账制度，保存期限不少于5年。 </w:t>
            </w:r>
          </w:p>
          <w:p>
            <w:pPr>
              <w:keepNext w:val="0"/>
              <w:keepLines w:val="0"/>
              <w:suppressLineNumbers w:val="0"/>
              <w:spacing w:before="0" w:beforeAutospacing="0" w:after="0" w:afterAutospacing="0"/>
              <w:ind w:left="0" w:right="0" w:firstLine="42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危险废物管理要求：</w:t>
            </w:r>
            <w:r>
              <w:rPr>
                <w:rFonts w:hint="default"/>
                <w:color w:val="000000" w:themeColor="text1"/>
                <w:highlight w:val="none"/>
                <w14:textFill>
                  <w14:solidFill>
                    <w14:schemeClr w14:val="tx1"/>
                  </w14:solidFill>
                </w14:textFill>
              </w:rPr>
              <w:t>环评</w:t>
            </w:r>
            <w:r>
              <w:rPr>
                <w:rFonts w:hint="eastAsia"/>
                <w:color w:val="000000" w:themeColor="text1"/>
                <w:highlight w:val="none"/>
                <w14:textFill>
                  <w14:solidFill>
                    <w14:schemeClr w14:val="tx1"/>
                  </w14:solidFill>
                </w14:textFill>
              </w:rPr>
              <w:t>要求</w:t>
            </w:r>
            <w:r>
              <w:rPr>
                <w:rFonts w:hint="default"/>
                <w:color w:val="000000" w:themeColor="text1"/>
                <w:highlight w:val="none"/>
                <w14:textFill>
                  <w14:solidFill>
                    <w14:schemeClr w14:val="tx1"/>
                  </w14:solidFill>
                </w14:textFill>
              </w:rPr>
              <w:t>本项目建设1间危废</w:t>
            </w:r>
            <w:r>
              <w:rPr>
                <w:rFonts w:hint="eastAsia"/>
                <w:color w:val="000000" w:themeColor="text1"/>
                <w:highlight w:val="none"/>
                <w:lang w:val="en-US" w:eastAsia="zh-CN"/>
                <w14:textFill>
                  <w14:solidFill>
                    <w14:schemeClr w14:val="tx1"/>
                  </w14:solidFill>
                </w14:textFill>
              </w:rPr>
              <w:t>贮存</w:t>
            </w:r>
            <w:r>
              <w:rPr>
                <w:rFonts w:hint="default"/>
                <w:color w:val="000000" w:themeColor="text1"/>
                <w:highlight w:val="none"/>
                <w14:textFill>
                  <w14:solidFill>
                    <w14:schemeClr w14:val="tx1"/>
                  </w14:solidFill>
                </w14:textFill>
              </w:rPr>
              <w:t>间，</w:t>
            </w:r>
            <w:r>
              <w:rPr>
                <w:rFonts w:hint="eastAsia"/>
                <w:color w:val="000000" w:themeColor="text1"/>
                <w:highlight w:val="none"/>
                <w:lang w:val="en-US" w:eastAsia="zh-CN"/>
                <w14:textFill>
                  <w14:solidFill>
                    <w14:schemeClr w14:val="tx1"/>
                  </w14:solidFill>
                </w14:textFill>
              </w:rPr>
              <w:t>建筑面积建议为20m</w:t>
            </w:r>
            <w:r>
              <w:rPr>
                <w:rFonts w:hint="eastAsia"/>
                <w:color w:val="000000" w:themeColor="text1"/>
                <w:highlight w:val="none"/>
                <w:vertAlign w:val="superscript"/>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废</w:t>
            </w:r>
            <w:r>
              <w:rPr>
                <w:rFonts w:hint="eastAsia"/>
                <w:color w:val="000000" w:themeColor="text1"/>
                <w:highlight w:val="none"/>
                <w:lang w:val="en-US" w:eastAsia="zh-CN"/>
                <w14:textFill>
                  <w14:solidFill>
                    <w14:schemeClr w14:val="tx1"/>
                  </w14:solidFill>
                </w14:textFill>
              </w:rPr>
              <w:t>矿物</w:t>
            </w:r>
            <w:r>
              <w:rPr>
                <w:rFonts w:hint="eastAsia"/>
                <w:color w:val="000000" w:themeColor="text1"/>
                <w:highlight w:val="none"/>
                <w14:textFill>
                  <w14:solidFill>
                    <w14:schemeClr w14:val="tx1"/>
                  </w14:solidFill>
                </w14:textFill>
              </w:rPr>
              <w:t>油</w:t>
            </w:r>
            <w:r>
              <w:rPr>
                <w:rFonts w:hint="default"/>
                <w:color w:val="000000" w:themeColor="text1"/>
                <w:highlight w:val="none"/>
                <w14:textFill>
                  <w14:solidFill>
                    <w14:schemeClr w14:val="tx1"/>
                  </w14:solidFill>
                </w14:textFill>
              </w:rPr>
              <w:t>暂存于危</w:t>
            </w:r>
            <w:r>
              <w:rPr>
                <w:rFonts w:hint="eastAsia"/>
                <w:color w:val="000000" w:themeColor="text1"/>
                <w:highlight w:val="none"/>
                <w14:textFill>
                  <w14:solidFill>
                    <w14:schemeClr w14:val="tx1"/>
                  </w14:solidFill>
                </w14:textFill>
              </w:rPr>
              <w:t>废</w:t>
            </w:r>
            <w:r>
              <w:rPr>
                <w:rFonts w:hint="eastAsia"/>
                <w:color w:val="000000" w:themeColor="text1"/>
                <w:highlight w:val="none"/>
                <w:lang w:val="en-US" w:eastAsia="zh-CN"/>
                <w14:textFill>
                  <w14:solidFill>
                    <w14:schemeClr w14:val="tx1"/>
                  </w14:solidFill>
                </w14:textFill>
              </w:rPr>
              <w:t>贮存</w:t>
            </w:r>
            <w:r>
              <w:rPr>
                <w:rFonts w:hint="default"/>
                <w:color w:val="000000" w:themeColor="text1"/>
                <w:highlight w:val="none"/>
                <w14:textFill>
                  <w14:solidFill>
                    <w14:schemeClr w14:val="tx1"/>
                  </w14:solidFill>
                </w14:textFill>
              </w:rPr>
              <w:t>间，定期交由有资质的单位处理。</w:t>
            </w:r>
          </w:p>
          <w:p>
            <w:pPr>
              <w:keepNext w:val="0"/>
              <w:keepLines w:val="0"/>
              <w:suppressLineNumbers w:val="0"/>
              <w:spacing w:before="0" w:beforeLines="0" w:beforeAutospacing="0" w:after="0" w:afterLines="0" w:afterAutospacing="0"/>
              <w:ind w:left="0" w:right="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危废</w:t>
            </w:r>
            <w:r>
              <w:rPr>
                <w:rFonts w:hint="eastAsia"/>
                <w:color w:val="000000" w:themeColor="text1"/>
                <w:highlight w:val="none"/>
                <w:lang w:val="en-US" w:eastAsia="zh-CN"/>
                <w14:textFill>
                  <w14:solidFill>
                    <w14:schemeClr w14:val="tx1"/>
                  </w14:solidFill>
                </w14:textFill>
              </w:rPr>
              <w:t>贮存</w:t>
            </w:r>
            <w:r>
              <w:rPr>
                <w:rFonts w:hint="eastAsia"/>
                <w:color w:val="000000" w:themeColor="text1"/>
                <w:highlight w:val="none"/>
                <w14:textFill>
                  <w14:solidFill>
                    <w14:schemeClr w14:val="tx1"/>
                  </w14:solidFill>
                </w14:textFill>
              </w:rPr>
              <w:t>间应做好防风、防雨、防晒，设计堵截泄漏的裙脚</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径流疏导、收集系统</w:t>
            </w:r>
            <w:r>
              <w:rPr>
                <w:rFonts w:hint="eastAsia"/>
                <w:color w:val="000000" w:themeColor="text1"/>
                <w:highlight w:val="none"/>
                <w14:textFill>
                  <w14:solidFill>
                    <w14:schemeClr w14:val="tx1"/>
                  </w14:solidFill>
                </w14:textFill>
              </w:rPr>
              <w:t>，地面与裙脚必须</w:t>
            </w:r>
            <w:r>
              <w:rPr>
                <w:rFonts w:hint="eastAsia"/>
                <w:color w:val="000000" w:themeColor="text1"/>
                <w:highlight w:val="none"/>
                <w:lang w:val="en-US" w:eastAsia="zh-CN"/>
                <w14:textFill>
                  <w14:solidFill>
                    <w14:schemeClr w14:val="tx1"/>
                  </w14:solidFill>
                </w14:textFill>
              </w:rPr>
              <w:t>采用用坚固的材料建造，表面无裂缝。废矿物油采用与其相容的包装容器，</w:t>
            </w:r>
            <w:r>
              <w:rPr>
                <w:rFonts w:hint="eastAsia" w:ascii="宋体" w:hAnsi="宋体" w:eastAsia="宋体"/>
                <w:color w:val="000000" w:themeColor="text1"/>
                <w:sz w:val="21"/>
                <w:highlight w:val="none"/>
                <w14:textFill>
                  <w14:solidFill>
                    <w14:schemeClr w14:val="tx1"/>
                  </w14:solidFill>
                </w14:textFill>
              </w:rPr>
              <w:t>其容器和包装物应满足相应的防渗、防漏、防腐和强度等要求</w:t>
            </w:r>
            <w:r>
              <w:rPr>
                <w:rFonts w:hint="eastAsia" w:ascii="宋体" w:hAnsi="宋体" w:eastAsia="宋体"/>
                <w:color w:val="000000" w:themeColor="text1"/>
                <w:sz w:val="21"/>
                <w:highlight w:val="none"/>
                <w:lang w:eastAsia="zh-CN"/>
                <w14:textFill>
                  <w14:solidFill>
                    <w14:schemeClr w14:val="tx1"/>
                  </w14:solidFill>
                </w14:textFill>
              </w:rPr>
              <w:t>，无破损泄漏</w:t>
            </w:r>
            <w:r>
              <w:rPr>
                <w:rFonts w:hint="eastAsia" w:ascii="宋体" w:hAnsi="宋体" w:eastAsia="宋体"/>
                <w:color w:val="000000" w:themeColor="text1"/>
                <w:sz w:val="2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贮存间地面防渗材料采用抗渗混凝土、高密度聚乙烯膜、钠基膨润土防水毯或其他防渗性能等效的材料。</w:t>
            </w:r>
          </w:p>
          <w:p>
            <w:pPr>
              <w:keepNext w:val="0"/>
              <w:keepLines w:val="0"/>
              <w:suppressLineNumbers w:val="0"/>
              <w:spacing w:before="0" w:beforeAutospacing="0" w:after="0" w:afterAutospacing="0"/>
              <w:ind w:left="0" w:right="0" w:firstLine="42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产生的危险废物</w:t>
            </w:r>
            <w:r>
              <w:rPr>
                <w:rFonts w:hint="eastAsia"/>
                <w:color w:val="000000" w:themeColor="text1"/>
                <w:highlight w:val="none"/>
                <w:lang w:val="en-US" w:eastAsia="zh-CN"/>
                <w14:textFill>
                  <w14:solidFill>
                    <w14:schemeClr w14:val="tx1"/>
                  </w14:solidFill>
                </w14:textFill>
              </w:rPr>
              <w:t>集中</w:t>
            </w:r>
            <w:r>
              <w:rPr>
                <w:rFonts w:hint="eastAsia"/>
                <w:color w:val="000000" w:themeColor="text1"/>
                <w:highlight w:val="none"/>
                <w14:textFill>
                  <w14:solidFill>
                    <w14:schemeClr w14:val="tx1"/>
                  </w14:solidFill>
                </w14:textFill>
              </w:rPr>
              <w:t>收集，并</w:t>
            </w:r>
            <w:r>
              <w:rPr>
                <w:rFonts w:hint="default"/>
                <w:color w:val="000000" w:themeColor="text1"/>
                <w:highlight w:val="none"/>
                <w14:textFill>
                  <w14:solidFill>
                    <w14:schemeClr w14:val="tx1"/>
                  </w14:solidFill>
                </w14:textFill>
              </w:rPr>
              <w:t>设置</w:t>
            </w:r>
            <w:r>
              <w:rPr>
                <w:rFonts w:hint="eastAsia"/>
                <w:color w:val="000000" w:themeColor="text1"/>
                <w:highlight w:val="none"/>
                <w14:textFill>
                  <w14:solidFill>
                    <w14:schemeClr w14:val="tx1"/>
                  </w14:solidFill>
                </w14:textFill>
              </w:rPr>
              <w:t>标识标牌，注明主要</w:t>
            </w:r>
            <w:r>
              <w:rPr>
                <w:rFonts w:hint="eastAsia"/>
                <w:color w:val="000000" w:themeColor="text1"/>
                <w:highlight w:val="none"/>
                <w:lang w:val="en-US" w:eastAsia="zh-CN"/>
                <w14:textFill>
                  <w14:solidFill>
                    <w14:schemeClr w14:val="tx1"/>
                  </w14:solidFill>
                </w14:textFill>
              </w:rPr>
              <w:t>贮存</w:t>
            </w:r>
            <w:r>
              <w:rPr>
                <w:rFonts w:hint="eastAsia"/>
                <w:color w:val="000000" w:themeColor="text1"/>
                <w:highlight w:val="none"/>
                <w14:textFill>
                  <w14:solidFill>
                    <w14:schemeClr w14:val="tx1"/>
                  </w14:solidFill>
                </w14:textFill>
              </w:rPr>
              <w:t>危废的种类、数量、危废编号等信息，</w:t>
            </w:r>
            <w:r>
              <w:rPr>
                <w:rFonts w:hint="eastAsia"/>
                <w:color w:val="000000" w:themeColor="text1"/>
                <w:highlight w:val="none"/>
                <w:lang w:val="en-US" w:eastAsia="zh-CN"/>
                <w14:textFill>
                  <w14:solidFill>
                    <w14:schemeClr w14:val="tx1"/>
                  </w14:solidFill>
                </w14:textFill>
              </w:rPr>
              <w:t>贮存</w:t>
            </w:r>
            <w:r>
              <w:rPr>
                <w:rFonts w:hint="eastAsia"/>
                <w:color w:val="000000" w:themeColor="text1"/>
                <w:highlight w:val="none"/>
                <w14:textFill>
                  <w14:solidFill>
                    <w14:schemeClr w14:val="tx1"/>
                  </w14:solidFill>
                </w14:textFill>
              </w:rPr>
              <w:t>时间不得超过1年。收集后的危险废物定期委托有资质单位处理，按国家有关标准和规定建立危险废物管理台账并保存，</w:t>
            </w:r>
            <w:r>
              <w:rPr>
                <w:rFonts w:hint="eastAsia"/>
                <w:color w:val="000000" w:themeColor="text1"/>
                <w:highlight w:val="none"/>
                <w:lang w:val="en-US" w:eastAsia="zh-CN"/>
                <w14:textFill>
                  <w14:solidFill>
                    <w14:schemeClr w14:val="tx1"/>
                  </w14:solidFill>
                </w14:textFill>
              </w:rPr>
              <w:t>制定相应危险废物管理制度，</w:t>
            </w:r>
            <w:r>
              <w:rPr>
                <w:rFonts w:hint="eastAsia"/>
                <w:color w:val="000000" w:themeColor="text1"/>
                <w:highlight w:val="none"/>
                <w14:textFill>
                  <w14:solidFill>
                    <w14:schemeClr w14:val="tx1"/>
                  </w14:solidFill>
                </w14:textFill>
              </w:rPr>
              <w:t>接受生态环境保护部门监督</w:t>
            </w:r>
            <w:r>
              <w:rPr>
                <w:rFonts w:hint="default"/>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firstLine="0" w:firstLineChars="0"/>
              <w:rPr>
                <w:rFonts w:hint="default"/>
              </w:rPr>
            </w:pPr>
            <w:r>
              <w:rPr>
                <w:rFonts w:hint="eastAsia"/>
              </w:rPr>
              <w:t>5、地下水、土壤影响分析及治理措施</w:t>
            </w:r>
          </w:p>
          <w:p>
            <w:pPr>
              <w:keepNext w:val="0"/>
              <w:keepLines w:val="0"/>
              <w:suppressLineNumbers w:val="0"/>
              <w:spacing w:before="0" w:beforeLines="0" w:beforeAutospacing="0" w:after="0" w:afterLines="0" w:afterAutospacing="0"/>
              <w:ind w:left="0" w:right="0"/>
              <w:jc w:val="left"/>
              <w:rPr>
                <w:rFonts w:hint="default"/>
              </w:rPr>
            </w:pPr>
            <w:r>
              <w:rPr>
                <w:rFonts w:hint="default"/>
              </w:rPr>
              <w:t>本项目无地下水、土壤污染源，但需对</w:t>
            </w:r>
            <w:r>
              <w:rPr>
                <w:rFonts w:hint="eastAsia"/>
              </w:rPr>
              <w:t>危废间</w:t>
            </w:r>
            <w:r>
              <w:rPr>
                <w:rFonts w:hint="default"/>
              </w:rPr>
              <w:t>进行</w:t>
            </w:r>
            <w:r>
              <w:rPr>
                <w:rFonts w:hint="eastAsia"/>
              </w:rPr>
              <w:t>重点防渗</w:t>
            </w:r>
            <w:r>
              <w:rPr>
                <w:rFonts w:hint="default"/>
              </w:rPr>
              <w:t>处理，</w:t>
            </w:r>
            <w:r>
              <w:rPr>
                <w:rFonts w:hint="eastAsia"/>
                <w:lang w:val="en-US" w:eastAsia="zh-CN"/>
              </w:rPr>
              <w:t>采用抗渗混凝土、高密度聚乙烯膜、钠基膨润土防水毯或其他防渗性能等效的材料</w:t>
            </w:r>
            <w:r>
              <w:rPr>
                <w:rFonts w:hint="eastAsia"/>
                <w:lang w:eastAsia="zh-CN"/>
              </w:rPr>
              <w:t>，</w:t>
            </w:r>
            <w:r>
              <w:rPr>
                <w:rFonts w:hint="eastAsia"/>
                <w:lang w:val="en-US" w:eastAsia="zh-CN"/>
              </w:rPr>
              <w:t>满足</w:t>
            </w:r>
            <w:r>
              <w:rPr>
                <w:rFonts w:hint="eastAsia"/>
                <w:lang w:eastAsia="zh-CN"/>
              </w:rPr>
              <w:t>《危险废物贮存污染控制标准（GB18597-2023）》</w:t>
            </w:r>
            <w:r>
              <w:rPr>
                <w:rFonts w:hint="eastAsia"/>
                <w:lang w:val="en-US" w:eastAsia="zh-CN"/>
              </w:rPr>
              <w:t>要求，其余区域简单硬化即可</w:t>
            </w:r>
            <w:r>
              <w:rPr>
                <w:rFonts w:hint="eastAsia"/>
              </w:rPr>
              <w:t>。</w:t>
            </w:r>
          </w:p>
          <w:p>
            <w:pPr>
              <w:keepNext w:val="0"/>
              <w:keepLines w:val="0"/>
              <w:suppressLineNumbers w:val="0"/>
              <w:spacing w:before="0" w:beforeAutospacing="0" w:after="0" w:afterAutospacing="0"/>
              <w:ind w:left="0" w:right="0" w:firstLine="0" w:firstLineChars="0"/>
              <w:rPr>
                <w:rFonts w:hint="default"/>
              </w:rPr>
            </w:pPr>
            <w:r>
              <w:rPr>
                <w:rFonts w:hint="eastAsia"/>
              </w:rPr>
              <w:t>5、地下水、土壤影响分析及治理措施</w:t>
            </w:r>
          </w:p>
          <w:p>
            <w:pPr>
              <w:keepNext w:val="0"/>
              <w:keepLines w:val="0"/>
              <w:suppressLineNumbers w:val="0"/>
              <w:spacing w:before="0" w:beforeAutospacing="0" w:after="0" w:afterAutospacing="0"/>
              <w:ind w:left="0" w:right="0" w:firstLine="420"/>
              <w:rPr>
                <w:rFonts w:hint="default"/>
              </w:rPr>
            </w:pPr>
            <w:r>
              <w:rPr>
                <w:rFonts w:hint="default"/>
              </w:rPr>
              <w:t>本项目无地下水、土壤污染源，但需对</w:t>
            </w:r>
            <w:r>
              <w:rPr>
                <w:rFonts w:hint="eastAsia"/>
              </w:rPr>
              <w:t>危废间</w:t>
            </w:r>
            <w:r>
              <w:rPr>
                <w:rFonts w:hint="default"/>
              </w:rPr>
              <w:t>进行</w:t>
            </w:r>
            <w:r>
              <w:rPr>
                <w:rFonts w:hint="eastAsia"/>
              </w:rPr>
              <w:t>重点防渗</w:t>
            </w:r>
            <w:r>
              <w:rPr>
                <w:rFonts w:hint="default"/>
              </w:rPr>
              <w:t>处理，</w:t>
            </w:r>
            <w:r>
              <w:rPr>
                <w:rFonts w:hint="eastAsia"/>
              </w:rPr>
              <w:t>防止发生污染。</w:t>
            </w:r>
          </w:p>
          <w:p>
            <w:pPr>
              <w:keepNext w:val="0"/>
              <w:keepLines w:val="0"/>
              <w:suppressLineNumbers w:val="0"/>
              <w:spacing w:before="0" w:beforeAutospacing="0" w:after="0" w:afterAutospacing="0"/>
              <w:ind w:left="0" w:right="0" w:firstLine="0" w:firstLineChars="0"/>
              <w:rPr>
                <w:rFonts w:hint="default"/>
              </w:rPr>
            </w:pPr>
            <w:r>
              <w:rPr>
                <w:rFonts w:hint="eastAsia"/>
              </w:rPr>
              <w:t>6、环境风险分析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highlight w:val="none"/>
                <w:lang w:val="en-US" w:eastAsia="zh-CN"/>
              </w:rPr>
            </w:pPr>
            <w:r>
              <w:rPr>
                <w:rFonts w:hint="eastAsia"/>
                <w:color w:val="auto"/>
                <w:highlight w:val="none"/>
                <w:lang w:val="en-US" w:eastAsia="zh-CN"/>
              </w:rPr>
              <w:t>（1）危险物质及风险源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highlight w:val="none"/>
                <w:lang w:val="en-US" w:eastAsia="zh-CN"/>
              </w:rPr>
            </w:pPr>
            <w:r>
              <w:rPr>
                <w:rFonts w:hint="default"/>
                <w:color w:val="auto"/>
                <w:highlight w:val="none"/>
                <w:lang w:val="en-US" w:eastAsia="zh-CN"/>
              </w:rPr>
              <w:t>本项目涉及的风险物质主要</w:t>
            </w:r>
            <w:r>
              <w:rPr>
                <w:rFonts w:hint="eastAsia"/>
                <w:color w:val="auto"/>
                <w:highlight w:val="none"/>
                <w:lang w:val="en-US" w:eastAsia="zh-CN"/>
              </w:rPr>
              <w:t>为废矿物油，其具有毒性、易燃性，经对比物质的危险特性，结合生产设施风险识别结果，项目最大可信事故设定为废矿物油泄漏、火灾爆炸引发大气污染事故。废矿物油主要理化特性见下表26。</w:t>
            </w:r>
          </w:p>
          <w:p>
            <w:pPr>
              <w:pStyle w:val="16"/>
              <w:keepNext w:val="0"/>
              <w:keepLines w:val="0"/>
              <w:widowControl/>
              <w:suppressLineNumbers w:val="0"/>
              <w:autoSpaceDE w:val="0"/>
              <w:autoSpaceDN w:val="0"/>
              <w:spacing w:before="0" w:beforeAutospacing="0" w:after="0" w:afterAutospacing="0"/>
              <w:ind w:left="0" w:right="0" w:firstLine="420"/>
              <w:rPr>
                <w:rFonts w:hint="default"/>
                <w:b w:val="0"/>
                <w:bCs w:val="0"/>
                <w:color w:val="auto"/>
                <w:highlight w:val="none"/>
              </w:rPr>
            </w:pPr>
          </w:p>
          <w:p>
            <w:pPr>
              <w:pStyle w:val="16"/>
              <w:keepNext w:val="0"/>
              <w:keepLines w:val="0"/>
              <w:widowControl/>
              <w:suppressLineNumbers w:val="0"/>
              <w:autoSpaceDE w:val="0"/>
              <w:autoSpaceDN w:val="0"/>
              <w:spacing w:before="0" w:beforeAutospacing="0" w:after="0" w:afterAutospacing="0"/>
              <w:ind w:left="0" w:right="0" w:firstLine="420"/>
              <w:rPr>
                <w:rFonts w:hint="default"/>
                <w:b w:val="0"/>
                <w:bCs w:val="0"/>
                <w:color w:val="auto"/>
                <w:highlight w:val="none"/>
              </w:rPr>
            </w:pPr>
            <w:r>
              <w:rPr>
                <w:rFonts w:hint="default"/>
                <w:b w:val="0"/>
                <w:bCs w:val="0"/>
                <w:color w:val="auto"/>
                <w:highlight w:val="none"/>
              </w:rPr>
              <w:t>表</w:t>
            </w:r>
            <w:r>
              <w:rPr>
                <w:rFonts w:hint="eastAsia"/>
                <w:b w:val="0"/>
                <w:bCs w:val="0"/>
                <w:color w:val="auto"/>
                <w:highlight w:val="none"/>
                <w:lang w:val="en-US" w:eastAsia="zh-CN"/>
              </w:rPr>
              <w:t>26</w:t>
            </w:r>
            <w:r>
              <w:rPr>
                <w:rFonts w:hint="eastAsia"/>
                <w:b w:val="0"/>
                <w:bCs w:val="0"/>
                <w:color w:val="auto"/>
                <w:highlight w:val="none"/>
              </w:rPr>
              <w:t xml:space="preserve">                    废矿物油</w:t>
            </w:r>
            <w:r>
              <w:rPr>
                <w:rFonts w:hint="default"/>
                <w:b w:val="0"/>
                <w:bCs w:val="0"/>
                <w:color w:val="auto"/>
                <w:highlight w:val="none"/>
              </w:rPr>
              <w:t>理化性质表</w:t>
            </w:r>
          </w:p>
          <w:tbl>
            <w:tblPr>
              <w:tblStyle w:val="1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960"/>
              <w:gridCol w:w="1930"/>
              <w:gridCol w:w="22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46" w:type="dxa"/>
                  <w:gridSpan w:val="4"/>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危险性概述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危险特性</w:t>
                  </w:r>
                </w:p>
              </w:tc>
              <w:tc>
                <w:tcPr>
                  <w:tcW w:w="1960"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遇明火，高热可燃</w:t>
                  </w:r>
                </w:p>
              </w:tc>
              <w:tc>
                <w:tcPr>
                  <w:tcW w:w="1930"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燃爆危险</w:t>
                  </w:r>
                </w:p>
              </w:tc>
              <w:tc>
                <w:tcPr>
                  <w:tcW w:w="2211"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易燃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侵入途径</w:t>
                  </w:r>
                </w:p>
              </w:tc>
              <w:tc>
                <w:tcPr>
                  <w:tcW w:w="1960"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default"/>
                      <w:color w:val="auto"/>
                      <w:highlight w:val="none"/>
                    </w:rPr>
                    <w:t>吸入</w:t>
                  </w:r>
                  <w:r>
                    <w:rPr>
                      <w:rFonts w:hint="eastAsia"/>
                      <w:color w:val="auto"/>
                      <w:highlight w:val="none"/>
                      <w:lang w:eastAsia="zh-CN"/>
                    </w:rPr>
                    <w:t>、</w:t>
                  </w:r>
                  <w:r>
                    <w:rPr>
                      <w:rFonts w:hint="eastAsia"/>
                      <w:color w:val="auto"/>
                      <w:highlight w:val="none"/>
                      <w:lang w:val="en-US" w:eastAsia="zh-CN"/>
                    </w:rPr>
                    <w:t>接触</w:t>
                  </w:r>
                </w:p>
              </w:tc>
              <w:tc>
                <w:tcPr>
                  <w:tcW w:w="1930"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有害燃烧产物</w:t>
                  </w:r>
                </w:p>
              </w:tc>
              <w:tc>
                <w:tcPr>
                  <w:tcW w:w="2211"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default"/>
                      <w:color w:val="auto"/>
                      <w:highlight w:val="none"/>
                    </w:rPr>
                    <w:t>一氧化碳、二氧化碳</w:t>
                  </w:r>
                  <w:r>
                    <w:rPr>
                      <w:rFonts w:hint="eastAsia"/>
                      <w:color w:val="auto"/>
                      <w:highlight w:val="none"/>
                      <w:lang w:eastAsia="zh-CN"/>
                    </w:rPr>
                    <w:t>、</w:t>
                  </w:r>
                  <w:r>
                    <w:rPr>
                      <w:rFonts w:hint="eastAsia"/>
                      <w:color w:val="auto"/>
                      <w:highlight w:val="none"/>
                      <w:lang w:val="en-US" w:eastAsia="zh-CN"/>
                    </w:rPr>
                    <w:t>CO</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溶解性</w:t>
                  </w:r>
                </w:p>
              </w:tc>
              <w:tc>
                <w:tcPr>
                  <w:tcW w:w="6101" w:type="dxa"/>
                  <w:gridSpan w:val="3"/>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溶于苯、乙醇、乙醚、氯仿、丙酮等多数有机物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946" w:type="dxa"/>
                  <w:gridSpan w:val="4"/>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理化特性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外观及性状</w:t>
                  </w:r>
                </w:p>
              </w:tc>
              <w:tc>
                <w:tcPr>
                  <w:tcW w:w="1960"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黑</w:t>
                  </w:r>
                  <w:r>
                    <w:rPr>
                      <w:rFonts w:hint="default"/>
                      <w:color w:val="auto"/>
                      <w:highlight w:val="none"/>
                    </w:rPr>
                    <w:t>色黏稠液体</w:t>
                  </w:r>
                  <w:r>
                    <w:rPr>
                      <w:rFonts w:hint="eastAsia"/>
                      <w:color w:val="auto"/>
                      <w:highlight w:val="none"/>
                      <w:lang w:eastAsia="zh-CN"/>
                    </w:rPr>
                    <w:t>，</w:t>
                  </w:r>
                  <w:r>
                    <w:rPr>
                      <w:rFonts w:hint="eastAsia"/>
                      <w:color w:val="auto"/>
                      <w:highlight w:val="none"/>
                      <w:lang w:val="en-US" w:eastAsia="zh-CN"/>
                    </w:rPr>
                    <w:t>主要为多环芳烃</w:t>
                  </w:r>
                </w:p>
              </w:tc>
              <w:tc>
                <w:tcPr>
                  <w:tcW w:w="1930" w:type="dxa"/>
                  <w:vAlign w:val="center"/>
                </w:tcPr>
                <w:p>
                  <w:pPr>
                    <w:pStyle w:val="15"/>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来源</w:t>
                  </w:r>
                </w:p>
              </w:tc>
              <w:tc>
                <w:tcPr>
                  <w:tcW w:w="2211" w:type="dxa"/>
                  <w:vAlign w:val="center"/>
                </w:tcPr>
                <w:p>
                  <w:pPr>
                    <w:pStyle w:val="15"/>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eastAsia="宋体"/>
                      <w:color w:val="auto"/>
                      <w:highlight w:val="none"/>
                      <w:lang w:val="en-US" w:eastAsia="zh-CN"/>
                    </w:rPr>
                    <w:t>机器加工、润滑和热处理过程中</w:t>
                  </w:r>
                  <w:r>
                    <w:rPr>
                      <w:rFonts w:hint="eastAsia"/>
                      <w:color w:val="auto"/>
                      <w:highlight w:val="none"/>
                      <w:lang w:val="en-US" w:eastAsia="zh-CN"/>
                    </w:rPr>
                    <w:t>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相随密度（空气=1）</w:t>
                  </w:r>
                </w:p>
              </w:tc>
              <w:tc>
                <w:tcPr>
                  <w:tcW w:w="1960" w:type="dxa"/>
                  <w:vAlign w:val="center"/>
                </w:tcPr>
                <w:p>
                  <w:pPr>
                    <w:pStyle w:val="15"/>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w:t>
                  </w:r>
                </w:p>
              </w:tc>
              <w:tc>
                <w:tcPr>
                  <w:tcW w:w="1930"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相对密度（水＝1）</w:t>
                  </w:r>
                </w:p>
              </w:tc>
              <w:tc>
                <w:tcPr>
                  <w:tcW w:w="2211"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闪点（℃）</w:t>
                  </w:r>
                </w:p>
              </w:tc>
              <w:tc>
                <w:tcPr>
                  <w:tcW w:w="1960"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120</w:t>
                  </w:r>
                </w:p>
              </w:tc>
              <w:tc>
                <w:tcPr>
                  <w:tcW w:w="1930"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沸点（℃）</w:t>
                  </w:r>
                </w:p>
              </w:tc>
              <w:tc>
                <w:tcPr>
                  <w:tcW w:w="2211" w:type="dxa"/>
                  <w:vAlign w:val="center"/>
                </w:tcPr>
                <w:p>
                  <w:pPr>
                    <w:pStyle w:val="15"/>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200~400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45" w:type="dxa"/>
                  <w:vAlign w:val="center"/>
                </w:tcPr>
                <w:p>
                  <w:pPr>
                    <w:pStyle w:val="15"/>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lang w:val="en-US" w:eastAsia="zh-CN"/>
                    </w:rPr>
                    <w:t>危害性</w:t>
                  </w:r>
                </w:p>
              </w:tc>
              <w:tc>
                <w:tcPr>
                  <w:tcW w:w="6101" w:type="dxa"/>
                  <w:gridSpan w:val="3"/>
                  <w:vAlign w:val="center"/>
                </w:tcPr>
                <w:p>
                  <w:pPr>
                    <w:pStyle w:val="15"/>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长时间的接触会对人体健康造成严重的损害，进入土壤和水源中，对环境产生很大的危害，对人体具有致癌和致突变的作用。</w:t>
                  </w:r>
                </w:p>
              </w:tc>
            </w:tr>
          </w:tbl>
          <w:p>
            <w:pPr>
              <w:keepNext w:val="0"/>
              <w:keepLines w:val="0"/>
              <w:suppressLineNumbers w:val="0"/>
              <w:spacing w:before="0" w:beforeAutospacing="0" w:after="0" w:afterAutospacing="0"/>
              <w:ind w:left="0" w:right="0" w:firstLine="436"/>
              <w:rPr>
                <w:rFonts w:hint="eastAsia"/>
                <w:color w:val="auto"/>
                <w:highlight w:val="none"/>
                <w:lang w:val="en-US" w:eastAsia="zh-CN"/>
              </w:rPr>
            </w:pPr>
            <w:r>
              <w:rPr>
                <w:rFonts w:hint="eastAsia"/>
                <w:color w:val="auto"/>
                <w:highlight w:val="none"/>
                <w:lang w:val="en-US" w:eastAsia="zh-CN"/>
              </w:rPr>
              <w:t>本项目危废贮存间废矿物油最大贮存量约0.5t。</w:t>
            </w:r>
          </w:p>
          <w:p>
            <w:pPr>
              <w:keepNext w:val="0"/>
              <w:keepLines w:val="0"/>
              <w:suppressLineNumbers w:val="0"/>
              <w:spacing w:before="0" w:beforeAutospacing="0" w:after="0" w:afterAutospacing="0"/>
              <w:ind w:left="0" w:right="0" w:firstLine="436"/>
              <w:rPr>
                <w:rFonts w:hint="eastAsia"/>
                <w:color w:val="auto"/>
                <w:highlight w:val="none"/>
                <w:lang w:val="en-US" w:eastAsia="zh-CN"/>
              </w:rPr>
            </w:pPr>
            <w:r>
              <w:rPr>
                <w:rFonts w:hint="eastAsia"/>
                <w:color w:val="auto"/>
                <w:highlight w:val="none"/>
                <w:lang w:val="en-US" w:eastAsia="zh-CN"/>
              </w:rPr>
              <w:t>参考</w:t>
            </w:r>
            <w:r>
              <w:rPr>
                <w:rFonts w:hint="eastAsia"/>
                <w:color w:val="auto"/>
                <w:highlight w:val="none"/>
              </w:rPr>
              <w:t>《建设项目环境风险评价技术导则》（</w:t>
            </w:r>
            <w:r>
              <w:rPr>
                <w:rFonts w:hint="default"/>
                <w:color w:val="auto"/>
                <w:highlight w:val="none"/>
              </w:rPr>
              <w:t>HJ169-2018</w:t>
            </w:r>
            <w:r>
              <w:rPr>
                <w:rFonts w:hint="eastAsia"/>
                <w:color w:val="auto"/>
                <w:highlight w:val="none"/>
              </w:rPr>
              <w:t>）</w:t>
            </w:r>
            <w:r>
              <w:rPr>
                <w:rFonts w:hint="eastAsia"/>
                <w:color w:val="auto"/>
                <w:highlight w:val="none"/>
                <w:lang w:eastAsia="zh-CN"/>
              </w:rPr>
              <w:t>附录</w:t>
            </w:r>
            <w:r>
              <w:rPr>
                <w:rFonts w:hint="eastAsia"/>
                <w:color w:val="auto"/>
                <w:highlight w:val="none"/>
                <w:lang w:val="en-US" w:eastAsia="zh-CN"/>
              </w:rPr>
              <w:t>B</w:t>
            </w:r>
            <w:r>
              <w:rPr>
                <w:rFonts w:hint="eastAsia"/>
                <w:color w:val="auto"/>
                <w:highlight w:val="none"/>
              </w:rPr>
              <w:t>，废矿油临界值参考</w:t>
            </w:r>
            <w:r>
              <w:rPr>
                <w:rFonts w:hint="eastAsia"/>
                <w:color w:val="auto"/>
                <w:highlight w:val="none"/>
                <w:lang w:val="en-US" w:eastAsia="zh-CN"/>
              </w:rPr>
              <w:t>油类</w:t>
            </w:r>
            <w:r>
              <w:rPr>
                <w:rFonts w:hint="eastAsia"/>
                <w:color w:val="auto"/>
                <w:highlight w:val="none"/>
              </w:rPr>
              <w:t>临界值2500t，</w:t>
            </w:r>
            <w:r>
              <w:rPr>
                <w:rFonts w:hint="eastAsia"/>
                <w:color w:val="auto"/>
                <w:highlight w:val="none"/>
                <w:lang w:val="en-US" w:eastAsia="zh-CN"/>
              </w:rPr>
              <w:t>因此本项目Q=0.0002＜1，风险潜势为I，本项目开展简单分析。</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outlineLvl w:val="9"/>
              <w:rPr>
                <w:rFonts w:hint="eastAsia"/>
                <w:color w:val="auto"/>
                <w:highlight w:val="none"/>
                <w:lang w:val="en-US" w:eastAsia="zh-CN"/>
              </w:rPr>
            </w:pPr>
            <w:r>
              <w:rPr>
                <w:rFonts w:hint="eastAsia"/>
                <w:color w:val="auto"/>
                <w:highlight w:val="none"/>
                <w:lang w:val="en-US" w:eastAsia="zh-CN"/>
              </w:rPr>
              <w:t>（2）风险影响分析</w:t>
            </w: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废矿物油收集、贮存不当，发生泄漏后，通过地表下渗，进入土壤，进而会影响到地下水；废矿物油遇明火发生</w:t>
            </w:r>
            <w:r>
              <w:rPr>
                <w:rFonts w:hint="default"/>
                <w:color w:val="auto"/>
                <w:highlight w:val="none"/>
              </w:rPr>
              <w:t>火灾</w:t>
            </w:r>
            <w:r>
              <w:rPr>
                <w:rFonts w:hint="eastAsia"/>
                <w:color w:val="auto"/>
                <w:highlight w:val="none"/>
                <w:lang w:eastAsia="zh-CN"/>
              </w:rPr>
              <w:t>、</w:t>
            </w:r>
            <w:r>
              <w:rPr>
                <w:rFonts w:hint="default"/>
                <w:color w:val="auto"/>
                <w:highlight w:val="none"/>
              </w:rPr>
              <w:t>爆炸</w:t>
            </w:r>
            <w:r>
              <w:rPr>
                <w:rFonts w:hint="eastAsia"/>
                <w:color w:val="auto"/>
                <w:highlight w:val="none"/>
                <w:lang w:val="en-US" w:eastAsia="zh-CN"/>
              </w:rPr>
              <w:t>后会产生大量烟尘、CO等，导致区域环境空气质量下降，并会对</w:t>
            </w:r>
            <w:r>
              <w:rPr>
                <w:rFonts w:hint="default"/>
                <w:color w:val="auto"/>
                <w:highlight w:val="none"/>
              </w:rPr>
              <w:t>处在火灾</w:t>
            </w:r>
            <w:r>
              <w:rPr>
                <w:rFonts w:hint="eastAsia"/>
                <w:color w:val="auto"/>
                <w:highlight w:val="none"/>
                <w:lang w:eastAsia="zh-CN"/>
              </w:rPr>
              <w:t>、</w:t>
            </w:r>
            <w:r>
              <w:rPr>
                <w:rFonts w:hint="default"/>
                <w:color w:val="auto"/>
                <w:highlight w:val="none"/>
              </w:rPr>
              <w:t>爆炸环境中的人员</w:t>
            </w:r>
            <w:r>
              <w:rPr>
                <w:rFonts w:hint="eastAsia"/>
                <w:color w:val="auto"/>
                <w:highlight w:val="none"/>
                <w:lang w:val="en-US" w:eastAsia="zh-CN"/>
              </w:rPr>
              <w:t>造成伤害或者导致死亡。</w:t>
            </w: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（3）环境风险防范措施</w:t>
            </w:r>
          </w:p>
          <w:p>
            <w:pPr>
              <w:keepNext w:val="0"/>
              <w:keepLines w:val="0"/>
              <w:suppressLineNumbers w:val="0"/>
              <w:spacing w:before="0" w:beforeAutospacing="0" w:after="0" w:afterAutospacing="0"/>
              <w:ind w:left="0" w:right="0" w:firstLine="420"/>
              <w:rPr>
                <w:rFonts w:hint="default"/>
                <w:color w:val="auto"/>
                <w:highlight w:val="none"/>
              </w:rPr>
            </w:pPr>
            <w:r>
              <w:rPr>
                <w:rFonts w:hint="default"/>
                <w:color w:val="auto"/>
                <w:highlight w:val="none"/>
              </w:rPr>
              <w:fldChar w:fldCharType="begin"/>
            </w:r>
            <w:r>
              <w:rPr>
                <w:rFonts w:hint="default"/>
                <w:color w:val="auto"/>
                <w:highlight w:val="none"/>
              </w:rPr>
              <w:instrText xml:space="preserve"> = 1 \* GB3 \* MERGEFORMAT </w:instrText>
            </w:r>
            <w:r>
              <w:rPr>
                <w:rFonts w:hint="default"/>
                <w:color w:val="auto"/>
                <w:highlight w:val="none"/>
              </w:rPr>
              <w:fldChar w:fldCharType="separate"/>
            </w:r>
            <w:r>
              <w:rPr>
                <w:rFonts w:hint="default"/>
                <w:color w:val="auto"/>
                <w:highlight w:val="none"/>
              </w:rPr>
              <w:t>①</w:t>
            </w:r>
            <w:r>
              <w:rPr>
                <w:rFonts w:hint="default"/>
                <w:color w:val="auto"/>
                <w:highlight w:val="none"/>
              </w:rPr>
              <w:fldChar w:fldCharType="end"/>
            </w:r>
            <w:r>
              <w:rPr>
                <w:rFonts w:hint="eastAsia"/>
                <w:color w:val="auto"/>
                <w:highlight w:val="none"/>
                <w:lang w:val="en-US" w:eastAsia="zh-CN"/>
              </w:rPr>
              <w:t>废矿物油贮存间</w:t>
            </w:r>
            <w:r>
              <w:rPr>
                <w:rFonts w:hint="default"/>
                <w:color w:val="auto"/>
                <w:highlight w:val="none"/>
              </w:rPr>
              <w:t>设置应急事故照明</w:t>
            </w:r>
            <w:r>
              <w:rPr>
                <w:rFonts w:hint="eastAsia"/>
                <w:color w:val="auto"/>
                <w:highlight w:val="none"/>
              </w:rPr>
              <w:t>、疏散</w:t>
            </w:r>
            <w:r>
              <w:rPr>
                <w:rFonts w:hint="eastAsia"/>
                <w:color w:val="auto"/>
                <w:highlight w:val="none"/>
                <w:lang w:val="en-US" w:eastAsia="zh-CN"/>
              </w:rPr>
              <w:t>通道、</w:t>
            </w:r>
            <w:r>
              <w:rPr>
                <w:rFonts w:hint="eastAsia"/>
                <w:color w:val="auto"/>
                <w:highlight w:val="none"/>
              </w:rPr>
              <w:t>标志等</w:t>
            </w:r>
            <w:r>
              <w:rPr>
                <w:rFonts w:hint="default"/>
                <w:color w:val="auto"/>
                <w:highlight w:val="none"/>
              </w:rPr>
              <w:t>。</w:t>
            </w:r>
          </w:p>
          <w:p>
            <w:pPr>
              <w:keepNext w:val="0"/>
              <w:keepLines w:val="0"/>
              <w:suppressLineNumbers w:val="0"/>
              <w:spacing w:before="0" w:beforeAutospacing="0" w:after="0" w:afterAutospacing="0"/>
              <w:ind w:left="0" w:right="0" w:firstLine="420"/>
              <w:rPr>
                <w:rFonts w:hint="eastAsia"/>
                <w:color w:val="auto"/>
                <w:highlight w:val="none"/>
                <w:lang w:val="en-US" w:eastAsia="zh-CN"/>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default"/>
                <w:color w:val="auto"/>
                <w:highlight w:val="none"/>
              </w:rPr>
              <w:t>②</w:t>
            </w:r>
            <w:r>
              <w:rPr>
                <w:rFonts w:hint="eastAsia"/>
                <w:color w:val="auto"/>
                <w:highlight w:val="none"/>
              </w:rPr>
              <w:fldChar w:fldCharType="end"/>
            </w:r>
            <w:r>
              <w:rPr>
                <w:rFonts w:hint="eastAsia"/>
                <w:color w:val="auto"/>
                <w:highlight w:val="none"/>
                <w:lang w:val="en-US" w:eastAsia="zh-CN"/>
              </w:rPr>
              <w:t>加强废矿物油等危险废物管理，及时对产生的废矿物油进行委托资质单位清运处置，减少厂区内的贮存量。</w:t>
            </w:r>
          </w:p>
          <w:p>
            <w:pPr>
              <w:keepNext w:val="0"/>
              <w:keepLines w:val="0"/>
              <w:suppressLineNumbers w:val="0"/>
              <w:spacing w:before="0" w:beforeAutospacing="0" w:after="0" w:afterAutospacing="0"/>
              <w:ind w:left="0" w:right="0" w:firstLine="42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3 \* GB3 \* MERGEFORMAT </w:instrText>
            </w:r>
            <w:r>
              <w:rPr>
                <w:rFonts w:hint="eastAsia"/>
                <w:color w:val="auto"/>
                <w:highlight w:val="none"/>
                <w:lang w:val="en-US" w:eastAsia="zh-CN"/>
              </w:rPr>
              <w:fldChar w:fldCharType="separate"/>
            </w:r>
            <w:r>
              <w:rPr>
                <w:rFonts w:hint="default"/>
                <w:color w:val="auto"/>
                <w:highlight w:val="none"/>
              </w:rPr>
              <w:t>③</w:t>
            </w:r>
            <w:r>
              <w:rPr>
                <w:rFonts w:hint="eastAsia"/>
                <w:color w:val="auto"/>
                <w:highlight w:val="none"/>
                <w:lang w:val="en-US" w:eastAsia="zh-CN"/>
              </w:rPr>
              <w:fldChar w:fldCharType="end"/>
            </w:r>
            <w:r>
              <w:rPr>
                <w:rFonts w:hint="eastAsia"/>
                <w:color w:val="auto"/>
                <w:highlight w:val="none"/>
                <w:lang w:val="en-US" w:eastAsia="zh-CN"/>
              </w:rPr>
              <w:t>规范废矿物油贮存间的建设，设置导流、截流措施及应急收集措施，配备相应应急物资。</w:t>
            </w: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4 \* GB3 \* MERGEFORMAT </w:instrText>
            </w:r>
            <w:r>
              <w:rPr>
                <w:rFonts w:hint="eastAsia"/>
                <w:color w:val="auto"/>
                <w:highlight w:val="none"/>
                <w:lang w:val="en-US" w:eastAsia="zh-CN"/>
              </w:rPr>
              <w:fldChar w:fldCharType="separate"/>
            </w:r>
            <w:r>
              <w:rPr>
                <w:rFonts w:hint="default"/>
                <w:color w:val="auto"/>
                <w:highlight w:val="none"/>
              </w:rPr>
              <w:t>④</w:t>
            </w:r>
            <w:r>
              <w:rPr>
                <w:rFonts w:hint="eastAsia"/>
                <w:color w:val="auto"/>
                <w:highlight w:val="none"/>
                <w:lang w:val="en-US" w:eastAsia="zh-CN"/>
              </w:rPr>
              <w:fldChar w:fldCharType="end"/>
            </w:r>
            <w:r>
              <w:rPr>
                <w:rFonts w:hint="eastAsia"/>
                <w:color w:val="auto"/>
                <w:highlight w:val="none"/>
                <w:lang w:val="en-US" w:eastAsia="zh-CN"/>
              </w:rPr>
              <w:t>建设单位应根据</w:t>
            </w:r>
            <w:r>
              <w:rPr>
                <w:rFonts w:hint="default"/>
                <w:color w:val="auto"/>
                <w:highlight w:val="none"/>
              </w:rPr>
              <w:t>环境</w:t>
            </w:r>
            <w:r>
              <w:rPr>
                <w:rFonts w:hint="eastAsia"/>
                <w:color w:val="auto"/>
                <w:highlight w:val="none"/>
                <w:lang w:val="en-US" w:eastAsia="zh-CN"/>
              </w:rPr>
              <w:t>危险物质特性，编制</w:t>
            </w:r>
            <w:r>
              <w:rPr>
                <w:rFonts w:hint="default"/>
                <w:color w:val="auto"/>
                <w:highlight w:val="none"/>
              </w:rPr>
              <w:t>突发性事故制定应急预案</w:t>
            </w:r>
            <w:r>
              <w:rPr>
                <w:rFonts w:hint="eastAsia"/>
                <w:color w:val="auto"/>
                <w:highlight w:val="none"/>
                <w:lang w:val="en-US" w:eastAsia="zh-CN"/>
              </w:rPr>
              <w:t>并备案，</w:t>
            </w:r>
            <w:r>
              <w:rPr>
                <w:rFonts w:hint="eastAsia"/>
                <w:color w:val="auto"/>
                <w:highlight w:val="none"/>
              </w:rPr>
              <w:t>配备应急物资及人员</w:t>
            </w:r>
            <w:r>
              <w:rPr>
                <w:rFonts w:hint="eastAsia"/>
                <w:color w:val="auto"/>
                <w:highlight w:val="none"/>
                <w:lang w:eastAsia="zh-CN"/>
              </w:rPr>
              <w:t>，</w:t>
            </w:r>
            <w:r>
              <w:rPr>
                <w:rFonts w:hint="eastAsia"/>
                <w:color w:val="auto"/>
                <w:highlight w:val="none"/>
                <w:lang w:val="en-US" w:eastAsia="zh-CN"/>
              </w:rPr>
              <w:t>定期开展环境风险应急培训和演练。</w:t>
            </w:r>
          </w:p>
          <w:p>
            <w:pPr>
              <w:keepNext w:val="0"/>
              <w:keepLines w:val="0"/>
              <w:suppressLineNumbers w:val="0"/>
              <w:spacing w:before="0" w:beforeAutospacing="0" w:after="0" w:afterAutospacing="0"/>
              <w:ind w:left="0" w:right="0" w:firstLine="0" w:firstLineChars="0"/>
              <w:rPr>
                <w:rFonts w:hint="default"/>
              </w:rPr>
            </w:pPr>
            <w:r>
              <w:rPr>
                <w:rFonts w:hint="eastAsia"/>
              </w:rPr>
              <w:t>7、环境保护投资</w:t>
            </w:r>
          </w:p>
          <w:p>
            <w:pPr>
              <w:keepNext w:val="0"/>
              <w:keepLines w:val="0"/>
              <w:suppressLineNumbers w:val="0"/>
              <w:spacing w:before="0" w:beforeAutospacing="0" w:after="0" w:afterAutospacing="0"/>
              <w:ind w:left="0" w:right="0" w:firstLine="420"/>
              <w:rPr>
                <w:rFonts w:hint="default"/>
              </w:rPr>
            </w:pPr>
            <w:r>
              <w:rPr>
                <w:rFonts w:hint="default"/>
              </w:rPr>
              <w:t>本项目</w:t>
            </w:r>
            <w:r>
              <w:rPr>
                <w:rFonts w:hint="eastAsia"/>
              </w:rPr>
              <w:t>总投资</w:t>
            </w:r>
            <w:r>
              <w:rPr>
                <w:rFonts w:hint="eastAsia"/>
                <w:lang w:val="en-US" w:eastAsia="zh-CN"/>
              </w:rPr>
              <w:t>4986</w:t>
            </w:r>
            <w:r>
              <w:rPr>
                <w:rFonts w:hint="eastAsia"/>
              </w:rPr>
              <w:t>万元，</w:t>
            </w:r>
            <w:r>
              <w:rPr>
                <w:rFonts w:hint="default"/>
              </w:rPr>
              <w:t>其中用于环境保护方面的投资约</w:t>
            </w:r>
            <w:r>
              <w:rPr>
                <w:rFonts w:hint="eastAsia"/>
                <w:lang w:val="en-US" w:eastAsia="zh-CN"/>
              </w:rPr>
              <w:t>94</w:t>
            </w:r>
            <w:r>
              <w:rPr>
                <w:rFonts w:hint="default"/>
              </w:rPr>
              <w:t>万元，占项目总投资额的</w:t>
            </w:r>
            <w:r>
              <w:rPr>
                <w:rFonts w:hint="eastAsia"/>
                <w:lang w:val="en-US" w:eastAsia="zh-CN"/>
              </w:rPr>
              <w:t>1.89</w:t>
            </w:r>
            <w:r>
              <w:rPr>
                <w:rFonts w:hint="default"/>
              </w:rPr>
              <w:t>%，主要环保设施及投资见表</w:t>
            </w:r>
            <w:r>
              <w:rPr>
                <w:rFonts w:hint="eastAsia"/>
                <w:lang w:val="en-US" w:eastAsia="zh-CN"/>
              </w:rPr>
              <w:t>27</w:t>
            </w:r>
            <w:r>
              <w:rPr>
                <w:rFonts w:hint="default"/>
              </w:rPr>
              <w:t>。</w:t>
            </w:r>
          </w:p>
          <w:p>
            <w:pPr>
              <w:keepNext w:val="0"/>
              <w:keepLines w:val="0"/>
              <w:suppressLineNumbers w:val="0"/>
              <w:spacing w:before="0" w:beforeAutospacing="0" w:after="0" w:afterAutospacing="0" w:line="240" w:lineRule="auto"/>
              <w:ind w:left="0" w:right="0" w:firstLine="420"/>
              <w:rPr>
                <w:rFonts w:hint="default"/>
              </w:rPr>
            </w:pPr>
          </w:p>
          <w:p>
            <w:pPr>
              <w:keepNext w:val="0"/>
              <w:keepLines w:val="0"/>
              <w:suppressLineNumbers w:val="0"/>
              <w:spacing w:before="0" w:beforeAutospacing="0" w:after="0" w:afterAutospacing="0" w:line="240" w:lineRule="auto"/>
              <w:ind w:left="0" w:right="0" w:firstLine="420"/>
              <w:rPr>
                <w:rFonts w:hint="default"/>
              </w:rPr>
            </w:pPr>
          </w:p>
          <w:p>
            <w:pPr>
              <w:keepNext w:val="0"/>
              <w:keepLines w:val="0"/>
              <w:suppressLineNumbers w:val="0"/>
              <w:spacing w:before="0" w:beforeAutospacing="0" w:after="0" w:afterAutospacing="0" w:line="240" w:lineRule="auto"/>
              <w:ind w:left="0" w:right="0" w:firstLine="420"/>
              <w:rPr>
                <w:rFonts w:hint="default"/>
              </w:rPr>
            </w:pPr>
          </w:p>
          <w:p>
            <w:pPr>
              <w:keepNext w:val="0"/>
              <w:keepLines w:val="0"/>
              <w:suppressLineNumbers w:val="0"/>
              <w:spacing w:before="0" w:beforeAutospacing="0" w:after="0" w:afterAutospacing="0" w:line="240" w:lineRule="auto"/>
              <w:ind w:left="0" w:right="0" w:firstLine="420"/>
              <w:rPr>
                <w:rFonts w:hint="default"/>
              </w:rPr>
            </w:pPr>
            <w:r>
              <w:rPr>
                <w:rFonts w:hint="default"/>
              </w:rPr>
              <w:t>表</w:t>
            </w:r>
            <w:r>
              <w:rPr>
                <w:rFonts w:hint="eastAsia"/>
                <w:lang w:val="en-US" w:eastAsia="zh-CN"/>
              </w:rPr>
              <w:t>27</w:t>
            </w:r>
            <w:r>
              <w:rPr>
                <w:rFonts w:hint="default"/>
              </w:rPr>
              <w:t xml:space="preserve">              </w:t>
            </w:r>
            <w:r>
              <w:rPr>
                <w:rFonts w:hint="eastAsia"/>
              </w:rPr>
              <w:t xml:space="preserve">        </w:t>
            </w:r>
            <w:r>
              <w:rPr>
                <w:rFonts w:hint="default"/>
              </w:rPr>
              <w:t>环保设施投资</w:t>
            </w:r>
          </w:p>
          <w:tbl>
            <w:tblPr>
              <w:tblStyle w:val="10"/>
              <w:tblW w:w="793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62"/>
              <w:gridCol w:w="5674"/>
              <w:gridCol w:w="110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类别</w:t>
                  </w: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环保措施</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jc w:val="center"/>
                    <w:rPr>
                      <w:rFonts w:hint="default"/>
                    </w:rPr>
                  </w:pPr>
                  <w:r>
                    <w:rPr>
                      <w:rFonts w:hint="default"/>
                    </w:rPr>
                    <w:t>环保投资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vMerge w:val="restart"/>
                  <w:tcBorders>
                    <w:top w:val="single" w:color="auto" w:sz="4" w:space="0"/>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废</w:t>
                  </w:r>
                  <w:r>
                    <w:rPr>
                      <w:rFonts w:hint="eastAsia"/>
                    </w:rPr>
                    <w:t>气治理</w:t>
                  </w:r>
                </w:p>
              </w:tc>
              <w:tc>
                <w:tcPr>
                  <w:tcW w:w="5674" w:type="dxa"/>
                  <w:tcBorders>
                    <w:top w:val="single" w:color="auto" w:sz="4" w:space="0"/>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4台筒仓配套仓顶除尘器、搅拌机设置除尘器</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color w:val="000000" w:themeColor="text1"/>
                      <w:highlight w:val="none"/>
                      <w:lang w:val="en-US" w:eastAsia="zh-CN"/>
                      <w14:textFill>
                        <w14:solidFill>
                          <w14:schemeClr w14:val="tx1"/>
                        </w14:solidFill>
                      </w14:textFill>
                    </w:rPr>
                    <w:t>设置全封闭砂石料堆场、地面硬化</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tcBorders>
                    <w:tl2br w:val="nil"/>
                    <w:tr2bl w:val="nil"/>
                  </w:tcBorders>
                  <w:vAlign w:val="center"/>
                </w:tcPr>
                <w:p>
                  <w:pPr>
                    <w:pStyle w:val="15"/>
                    <w:keepNext w:val="0"/>
                    <w:keepLines w:val="0"/>
                    <w:suppressLineNumbers w:val="0"/>
                    <w:spacing w:before="0" w:beforeAutospacing="0" w:after="0" w:afterAutospacing="0"/>
                    <w:ind w:left="0" w:right="0"/>
                    <w:rPr>
                      <w:rFonts w:hint="eastAsia"/>
                      <w:lang w:val="en-US" w:eastAsia="zh-CN"/>
                    </w:rPr>
                  </w:pPr>
                  <w:r>
                    <w:rPr>
                      <w:rFonts w:hint="eastAsia"/>
                      <w:lang w:val="en-US" w:eastAsia="zh-CN"/>
                    </w:rPr>
                    <w:t>废水治理</w:t>
                  </w: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设置蒸汽养护水收集池，</w:t>
                  </w:r>
                  <w:r>
                    <w:rPr>
                      <w:rFonts w:hint="eastAsia"/>
                      <w:color w:val="000000" w:themeColor="text1"/>
                      <w:highlight w:val="none"/>
                      <w:lang w:val="en-US" w:eastAsia="zh-CN"/>
                      <w14:textFill>
                        <w14:solidFill>
                          <w14:schemeClr w14:val="tx1"/>
                        </w14:solidFill>
                      </w14:textFill>
                    </w:rPr>
                    <w:t>泵至混凝土搅拌工序</w:t>
                  </w:r>
                  <w:r>
                    <w:rPr>
                      <w:rFonts w:hint="default" w:eastAsia="宋体"/>
                      <w:color w:val="000000" w:themeColor="text1"/>
                      <w:highlight w:val="none"/>
                      <w:lang w:val="en-US" w:eastAsia="zh-CN"/>
                      <w14:textFill>
                        <w14:solidFill>
                          <w14:schemeClr w14:val="tx1"/>
                        </w14:solidFill>
                      </w14:textFill>
                    </w:rPr>
                    <w:t>循环</w:t>
                  </w:r>
                  <w:r>
                    <w:rPr>
                      <w:rFonts w:hint="eastAsia"/>
                      <w:color w:val="000000" w:themeColor="text1"/>
                      <w:highlight w:val="none"/>
                      <w:lang w:val="en-US" w:eastAsia="zh-CN"/>
                      <w14:textFill>
                        <w14:solidFill>
                          <w14:schemeClr w14:val="tx1"/>
                        </w14:solidFill>
                      </w14:textFill>
                    </w:rPr>
                    <w:t>利用；搅拌机清洗水沉淀后回用凝土搅拌工序</w:t>
                  </w:r>
                  <w:r>
                    <w:rPr>
                      <w:rFonts w:hint="default" w:eastAsia="宋体"/>
                      <w:color w:val="000000" w:themeColor="text1"/>
                      <w:highlight w:val="none"/>
                      <w:lang w:val="en-US" w:eastAsia="zh-CN"/>
                      <w14:textFill>
                        <w14:solidFill>
                          <w14:schemeClr w14:val="tx1"/>
                        </w14:solidFill>
                      </w14:textFill>
                    </w:rPr>
                    <w:t>循环</w:t>
                  </w:r>
                  <w:r>
                    <w:rPr>
                      <w:rFonts w:hint="eastAsia"/>
                      <w:color w:val="000000" w:themeColor="text1"/>
                      <w:highlight w:val="none"/>
                      <w:lang w:val="en-US" w:eastAsia="zh-CN"/>
                      <w14:textFill>
                        <w14:solidFill>
                          <w14:schemeClr w14:val="tx1"/>
                        </w14:solidFill>
                      </w14:textFill>
                    </w:rPr>
                    <w:t>利用</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噪声</w:t>
                  </w:r>
                  <w:r>
                    <w:rPr>
                      <w:rFonts w:hint="eastAsia"/>
                    </w:rPr>
                    <w:t>治理</w:t>
                  </w: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选用</w:t>
                  </w:r>
                  <w:r>
                    <w:rPr>
                      <w:rFonts w:hint="default"/>
                    </w:rPr>
                    <w:t>低噪声设备，</w:t>
                  </w:r>
                  <w:r>
                    <w:rPr>
                      <w:rFonts w:hint="eastAsia"/>
                    </w:rPr>
                    <w:t>设备</w:t>
                  </w:r>
                  <w:r>
                    <w:rPr>
                      <w:rFonts w:hint="default"/>
                    </w:rPr>
                    <w:t>基础减震、</w:t>
                  </w:r>
                  <w:r>
                    <w:rPr>
                      <w:rFonts w:hint="eastAsia"/>
                    </w:rPr>
                    <w:t>消音、</w:t>
                  </w:r>
                  <w:r>
                    <w:rPr>
                      <w:rFonts w:hint="default"/>
                    </w:rPr>
                    <w:t>厂房整体隔声等</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vMerge w:val="restart"/>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固废治理</w:t>
                  </w: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设置一般固废暂存间，</w:t>
                  </w:r>
                  <w:r>
                    <w:rPr>
                      <w:rFonts w:hint="eastAsia"/>
                      <w:color w:val="000000" w:themeColor="text1"/>
                      <w:highlight w:val="none"/>
                      <w:lang w:val="en-US" w:eastAsia="zh-CN"/>
                      <w14:textFill>
                        <w14:solidFill>
                          <w14:schemeClr w14:val="tx1"/>
                        </w14:solidFill>
                      </w14:textFill>
                    </w:rPr>
                    <w:t>制定固废管理台账</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设置危险废物</w:t>
                  </w:r>
                  <w:r>
                    <w:rPr>
                      <w:rFonts w:hint="eastAsia"/>
                      <w:color w:val="000000" w:themeColor="text1"/>
                      <w:highlight w:val="none"/>
                      <w:lang w:val="en-US" w:eastAsia="zh-CN"/>
                      <w14:textFill>
                        <w14:solidFill>
                          <w14:schemeClr w14:val="tx1"/>
                        </w14:solidFill>
                      </w14:textFill>
                    </w:rPr>
                    <w:t>贮存</w:t>
                  </w:r>
                  <w:r>
                    <w:rPr>
                      <w:rFonts w:hint="eastAsia"/>
                      <w:color w:val="000000" w:themeColor="text1"/>
                      <w:highlight w:val="none"/>
                      <w14:textFill>
                        <w14:solidFill>
                          <w14:schemeClr w14:val="tx1"/>
                        </w14:solidFill>
                      </w14:textFill>
                    </w:rPr>
                    <w:t>间，委托有资质单位处理</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vMerge w:val="continue"/>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办公区、食堂宿舍配置垃圾收集箱，委托园区环卫处理</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eastAsia"/>
                      <w:lang w:val="en-US" w:eastAsia="zh-CN"/>
                    </w:rPr>
                  </w:pPr>
                  <w:r>
                    <w:rPr>
                      <w:rFonts w:hint="eastAsia"/>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2"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环境风险</w:t>
                  </w:r>
                </w:p>
              </w:tc>
              <w:tc>
                <w:tcPr>
                  <w:tcW w:w="5674"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eastAsia="宋体"/>
                      <w:lang w:val="en-US" w:eastAsia="zh-CN"/>
                    </w:rPr>
                  </w:pPr>
                  <w:r>
                    <w:rPr>
                      <w:rFonts w:hint="eastAsia"/>
                    </w:rPr>
                    <w:t>编制应急预案、配备应急物资</w:t>
                  </w:r>
                  <w:r>
                    <w:rPr>
                      <w:rFonts w:hint="eastAsia"/>
                      <w:lang w:val="en-US" w:eastAsia="zh-CN"/>
                    </w:rPr>
                    <w:t>及人员</w:t>
                  </w:r>
                  <w:r>
                    <w:rPr>
                      <w:rFonts w:hint="eastAsia"/>
                      <w:lang w:eastAsia="zh-CN"/>
                    </w:rPr>
                    <w:t>、</w:t>
                  </w:r>
                  <w:r>
                    <w:rPr>
                      <w:rFonts w:hint="eastAsia"/>
                      <w:lang w:val="en-US" w:eastAsia="zh-CN"/>
                    </w:rPr>
                    <w:t>加强培训及演练</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eastAsia"/>
                    </w:rPr>
                    <w:t>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36" w:type="dxa"/>
                  <w:gridSpan w:val="2"/>
                  <w:tcBorders>
                    <w:tl2br w:val="nil"/>
                    <w:tr2bl w:val="nil"/>
                  </w:tcBorders>
                  <w:vAlign w:val="center"/>
                </w:tcPr>
                <w:p>
                  <w:pPr>
                    <w:pStyle w:val="15"/>
                    <w:keepNext w:val="0"/>
                    <w:keepLines w:val="0"/>
                    <w:suppressLineNumbers w:val="0"/>
                    <w:spacing w:before="0" w:beforeAutospacing="0" w:after="0" w:afterAutospacing="0"/>
                    <w:ind w:left="0" w:right="0"/>
                    <w:rPr>
                      <w:rFonts w:hint="default"/>
                    </w:rPr>
                  </w:pPr>
                  <w:r>
                    <w:rPr>
                      <w:rFonts w:hint="default"/>
                    </w:rPr>
                    <w:t>总计</w:t>
                  </w:r>
                </w:p>
              </w:tc>
              <w:tc>
                <w:tcPr>
                  <w:tcW w:w="1101" w:type="dxa"/>
                  <w:tcBorders>
                    <w:tl2br w:val="nil"/>
                    <w:tr2bl w:val="nil"/>
                  </w:tcBorders>
                  <w:vAlign w:val="center"/>
                </w:tcPr>
                <w:p>
                  <w:pPr>
                    <w:pStyle w:val="15"/>
                    <w:keepNext w:val="0"/>
                    <w:keepLines w:val="0"/>
                    <w:suppressLineNumbers w:val="0"/>
                    <w:spacing w:before="0" w:beforeAutospacing="0" w:after="0" w:afterAutospacing="0"/>
                    <w:ind w:left="0" w:right="0"/>
                    <w:rPr>
                      <w:rFonts w:hint="default"/>
                      <w:lang w:val="en-US" w:eastAsia="zh-CN"/>
                    </w:rPr>
                  </w:pPr>
                  <w:r>
                    <w:rPr>
                      <w:rFonts w:hint="eastAsia"/>
                      <w:lang w:val="en-US" w:eastAsia="zh-CN"/>
                    </w:rPr>
                    <w:t>94</w:t>
                  </w:r>
                </w:p>
              </w:tc>
            </w:tr>
          </w:tbl>
          <w:p>
            <w:pPr>
              <w:keepNext w:val="0"/>
              <w:keepLines w:val="0"/>
              <w:suppressLineNumbers w:val="0"/>
              <w:spacing w:before="0" w:beforeAutospacing="0" w:after="0" w:afterAutospacing="0"/>
              <w:ind w:left="0" w:right="0" w:firstLine="420"/>
              <w:rPr>
                <w:rFonts w:hint="default"/>
              </w:rPr>
            </w:pPr>
            <w:r>
              <w:rPr>
                <w:rFonts w:hint="default"/>
              </w:rPr>
              <w:t>根据《建设项目环境保护管理条例》及《建设项目竣工环境保护验收暂行办法》相关要求，建设单位应当依据建设项目环境影响报告表及其审批意见，自行</w:t>
            </w:r>
            <w:r>
              <w:rPr>
                <w:rFonts w:hint="eastAsia"/>
              </w:rPr>
              <w:t>开展</w:t>
            </w:r>
            <w:r>
              <w:rPr>
                <w:rFonts w:hint="default"/>
              </w:rPr>
              <w:t>项目环境保护设施和措施竣工验收报告，经验收合格后，项目方可正式投入生产或使用。</w:t>
            </w: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leftChars="0" w:right="0" w:firstLine="0" w:firstLineChars="0"/>
              <w:rPr>
                <w:rFonts w:hint="default"/>
              </w:rPr>
            </w:pPr>
          </w:p>
        </w:tc>
      </w:tr>
    </w:tbl>
    <w:p>
      <w:pPr>
        <w:widowControl/>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10"/>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496"/>
        <w:gridCol w:w="1382"/>
        <w:gridCol w:w="2359"/>
        <w:gridCol w:w="2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65" w:type="dxa"/>
            <w:tcBorders>
              <w:tl2br w:val="single" w:color="auto" w:sz="4" w:space="0"/>
            </w:tcBorders>
          </w:tcPr>
          <w:p>
            <w:pPr>
              <w:pStyle w:val="15"/>
              <w:keepNext w:val="0"/>
              <w:keepLines w:val="0"/>
              <w:suppressLineNumbers w:val="0"/>
              <w:spacing w:before="0" w:beforeAutospacing="0" w:after="0" w:afterAutospacing="0"/>
              <w:ind w:left="0" w:right="0"/>
              <w:rPr>
                <w:rFonts w:hint="default"/>
              </w:rPr>
            </w:pPr>
            <w:r>
              <w:rPr>
                <w:rFonts w:hint="eastAsia"/>
              </w:rPr>
              <w:t xml:space="preserve">      内容</w:t>
            </w:r>
          </w:p>
          <w:p>
            <w:pPr>
              <w:pStyle w:val="15"/>
              <w:keepNext w:val="0"/>
              <w:keepLines w:val="0"/>
              <w:suppressLineNumbers w:val="0"/>
              <w:spacing w:before="0" w:beforeAutospacing="0" w:after="0" w:afterAutospacing="0"/>
              <w:ind w:left="0" w:right="0"/>
              <w:jc w:val="both"/>
              <w:rPr>
                <w:rFonts w:hint="default"/>
              </w:rPr>
            </w:pPr>
            <w:r>
              <w:rPr>
                <w:rFonts w:hint="eastAsia"/>
              </w:rPr>
              <w:t>要素</w:t>
            </w:r>
          </w:p>
        </w:tc>
        <w:tc>
          <w:tcPr>
            <w:tcW w:w="1496" w:type="dxa"/>
            <w:vAlign w:val="center"/>
          </w:tcPr>
          <w:p>
            <w:pPr>
              <w:pStyle w:val="15"/>
              <w:keepNext w:val="0"/>
              <w:keepLines w:val="0"/>
              <w:suppressLineNumbers w:val="0"/>
              <w:spacing w:before="0" w:beforeAutospacing="0" w:after="0" w:afterAutospacing="0"/>
              <w:ind w:left="0" w:right="0"/>
              <w:rPr>
                <w:rFonts w:hint="default"/>
              </w:rPr>
            </w:pPr>
            <w:r>
              <w:rPr>
                <w:rFonts w:hint="eastAsia"/>
              </w:rPr>
              <w:t>排放口(编号、</w:t>
            </w:r>
          </w:p>
          <w:p>
            <w:pPr>
              <w:pStyle w:val="15"/>
              <w:keepNext w:val="0"/>
              <w:keepLines w:val="0"/>
              <w:suppressLineNumbers w:val="0"/>
              <w:spacing w:before="0" w:beforeAutospacing="0" w:after="0" w:afterAutospacing="0"/>
              <w:ind w:left="0" w:right="0"/>
              <w:rPr>
                <w:rFonts w:hint="default"/>
              </w:rPr>
            </w:pPr>
            <w:r>
              <w:rPr>
                <w:rFonts w:hint="eastAsia"/>
              </w:rPr>
              <w:t>名称)/污染源</w:t>
            </w:r>
          </w:p>
        </w:tc>
        <w:tc>
          <w:tcPr>
            <w:tcW w:w="1382" w:type="dxa"/>
            <w:vAlign w:val="center"/>
          </w:tcPr>
          <w:p>
            <w:pPr>
              <w:pStyle w:val="15"/>
              <w:keepNext w:val="0"/>
              <w:keepLines w:val="0"/>
              <w:suppressLineNumbers w:val="0"/>
              <w:spacing w:before="0" w:beforeAutospacing="0" w:after="0" w:afterAutospacing="0"/>
              <w:ind w:left="0" w:right="0"/>
              <w:rPr>
                <w:rFonts w:hint="default"/>
              </w:rPr>
            </w:pPr>
            <w:r>
              <w:rPr>
                <w:rFonts w:hint="eastAsia"/>
              </w:rPr>
              <w:t>污染物</w:t>
            </w:r>
          </w:p>
        </w:tc>
        <w:tc>
          <w:tcPr>
            <w:tcW w:w="2359" w:type="dxa"/>
            <w:vAlign w:val="center"/>
          </w:tcPr>
          <w:p>
            <w:pPr>
              <w:pStyle w:val="15"/>
              <w:keepNext w:val="0"/>
              <w:keepLines w:val="0"/>
              <w:suppressLineNumbers w:val="0"/>
              <w:spacing w:before="0" w:beforeAutospacing="0" w:after="0" w:afterAutospacing="0"/>
              <w:ind w:left="0" w:right="0"/>
              <w:rPr>
                <w:rFonts w:hint="default"/>
              </w:rPr>
            </w:pPr>
            <w:r>
              <w:rPr>
                <w:rFonts w:hint="eastAsia"/>
              </w:rPr>
              <w:t>环境保护措施</w:t>
            </w:r>
          </w:p>
        </w:tc>
        <w:tc>
          <w:tcPr>
            <w:tcW w:w="2070" w:type="dxa"/>
            <w:vAlign w:val="center"/>
          </w:tcPr>
          <w:p>
            <w:pPr>
              <w:pStyle w:val="15"/>
              <w:keepNext w:val="0"/>
              <w:keepLines w:val="0"/>
              <w:suppressLineNumbers w:val="0"/>
              <w:spacing w:before="0" w:beforeAutospacing="0" w:after="0" w:afterAutospacing="0"/>
              <w:ind w:left="0" w:right="0"/>
              <w:rPr>
                <w:rFonts w:hint="default"/>
              </w:rP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65" w:type="dxa"/>
            <w:tcBorders>
              <w:bottom w:val="single" w:color="auto" w:sz="4" w:space="0"/>
            </w:tcBorders>
            <w:vAlign w:val="center"/>
          </w:tcPr>
          <w:p>
            <w:pPr>
              <w:pStyle w:val="15"/>
              <w:keepNext w:val="0"/>
              <w:keepLines w:val="0"/>
              <w:suppressLineNumbers w:val="0"/>
              <w:spacing w:before="0" w:beforeAutospacing="0" w:after="0" w:afterAutospacing="0"/>
              <w:ind w:left="0" w:right="0"/>
              <w:rPr>
                <w:rFonts w:hint="default"/>
              </w:rPr>
            </w:pPr>
            <w:r>
              <w:rPr>
                <w:rFonts w:hint="eastAsia"/>
              </w:rPr>
              <w:t>大气环境</w:t>
            </w:r>
          </w:p>
        </w:tc>
        <w:tc>
          <w:tcPr>
            <w:tcW w:w="1496" w:type="dxa"/>
            <w:tcBorders>
              <w:top w:val="single" w:color="auto" w:sz="4" w:space="0"/>
              <w:bottom w:val="single" w:color="auto" w:sz="4" w:space="0"/>
            </w:tcBorders>
            <w:vAlign w:val="center"/>
          </w:tcPr>
          <w:p>
            <w:pPr>
              <w:pStyle w:val="15"/>
              <w:keepNext w:val="0"/>
              <w:keepLines w:val="0"/>
              <w:suppressLineNumbers w:val="0"/>
              <w:spacing w:before="0" w:beforeAutospacing="0" w:after="0" w:afterAutospacing="0"/>
              <w:ind w:left="0" w:right="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厂</w:t>
            </w:r>
            <w:r>
              <w:rPr>
                <w:rFonts w:hint="eastAsia"/>
                <w:color w:val="000000" w:themeColor="text1"/>
                <w:lang w:val="en-US" w:eastAsia="zh-CN"/>
                <w14:textFill>
                  <w14:solidFill>
                    <w14:schemeClr w14:val="tx1"/>
                  </w14:solidFill>
                </w14:textFill>
              </w:rPr>
              <w:t>界</w:t>
            </w:r>
          </w:p>
        </w:tc>
        <w:tc>
          <w:tcPr>
            <w:tcW w:w="1382"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35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生产设备均位于全封闭车间内</w:t>
            </w:r>
            <w:r>
              <w:rPr>
                <w:rFonts w:hint="default"/>
                <w:lang w:val="en-US" w:eastAsia="zh-CN"/>
              </w:rPr>
              <w:t>，</w:t>
            </w:r>
            <w:r>
              <w:rPr>
                <w:rFonts w:hint="eastAsia"/>
                <w:lang w:val="en-US" w:eastAsia="zh-CN"/>
              </w:rPr>
              <w:t>水泥、矿粉、硅粉筒</w:t>
            </w:r>
            <w:r>
              <w:rPr>
                <w:rFonts w:hint="default"/>
                <w:lang w:val="en-US" w:eastAsia="zh-CN"/>
              </w:rPr>
              <w:t>仓设</w:t>
            </w:r>
            <w:r>
              <w:rPr>
                <w:rFonts w:hint="eastAsia"/>
                <w:lang w:val="en-US" w:eastAsia="zh-CN"/>
              </w:rPr>
              <w:t>仓顶</w:t>
            </w:r>
            <w:r>
              <w:rPr>
                <w:rFonts w:hint="default"/>
                <w:lang w:val="en-US" w:eastAsia="zh-CN"/>
              </w:rPr>
              <w:t>除尘</w:t>
            </w:r>
            <w:r>
              <w:rPr>
                <w:rFonts w:hint="eastAsia"/>
                <w:lang w:val="en-US" w:eastAsia="zh-CN"/>
              </w:rPr>
              <w:t>，砂石骨料堆场采用全封闭堆场贮存</w:t>
            </w:r>
          </w:p>
        </w:tc>
        <w:tc>
          <w:tcPr>
            <w:tcW w:w="2070" w:type="dxa"/>
            <w:vAlign w:val="center"/>
          </w:tcPr>
          <w:p>
            <w:pPr>
              <w:pStyle w:val="15"/>
              <w:keepNext w:val="0"/>
              <w:keepLines w:val="0"/>
              <w:suppressLineNumbers w:val="0"/>
              <w:bidi w:val="0"/>
              <w:spacing w:before="0" w:beforeAutospacing="0" w:after="0" w:afterAutospacing="0"/>
              <w:ind w:left="0" w:right="0"/>
              <w:rPr>
                <w:rFonts w:hint="eastAsia"/>
                <w:color w:val="000000"/>
                <w:lang w:val="en-US" w:eastAsia="zh-CN"/>
              </w:rPr>
            </w:pPr>
            <w:r>
              <w:rPr>
                <w:rFonts w:hint="default"/>
                <w:color w:val="000000"/>
              </w:rPr>
              <w:t>《水泥工业大气污染物排放标准》</w:t>
            </w:r>
          </w:p>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auto"/>
                <w:highlight w:val="none"/>
              </w:rPr>
              <w:t>表</w:t>
            </w:r>
            <w:r>
              <w:rPr>
                <w:rFonts w:hint="default"/>
                <w:color w:val="auto"/>
                <w:highlight w:val="none"/>
                <w:lang w:val="en-US" w:eastAsia="zh-CN"/>
              </w:rPr>
              <w:t>3排放限值</w:t>
            </w:r>
            <w:r>
              <w:rPr>
                <w:rFonts w:hint="default"/>
                <w:color w:val="000000"/>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地表水环境</w:t>
            </w:r>
          </w:p>
        </w:tc>
        <w:tc>
          <w:tcPr>
            <w:tcW w:w="1496" w:type="dxa"/>
            <w:vAlign w:val="center"/>
          </w:tcPr>
          <w:p>
            <w:pPr>
              <w:pStyle w:val="15"/>
              <w:keepNext w:val="0"/>
              <w:keepLines w:val="0"/>
              <w:suppressLineNumbers w:val="0"/>
              <w:spacing w:before="0" w:beforeAutospacing="0" w:after="0" w:afterAutospacing="0"/>
              <w:ind w:left="0" w:right="0"/>
              <w:rPr>
                <w:rFonts w:hint="eastAsia" w:eastAsia="宋体"/>
                <w:strike/>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82"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pH、COD、</w:t>
            </w: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SS、</w:t>
            </w:r>
            <w:r>
              <w:rPr>
                <w:rFonts w:hint="eastAsia"/>
                <w:color w:val="000000" w:themeColor="text1"/>
                <w14:textFill>
                  <w14:solidFill>
                    <w14:schemeClr w14:val="tx1"/>
                  </w14:solidFill>
                </w14:textFill>
              </w:rPr>
              <w:t>氨氮等</w:t>
            </w:r>
          </w:p>
        </w:tc>
        <w:tc>
          <w:tcPr>
            <w:tcW w:w="2359"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排入园区污水管网，最终进入</w:t>
            </w:r>
            <w:r>
              <w:rPr>
                <w:rFonts w:hint="eastAsia"/>
                <w:color w:val="000000" w:themeColor="text1"/>
                <w:lang w:val="en-US" w:eastAsia="zh-CN"/>
                <w14:textFill>
                  <w14:solidFill>
                    <w14:schemeClr w14:val="tx1"/>
                  </w14:solidFill>
                </w14:textFill>
              </w:rPr>
              <w:t>胡杨河经开区污水处理厂</w:t>
            </w:r>
            <w:r>
              <w:rPr>
                <w:rFonts w:hint="eastAsia"/>
                <w:color w:val="000000" w:themeColor="text1"/>
                <w14:textFill>
                  <w14:solidFill>
                    <w14:schemeClr w14:val="tx1"/>
                  </w14:solidFill>
                </w14:textFill>
              </w:rPr>
              <w:t>处理</w:t>
            </w:r>
          </w:p>
        </w:tc>
        <w:tc>
          <w:tcPr>
            <w:tcW w:w="2070"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rPr>
              <w:t>《污水综合排放标准》(GB8978-1996)表4中三级标准限值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565" w:type="dxa"/>
            <w:tcBorders>
              <w:bottom w:val="single" w:color="000000" w:sz="4" w:space="0"/>
            </w:tcBorders>
            <w:vAlign w:val="center"/>
          </w:tcPr>
          <w:p>
            <w:pPr>
              <w:pStyle w:val="15"/>
              <w:keepNext w:val="0"/>
              <w:keepLines w:val="0"/>
              <w:suppressLineNumbers w:val="0"/>
              <w:spacing w:before="0" w:beforeAutospacing="0" w:after="0" w:afterAutospacing="0"/>
              <w:ind w:left="0" w:right="0"/>
              <w:rPr>
                <w:rFonts w:hint="default"/>
              </w:rPr>
            </w:pPr>
            <w:r>
              <w:rPr>
                <w:rFonts w:hint="eastAsia"/>
              </w:rPr>
              <w:t>声环境</w:t>
            </w:r>
          </w:p>
        </w:tc>
        <w:tc>
          <w:tcPr>
            <w:tcW w:w="1496" w:type="dxa"/>
            <w:tcBorders>
              <w:bottom w:val="single" w:color="000000" w:sz="4" w:space="0"/>
            </w:tcBorders>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厂界</w:t>
            </w:r>
          </w:p>
        </w:tc>
        <w:tc>
          <w:tcPr>
            <w:tcW w:w="1382"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等效A 声级</w:t>
            </w:r>
          </w:p>
        </w:tc>
        <w:tc>
          <w:tcPr>
            <w:tcW w:w="2359"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选用</w:t>
            </w:r>
            <w:r>
              <w:rPr>
                <w:rFonts w:hint="default"/>
                <w:color w:val="000000" w:themeColor="text1"/>
                <w14:textFill>
                  <w14:solidFill>
                    <w14:schemeClr w14:val="tx1"/>
                  </w14:solidFill>
                </w14:textFill>
              </w:rPr>
              <w:t>低噪声设备，</w:t>
            </w:r>
            <w:r>
              <w:rPr>
                <w:rFonts w:hint="eastAsia"/>
                <w:color w:val="000000" w:themeColor="text1"/>
                <w14:textFill>
                  <w14:solidFill>
                    <w14:schemeClr w14:val="tx1"/>
                  </w14:solidFill>
                </w14:textFill>
              </w:rPr>
              <w:t>设备</w:t>
            </w:r>
            <w:r>
              <w:rPr>
                <w:rFonts w:hint="default"/>
                <w:color w:val="000000" w:themeColor="text1"/>
                <w14:textFill>
                  <w14:solidFill>
                    <w14:schemeClr w14:val="tx1"/>
                  </w14:solidFill>
                </w14:textFill>
              </w:rPr>
              <w:t>基础减震、</w:t>
            </w:r>
            <w:r>
              <w:rPr>
                <w:rFonts w:hint="eastAsia"/>
                <w:color w:val="000000" w:themeColor="text1"/>
                <w14:textFill>
                  <w14:solidFill>
                    <w14:schemeClr w14:val="tx1"/>
                  </w14:solidFill>
                </w14:textFill>
              </w:rPr>
              <w:t>消音器、</w:t>
            </w:r>
            <w:r>
              <w:rPr>
                <w:rFonts w:hint="default"/>
                <w:color w:val="000000" w:themeColor="text1"/>
                <w14:textFill>
                  <w14:solidFill>
                    <w14:schemeClr w14:val="tx1"/>
                  </w14:solidFill>
                </w14:textFill>
              </w:rPr>
              <w:t>厂房整体隔声等</w:t>
            </w:r>
          </w:p>
        </w:tc>
        <w:tc>
          <w:tcPr>
            <w:tcW w:w="2070"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《工业企业厂界环境噪声排放标准》</w:t>
            </w:r>
          </w:p>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（GB12348-2008）中</w:t>
            </w:r>
            <w:r>
              <w:rPr>
                <w:rFonts w:hint="eastAsia"/>
                <w:color w:val="000000" w:themeColor="text1"/>
                <w14:textFill>
                  <w14:solidFill>
                    <w14:schemeClr w14:val="tx1"/>
                  </w14:solidFill>
                </w14:textFill>
              </w:rPr>
              <w:t>3</w:t>
            </w:r>
            <w:r>
              <w:rPr>
                <w:rFonts w:hint="default"/>
                <w:color w:val="000000" w:themeColor="text1"/>
                <w14:textFill>
                  <w14:solidFill>
                    <w14:schemeClr w14:val="tx1"/>
                  </w14:solidFill>
                </w14:textFill>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65" w:type="dxa"/>
            <w:tcBorders>
              <w:bottom w:val="single" w:color="000000" w:sz="4" w:space="0"/>
            </w:tcBorders>
            <w:vAlign w:val="center"/>
          </w:tcPr>
          <w:p>
            <w:pPr>
              <w:pStyle w:val="15"/>
              <w:keepNext w:val="0"/>
              <w:keepLines w:val="0"/>
              <w:suppressLineNumbers w:val="0"/>
              <w:spacing w:before="0" w:beforeAutospacing="0" w:after="0" w:afterAutospacing="0"/>
              <w:ind w:left="0" w:right="0"/>
              <w:rPr>
                <w:rFonts w:hint="default"/>
              </w:rPr>
            </w:pPr>
            <w:r>
              <w:rPr>
                <w:rFonts w:hint="eastAsia"/>
              </w:rPr>
              <w:t>电磁辐射</w:t>
            </w:r>
          </w:p>
        </w:tc>
        <w:tc>
          <w:tcPr>
            <w:tcW w:w="1496" w:type="dxa"/>
            <w:tcBorders>
              <w:bottom w:val="single" w:color="000000" w:sz="4" w:space="0"/>
            </w:tcBorders>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82"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359"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070"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固体废物</w:t>
            </w:r>
          </w:p>
        </w:tc>
        <w:tc>
          <w:tcPr>
            <w:tcW w:w="7307" w:type="dxa"/>
            <w:gridSpan w:val="4"/>
            <w:vAlign w:val="center"/>
          </w:tcPr>
          <w:p>
            <w:pPr>
              <w:keepNext w:val="0"/>
              <w:keepLines w:val="0"/>
              <w:suppressLineNumbers w:val="0"/>
              <w:spacing w:before="0" w:beforeAutospacing="0" w:after="0" w:afterAutospacing="0" w:line="240" w:lineRule="auto"/>
              <w:ind w:left="0" w:right="0" w:firstLine="420"/>
              <w:rPr>
                <w:rFonts w:hint="default"/>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生活垃圾集中收集委托园区环卫清运；</w:t>
            </w:r>
            <w:r>
              <w:rPr>
                <w:rFonts w:hint="eastAsia"/>
                <w:color w:val="000000" w:themeColor="text1"/>
                <w:highlight w:val="none"/>
                <w:lang w:val="en-US" w:eastAsia="zh-CN"/>
                <w14:textFill>
                  <w14:solidFill>
                    <w14:schemeClr w14:val="tx1"/>
                  </w14:solidFill>
                </w14:textFill>
              </w:rPr>
              <w:t>除尘灰集中收集回用于生产；定期更换滤布，</w:t>
            </w:r>
            <w:r>
              <w:rPr>
                <w:rFonts w:hint="eastAsia"/>
                <w:color w:val="000000" w:themeColor="text1"/>
                <w:highlight w:val="none"/>
                <w14:textFill>
                  <w14:solidFill>
                    <w14:schemeClr w14:val="tx1"/>
                  </w14:solidFill>
                </w14:textFill>
              </w:rPr>
              <w:t>收集后外售综合利用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清模产生</w:t>
            </w:r>
            <w:r>
              <w:rPr>
                <w:rFonts w:hint="eastAsia"/>
                <w:color w:val="000000" w:themeColor="text1"/>
                <w:highlight w:val="none"/>
                <w14:textFill>
                  <w14:solidFill>
                    <w14:schemeClr w14:val="tx1"/>
                  </w14:solidFill>
                </w14:textFill>
              </w:rPr>
              <w:t>混凝土残留物，收集后</w:t>
            </w:r>
            <w:r>
              <w:rPr>
                <w:rFonts w:hint="eastAsia"/>
                <w:color w:val="000000" w:themeColor="text1"/>
                <w:highlight w:val="none"/>
                <w:lang w:val="en-US" w:eastAsia="zh-CN"/>
                <w14:textFill>
                  <w14:solidFill>
                    <w14:schemeClr w14:val="tx1"/>
                  </w14:solidFill>
                </w14:textFill>
              </w:rPr>
              <w:t>清运至一般工业固废堆场；钢材边角料</w:t>
            </w:r>
            <w:r>
              <w:rPr>
                <w:rFonts w:hint="eastAsia"/>
                <w:color w:val="000000" w:themeColor="text1"/>
                <w:highlight w:val="none"/>
                <w14:textFill>
                  <w14:solidFill>
                    <w14:schemeClr w14:val="tx1"/>
                  </w14:solidFill>
                </w14:textFill>
              </w:rPr>
              <w:t>经收集后外售</w:t>
            </w:r>
            <w:r>
              <w:rPr>
                <w:rFonts w:hint="eastAsia"/>
                <w:color w:val="000000" w:themeColor="text1"/>
                <w:highlight w:val="none"/>
                <w:lang w:val="en-US" w:eastAsia="zh-CN"/>
                <w14:textFill>
                  <w14:solidFill>
                    <w14:schemeClr w14:val="tx1"/>
                  </w14:solidFill>
                </w14:textFill>
              </w:rPr>
              <w:t>处理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脱模剂废桶</w:t>
            </w:r>
            <w:r>
              <w:rPr>
                <w:rFonts w:hint="eastAsia"/>
                <w:color w:val="000000" w:themeColor="text1"/>
                <w:highlight w:val="none"/>
                <w14:textFill>
                  <w14:solidFill>
                    <w14:schemeClr w14:val="tx1"/>
                  </w14:solidFill>
                </w14:textFill>
              </w:rPr>
              <w:t>收集后</w:t>
            </w:r>
            <w:r>
              <w:rPr>
                <w:rFonts w:hint="eastAsia"/>
                <w:color w:val="000000" w:themeColor="text1"/>
                <w:highlight w:val="none"/>
                <w:lang w:val="en-US" w:eastAsia="zh-CN"/>
                <w14:textFill>
                  <w14:solidFill>
                    <w14:schemeClr w14:val="tx1"/>
                  </w14:solidFill>
                </w14:textFill>
              </w:rPr>
              <w:t>由厂家回收处理；</w:t>
            </w:r>
            <w:r>
              <w:rPr>
                <w:rFonts w:hint="eastAsia"/>
                <w:color w:val="000000" w:themeColor="text1"/>
                <w:highlight w:val="none"/>
                <w14:textFill>
                  <w14:solidFill>
                    <w14:schemeClr w14:val="tx1"/>
                  </w14:solidFill>
                </w14:textFill>
              </w:rPr>
              <w:t>废</w:t>
            </w:r>
            <w:r>
              <w:rPr>
                <w:rFonts w:hint="eastAsia"/>
                <w:color w:val="000000" w:themeColor="text1"/>
                <w:highlight w:val="none"/>
                <w:lang w:val="en-US" w:eastAsia="zh-CN"/>
                <w14:textFill>
                  <w14:solidFill>
                    <w14:schemeClr w14:val="tx1"/>
                  </w14:solidFill>
                </w14:textFill>
              </w:rPr>
              <w:t>矿物油</w:t>
            </w:r>
            <w:r>
              <w:rPr>
                <w:rFonts w:hint="eastAsia"/>
                <w:color w:val="000000" w:themeColor="text1"/>
                <w:highlight w:val="none"/>
                <w14:textFill>
                  <w14:solidFill>
                    <w14:schemeClr w14:val="tx1"/>
                  </w14:solidFill>
                </w14:textFill>
              </w:rPr>
              <w:t>收集</w:t>
            </w:r>
            <w:r>
              <w:rPr>
                <w:rFonts w:hint="eastAsia"/>
                <w:color w:val="000000" w:themeColor="text1"/>
                <w:highlight w:val="none"/>
                <w:lang w:val="en-US" w:eastAsia="zh-CN"/>
                <w14:textFill>
                  <w14:solidFill>
                    <w14:schemeClr w14:val="tx1"/>
                  </w14:solidFill>
                </w14:textFill>
              </w:rPr>
              <w:t>贮存于危废贮存间</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定期</w:t>
            </w:r>
            <w:r>
              <w:rPr>
                <w:rFonts w:hint="eastAsia"/>
                <w:color w:val="000000" w:themeColor="text1"/>
                <w:highlight w:val="none"/>
                <w14:textFill>
                  <w14:solidFill>
                    <w14:schemeClr w14:val="tx1"/>
                  </w14:solidFill>
                </w14:textFill>
              </w:rPr>
              <w:t>委托有资质单位处理</w:t>
            </w:r>
            <w:r>
              <w:rPr>
                <w:rFonts w:hint="eastAsia"/>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土壤及地下水污染防治措施</w:t>
            </w:r>
          </w:p>
        </w:tc>
        <w:tc>
          <w:tcPr>
            <w:tcW w:w="7307" w:type="dxa"/>
            <w:gridSpan w:val="4"/>
            <w:vAlign w:val="center"/>
          </w:tcPr>
          <w:p>
            <w:pPr>
              <w:pStyle w:val="15"/>
              <w:keepNext w:val="0"/>
              <w:keepLines w:val="0"/>
              <w:suppressLineNumbers w:val="0"/>
              <w:spacing w:before="0" w:beforeAutospacing="0" w:after="0" w:afterAutospacing="0"/>
              <w:ind w:left="0" w:right="0"/>
              <w:rPr>
                <w:rFonts w:hint="default"/>
              </w:rPr>
            </w:pPr>
            <w:r>
              <w:rPr>
                <w:rFonts w:hint="eastAsia"/>
                <w:color w:val="000000"/>
                <w:lang w:val="en-US" w:eastAsia="zh-CN"/>
              </w:rPr>
              <w:t>废矿物油采用与其相容的包装容器收集，其容器和包装物应满足相应的防渗、防漏、防腐和强度等要求，无破损泄漏。贮存间地面防渗材料采用抗渗混凝土、高密度聚乙烯膜、钠基膨润土防水毯或其他防渗性能等效的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生态保护措施</w:t>
            </w:r>
          </w:p>
        </w:tc>
        <w:tc>
          <w:tcPr>
            <w:tcW w:w="7307" w:type="dxa"/>
            <w:gridSpan w:val="4"/>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环境风险</w:t>
            </w:r>
          </w:p>
          <w:p>
            <w:pPr>
              <w:pStyle w:val="15"/>
              <w:keepNext w:val="0"/>
              <w:keepLines w:val="0"/>
              <w:suppressLineNumbers w:val="0"/>
              <w:spacing w:before="0" w:beforeAutospacing="0" w:after="0" w:afterAutospacing="0"/>
              <w:ind w:left="0" w:right="0"/>
              <w:rPr>
                <w:rFonts w:hint="default"/>
              </w:rPr>
            </w:pPr>
            <w:r>
              <w:rPr>
                <w:rFonts w:hint="eastAsia"/>
              </w:rPr>
              <w:t>防范措施</w:t>
            </w:r>
          </w:p>
        </w:tc>
        <w:tc>
          <w:tcPr>
            <w:tcW w:w="7307" w:type="dxa"/>
            <w:gridSpan w:val="4"/>
            <w:vAlign w:val="center"/>
          </w:tcPr>
          <w:p>
            <w:pPr>
              <w:pStyle w:val="15"/>
              <w:keepNext w:val="0"/>
              <w:keepLines w:val="0"/>
              <w:suppressLineNumbers w:val="0"/>
              <w:spacing w:before="0" w:beforeAutospacing="0" w:after="0" w:afterAutospacing="0"/>
              <w:ind w:left="0" w:right="0"/>
              <w:rPr>
                <w:rFonts w:hint="default"/>
              </w:rPr>
            </w:pPr>
            <w:r>
              <w:rPr>
                <w:rFonts w:hint="eastAsia"/>
                <w:color w:val="000000" w:themeColor="text1"/>
                <w:kern w:val="2"/>
                <w:highlight w:val="none"/>
                <w14:textFill>
                  <w14:solidFill>
                    <w14:schemeClr w14:val="tx1"/>
                  </w14:solidFill>
                </w14:textFill>
              </w:rPr>
              <w:t>加强</w:t>
            </w:r>
            <w:r>
              <w:rPr>
                <w:rFonts w:hint="eastAsia"/>
                <w:color w:val="000000" w:themeColor="text1"/>
                <w:kern w:val="2"/>
                <w:highlight w:val="none"/>
                <w:lang w:val="en-US" w:eastAsia="zh-CN"/>
                <w14:textFill>
                  <w14:solidFill>
                    <w14:schemeClr w14:val="tx1"/>
                  </w14:solidFill>
                </w14:textFill>
              </w:rPr>
              <w:t>废矿物油</w:t>
            </w:r>
            <w:r>
              <w:rPr>
                <w:rFonts w:hint="eastAsia"/>
                <w:color w:val="000000" w:themeColor="text1"/>
                <w:kern w:val="2"/>
                <w:highlight w:val="none"/>
                <w14:textFill>
                  <w14:solidFill>
                    <w14:schemeClr w14:val="tx1"/>
                  </w14:solidFill>
                </w14:textFill>
              </w:rPr>
              <w:t>管理、</w:t>
            </w:r>
            <w:r>
              <w:rPr>
                <w:rFonts w:hint="eastAsia"/>
                <w:kern w:val="2"/>
              </w:rPr>
              <w:t>编制</w:t>
            </w:r>
            <w:r>
              <w:rPr>
                <w:rFonts w:hint="eastAsia"/>
                <w:kern w:val="2"/>
                <w:lang w:val="en-US" w:eastAsia="zh-CN"/>
              </w:rPr>
              <w:t>突发环境事件</w:t>
            </w:r>
            <w:r>
              <w:rPr>
                <w:rFonts w:hint="eastAsia"/>
                <w:kern w:val="2"/>
              </w:rPr>
              <w:t>应急预案、配备应急物资</w:t>
            </w:r>
            <w:r>
              <w:rPr>
                <w:rFonts w:hint="eastAsia"/>
                <w:kern w:val="2"/>
                <w:lang w:val="en-US" w:eastAsia="zh-CN"/>
              </w:rPr>
              <w:t>及人员</w:t>
            </w:r>
            <w:r>
              <w:rPr>
                <w:rFonts w:hint="eastAsia"/>
                <w:kern w:val="2"/>
              </w:rPr>
              <w:t>，加强</w:t>
            </w:r>
            <w:r>
              <w:rPr>
                <w:rFonts w:hint="eastAsia"/>
                <w:kern w:val="2"/>
                <w:lang w:val="en-US" w:eastAsia="zh-CN"/>
              </w:rPr>
              <w:t>培训与</w:t>
            </w:r>
            <w:r>
              <w:rPr>
                <w:rFonts w:hint="eastAsia"/>
                <w:kern w:val="2"/>
              </w:rPr>
              <w:t>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1565" w:type="dxa"/>
            <w:vAlign w:val="center"/>
          </w:tcPr>
          <w:p>
            <w:pPr>
              <w:pStyle w:val="15"/>
              <w:keepNext w:val="0"/>
              <w:keepLines w:val="0"/>
              <w:suppressLineNumbers w:val="0"/>
              <w:spacing w:before="0" w:beforeAutospacing="0" w:after="0" w:afterAutospacing="0"/>
              <w:ind w:left="0" w:right="0"/>
              <w:rPr>
                <w:rFonts w:hint="default"/>
              </w:rPr>
            </w:pPr>
            <w:r>
              <w:rPr>
                <w:rFonts w:hint="eastAsia"/>
              </w:rPr>
              <w:t>其他环境</w:t>
            </w:r>
          </w:p>
          <w:p>
            <w:pPr>
              <w:pStyle w:val="15"/>
              <w:keepNext w:val="0"/>
              <w:keepLines w:val="0"/>
              <w:suppressLineNumbers w:val="0"/>
              <w:spacing w:before="0" w:beforeAutospacing="0" w:after="0" w:afterAutospacing="0"/>
              <w:ind w:left="0" w:right="0"/>
              <w:rPr>
                <w:rFonts w:hint="default"/>
              </w:rPr>
            </w:pPr>
            <w:r>
              <w:rPr>
                <w:rFonts w:hint="eastAsia"/>
              </w:rPr>
              <w:t>管理要求</w:t>
            </w:r>
          </w:p>
        </w:tc>
        <w:tc>
          <w:tcPr>
            <w:tcW w:w="7307" w:type="dxa"/>
            <w:gridSpan w:val="4"/>
            <w:vAlign w:val="center"/>
          </w:tcPr>
          <w:p>
            <w:pPr>
              <w:pStyle w:val="15"/>
              <w:keepNext w:val="0"/>
              <w:keepLines w:val="0"/>
              <w:suppressLineNumbers w:val="0"/>
              <w:spacing w:before="0" w:beforeAutospacing="0" w:after="0" w:afterAutospacing="0"/>
              <w:ind w:left="0" w:right="0"/>
              <w:jc w:val="left"/>
              <w:rPr>
                <w:rFonts w:hint="default"/>
              </w:rPr>
            </w:pPr>
            <w:r>
              <w:rPr>
                <w:rFonts w:hint="eastAsia"/>
              </w:rPr>
              <w:t>①建立环境保护管理责任制度，设置专门环境保护部门及人员，负责相关污染物治理设施保护及相关管理工作。</w:t>
            </w:r>
          </w:p>
          <w:p>
            <w:pPr>
              <w:pStyle w:val="15"/>
              <w:keepNext w:val="0"/>
              <w:keepLines w:val="0"/>
              <w:suppressLineNumbers w:val="0"/>
              <w:spacing w:before="0" w:beforeAutospacing="0" w:after="0" w:afterAutospacing="0"/>
              <w:ind w:left="0" w:right="0"/>
              <w:jc w:val="left"/>
              <w:rPr>
                <w:rFonts w:hint="default" w:cs="Times New Roman"/>
              </w:rPr>
            </w:pPr>
            <w:r>
              <w:rPr>
                <w:rFonts w:hint="default" w:cs="Times New Roman"/>
              </w:rPr>
              <w:t>②根据《关于做好环境影响评价制度与排污许可制衔接相关工作的通知》</w:t>
            </w:r>
            <w:r>
              <w:rPr>
                <w:rFonts w:hint="eastAsia" w:cs="Times New Roman"/>
              </w:rPr>
              <w:t>及</w:t>
            </w:r>
            <w:r>
              <w:rPr>
                <w:rFonts w:hint="default" w:cs="Times New Roman"/>
              </w:rPr>
              <w:t>《固定污染源排污许可分类管理名录》，本项目属《固定污染源排污许可分类管理名录》中“</w:t>
            </w:r>
            <w:r>
              <w:rPr>
                <w:rFonts w:hint="eastAsia" w:cs="Times New Roman"/>
              </w:rPr>
              <w:t>二十</w:t>
            </w:r>
            <w:r>
              <w:rPr>
                <w:rFonts w:hint="eastAsia" w:cs="Times New Roman"/>
                <w:lang w:val="en-US" w:eastAsia="zh-CN"/>
              </w:rPr>
              <w:t>五</w:t>
            </w:r>
            <w:r>
              <w:rPr>
                <w:rFonts w:hint="default" w:cs="Times New Roman"/>
              </w:rPr>
              <w:t>、</w:t>
            </w:r>
            <w:r>
              <w:rPr>
                <w:rFonts w:hint="eastAsia" w:ascii="宋体" w:hAnsi="宋体"/>
                <w:lang w:val="en-US" w:eastAsia="zh-CN"/>
              </w:rPr>
              <w:t>非金属矿物制品</w:t>
            </w:r>
            <w:r>
              <w:rPr>
                <w:rFonts w:hint="eastAsia" w:ascii="宋体" w:hAnsi="宋体"/>
              </w:rPr>
              <w:t>业</w:t>
            </w:r>
            <w:r>
              <w:rPr>
                <w:rFonts w:hint="eastAsia" w:cs="Times New Roman"/>
              </w:rPr>
              <w:t>—</w:t>
            </w:r>
            <w:r>
              <w:rPr>
                <w:rFonts w:hint="eastAsia" w:cs="Times New Roman"/>
                <w:lang w:val="en-US" w:eastAsia="zh-CN"/>
              </w:rPr>
              <w:t>6</w:t>
            </w:r>
            <w:r>
              <w:rPr>
                <w:rFonts w:hint="eastAsia" w:cs="Times New Roman"/>
              </w:rPr>
              <w:t xml:space="preserve">3、水泥、石灰和石膏制造301，石膏、水泥制品及类似制品制造302 </w:t>
            </w:r>
            <w:r>
              <w:rPr>
                <w:rFonts w:hint="default" w:cs="Times New Roman"/>
              </w:rPr>
              <w:t>”，应实行</w:t>
            </w:r>
            <w:r>
              <w:rPr>
                <w:rFonts w:hint="eastAsia" w:cs="Times New Roman"/>
                <w:lang w:val="en-US" w:eastAsia="zh-CN"/>
              </w:rPr>
              <w:t>登记</w:t>
            </w:r>
            <w:r>
              <w:rPr>
                <w:rFonts w:hint="default" w:cs="Times New Roman"/>
              </w:rPr>
              <w:t>管理，</w:t>
            </w:r>
            <w:r>
              <w:rPr>
                <w:rFonts w:hint="eastAsia" w:cs="Times New Roman"/>
                <w:lang w:val="en-US" w:eastAsia="zh-CN"/>
              </w:rPr>
              <w:t>建设单位</w:t>
            </w:r>
            <w:r>
              <w:rPr>
                <w:rFonts w:hint="eastAsia" w:cs="Times New Roman"/>
              </w:rPr>
              <w:t>应当在全国排污许可证管理信息平台上填报基本信息、污染物排放去向、执行的污染物排放标准以及采取的污染防治措施等信息</w:t>
            </w:r>
            <w:r>
              <w:rPr>
                <w:rFonts w:hint="default" w:cs="Times New Roman"/>
              </w:rPr>
              <w:t>。</w:t>
            </w:r>
          </w:p>
          <w:p>
            <w:pPr>
              <w:pStyle w:val="15"/>
              <w:keepNext w:val="0"/>
              <w:keepLines w:val="0"/>
              <w:suppressLineNumbers w:val="0"/>
              <w:spacing w:before="0" w:beforeAutospacing="0" w:after="0" w:afterAutospacing="0"/>
              <w:ind w:left="0" w:right="0"/>
              <w:jc w:val="left"/>
              <w:rPr>
                <w:rFonts w:hint="default"/>
              </w:rPr>
            </w:pPr>
            <w:r>
              <w:rPr>
                <w:rFonts w:hint="eastAsia"/>
              </w:rPr>
              <w:fldChar w:fldCharType="begin"/>
            </w:r>
            <w:r>
              <w:rPr>
                <w:rFonts w:hint="eastAsia"/>
              </w:rPr>
              <w:instrText xml:space="preserve"> = 3 \* GB3 \* MERGEFORMAT </w:instrText>
            </w:r>
            <w:r>
              <w:rPr>
                <w:rFonts w:hint="eastAsia"/>
              </w:rPr>
              <w:fldChar w:fldCharType="separate"/>
            </w:r>
            <w:r>
              <w:rPr>
                <w:rFonts w:hint="default"/>
              </w:rPr>
              <w:t>③</w:t>
            </w:r>
            <w:r>
              <w:rPr>
                <w:rFonts w:hint="eastAsia"/>
              </w:rPr>
              <w:fldChar w:fldCharType="end"/>
            </w:r>
            <w:r>
              <w:rPr>
                <w:rFonts w:hint="eastAsia"/>
              </w:rPr>
              <w:t xml:space="preserve">根据《建设项目竣工环境保护验收暂行办法》的规定，建设项目竣工后，应当自行开展竣工环境保护工作，编制验收监测报告，经验收合格后方可投入使用。 </w:t>
            </w:r>
          </w:p>
          <w:p>
            <w:pPr>
              <w:pStyle w:val="15"/>
              <w:keepNext w:val="0"/>
              <w:keepLines w:val="0"/>
              <w:suppressLineNumbers w:val="0"/>
              <w:spacing w:before="0" w:beforeAutospacing="0" w:after="0" w:afterAutospacing="0"/>
              <w:ind w:left="0" w:right="0"/>
              <w:jc w:val="left"/>
              <w:rPr>
                <w:rFonts w:hint="default"/>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4 \* GB3 \* MERGEFORMAT </w:instrText>
            </w:r>
            <w:r>
              <w:rPr>
                <w:rFonts w:hint="eastAsia"/>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④</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根据《企业事业单位环境信息公开办法》定期公布企业环境保护相关信息。</w:t>
            </w:r>
          </w:p>
        </w:tc>
      </w:tr>
    </w:tbl>
    <w:p>
      <w:pPr>
        <w:widowControl/>
        <w:spacing w:line="240" w:lineRule="auto"/>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六、结论</w:t>
      </w:r>
    </w:p>
    <w:tbl>
      <w:tblPr>
        <w:tblStyle w:val="10"/>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spacing w:before="0" w:beforeAutospacing="0" w:after="0" w:afterAutospacing="0"/>
              <w:ind w:left="0" w:right="0" w:firstLine="420"/>
              <w:rPr>
                <w:rFonts w:hint="default" w:ascii="宋体" w:hAnsi="宋体"/>
              </w:rPr>
            </w:pPr>
            <w:r>
              <w:rPr>
                <w:rFonts w:hint="eastAsia" w:ascii="宋体" w:hAnsi="宋体"/>
              </w:rPr>
              <w:t>从环保的角度分析，本项目的建设是可行的。</w:t>
            </w: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p>
            <w:pPr>
              <w:keepNext w:val="0"/>
              <w:keepLines w:val="0"/>
              <w:suppressLineNumbers w:val="0"/>
              <w:spacing w:before="0" w:beforeAutospacing="0" w:after="0" w:afterAutospacing="0"/>
              <w:ind w:left="0" w:right="0" w:firstLine="420"/>
              <w:rPr>
                <w:rFonts w:hint="default" w:ascii="宋体" w:hAnsi="宋体"/>
              </w:rPr>
            </w:pPr>
          </w:p>
        </w:tc>
      </w:tr>
    </w:tbl>
    <w:p>
      <w:pPr>
        <w:ind w:firstLine="760"/>
        <w:rPr>
          <w:rFonts w:ascii="方正小标宋_GBK" w:hAnsi="黑体" w:eastAsia="方正小标宋_GBK"/>
          <w:snapToGrid w:val="0"/>
          <w:sz w:val="38"/>
          <w:szCs w:val="3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240" w:lineRule="auto"/>
        <w:ind w:firstLine="0" w:firstLineChars="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0"/>
        <w:tblW w:w="141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05"/>
        <w:gridCol w:w="1713"/>
        <w:gridCol w:w="1224"/>
        <w:gridCol w:w="1893"/>
        <w:gridCol w:w="1449"/>
        <w:gridCol w:w="1736"/>
        <w:gridCol w:w="1892"/>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41" w:type="dxa"/>
            <w:tcBorders>
              <w:tl2br w:val="single" w:color="auto" w:sz="4" w:space="0"/>
            </w:tcBorders>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 xml:space="preserve">     项目</w:t>
            </w:r>
          </w:p>
          <w:p>
            <w:pPr>
              <w:pStyle w:val="15"/>
              <w:keepNext w:val="0"/>
              <w:keepLines w:val="0"/>
              <w:suppressLineNumbers w:val="0"/>
              <w:spacing w:before="0" w:beforeAutospacing="0" w:after="0" w:afterAutospacing="0"/>
              <w:ind w:left="0" w:right="0"/>
              <w:jc w:val="both"/>
              <w:rPr>
                <w:rFonts w:hint="default" w:ascii="黑体" w:hAnsi="黑体" w:eastAsia="黑体" w:cs="黑体"/>
              </w:rPr>
            </w:pPr>
            <w:r>
              <w:rPr>
                <w:rFonts w:hint="eastAsia" w:ascii="黑体" w:hAnsi="黑体" w:eastAsia="黑体" w:cs="黑体"/>
              </w:rPr>
              <w:t>分类</w:t>
            </w:r>
          </w:p>
        </w:tc>
        <w:tc>
          <w:tcPr>
            <w:tcW w:w="1705"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污染物名称</w:t>
            </w:r>
          </w:p>
        </w:tc>
        <w:tc>
          <w:tcPr>
            <w:tcW w:w="1713"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现有工程</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排放量（固体废物产生量）</w:t>
            </w:r>
            <w:r>
              <w:rPr>
                <w:rFonts w:hint="eastAsia" w:ascii="黑体" w:hAnsi="黑体" w:eastAsia="黑体" w:cs="黑体"/>
              </w:rPr>
              <w:fldChar w:fldCharType="begin"/>
            </w:r>
            <w:r>
              <w:rPr>
                <w:rFonts w:hint="eastAsia" w:ascii="黑体" w:hAnsi="黑体" w:eastAsia="黑体" w:cs="黑体"/>
              </w:rPr>
              <w:instrText xml:space="preserve"> = 1 \* GB3 \* MERGEFORMAT </w:instrText>
            </w:r>
            <w:r>
              <w:rPr>
                <w:rFonts w:hint="eastAsia" w:ascii="黑体" w:hAnsi="黑体" w:eastAsia="黑体" w:cs="黑体"/>
              </w:rPr>
              <w:fldChar w:fldCharType="separate"/>
            </w:r>
            <w:r>
              <w:rPr>
                <w:rFonts w:hint="eastAsia" w:ascii="黑体" w:hAnsi="黑体" w:eastAsia="黑体" w:cs="黑体"/>
              </w:rPr>
              <w:t>①</w:t>
            </w:r>
            <w:r>
              <w:rPr>
                <w:rFonts w:hint="eastAsia" w:ascii="黑体" w:hAnsi="黑体" w:eastAsia="黑体" w:cs="黑体"/>
              </w:rPr>
              <w:fldChar w:fldCharType="end"/>
            </w:r>
          </w:p>
        </w:tc>
        <w:tc>
          <w:tcPr>
            <w:tcW w:w="1224"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现有工程</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许可排放量</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 2 \* GB3 \* MERGEFORMAT </w:instrText>
            </w:r>
            <w:r>
              <w:rPr>
                <w:rFonts w:hint="eastAsia" w:ascii="黑体" w:hAnsi="黑体" w:eastAsia="黑体" w:cs="黑体"/>
              </w:rPr>
              <w:fldChar w:fldCharType="separate"/>
            </w:r>
            <w:r>
              <w:rPr>
                <w:rFonts w:hint="eastAsia" w:ascii="黑体" w:hAnsi="黑体" w:eastAsia="黑体" w:cs="黑体"/>
              </w:rPr>
              <w:t>②</w:t>
            </w:r>
            <w:r>
              <w:rPr>
                <w:rFonts w:hint="eastAsia" w:ascii="黑体" w:hAnsi="黑体" w:eastAsia="黑体" w:cs="黑体"/>
              </w:rPr>
              <w:fldChar w:fldCharType="end"/>
            </w:r>
          </w:p>
        </w:tc>
        <w:tc>
          <w:tcPr>
            <w:tcW w:w="1893"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在建工程</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排放量（固体废物产生量）</w:t>
            </w:r>
            <w:r>
              <w:rPr>
                <w:rFonts w:hint="eastAsia" w:ascii="黑体" w:hAnsi="黑体" w:eastAsia="黑体" w:cs="黑体"/>
              </w:rPr>
              <w:fldChar w:fldCharType="begin"/>
            </w:r>
            <w:r>
              <w:rPr>
                <w:rFonts w:hint="eastAsia" w:ascii="黑体" w:hAnsi="黑体" w:eastAsia="黑体" w:cs="黑体"/>
              </w:rPr>
              <w:instrText xml:space="preserve"> = 3 \* GB3 \* MERGEFORMAT </w:instrText>
            </w:r>
            <w:r>
              <w:rPr>
                <w:rFonts w:hint="eastAsia" w:ascii="黑体" w:hAnsi="黑体" w:eastAsia="黑体" w:cs="黑体"/>
              </w:rPr>
              <w:fldChar w:fldCharType="separate"/>
            </w:r>
            <w:r>
              <w:rPr>
                <w:rFonts w:hint="eastAsia" w:ascii="黑体" w:hAnsi="黑体" w:eastAsia="黑体" w:cs="黑体"/>
              </w:rPr>
              <w:t>③</w:t>
            </w:r>
            <w:r>
              <w:rPr>
                <w:rFonts w:hint="eastAsia" w:ascii="黑体" w:hAnsi="黑体" w:eastAsia="黑体" w:cs="黑体"/>
              </w:rPr>
              <w:fldChar w:fldCharType="end"/>
            </w:r>
          </w:p>
        </w:tc>
        <w:tc>
          <w:tcPr>
            <w:tcW w:w="1449"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本项目</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排放量（固体废物产生量）</w:t>
            </w:r>
            <w:r>
              <w:rPr>
                <w:rFonts w:hint="eastAsia" w:ascii="黑体" w:hAnsi="黑体" w:eastAsia="黑体" w:cs="黑体"/>
              </w:rPr>
              <w:fldChar w:fldCharType="begin"/>
            </w:r>
            <w:r>
              <w:rPr>
                <w:rFonts w:hint="eastAsia" w:ascii="黑体" w:hAnsi="黑体" w:eastAsia="黑体" w:cs="黑体"/>
              </w:rPr>
              <w:instrText xml:space="preserve"> = 4 \* GB3 \* MERGEFORMAT </w:instrText>
            </w:r>
            <w:r>
              <w:rPr>
                <w:rFonts w:hint="eastAsia" w:ascii="黑体" w:hAnsi="黑体" w:eastAsia="黑体" w:cs="黑体"/>
              </w:rPr>
              <w:fldChar w:fldCharType="separate"/>
            </w:r>
            <w:r>
              <w:rPr>
                <w:rFonts w:hint="eastAsia" w:ascii="黑体" w:hAnsi="黑体" w:eastAsia="黑体" w:cs="黑体"/>
              </w:rPr>
              <w:t>④</w:t>
            </w:r>
            <w:r>
              <w:rPr>
                <w:rFonts w:hint="eastAsia" w:ascii="黑体" w:hAnsi="黑体" w:eastAsia="黑体" w:cs="黑体"/>
              </w:rPr>
              <w:fldChar w:fldCharType="end"/>
            </w:r>
          </w:p>
        </w:tc>
        <w:tc>
          <w:tcPr>
            <w:tcW w:w="1736"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以新带老削减量</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（新建项目不填）</w:t>
            </w:r>
            <w:r>
              <w:rPr>
                <w:rFonts w:hint="eastAsia" w:ascii="黑体" w:hAnsi="黑体" w:eastAsia="黑体" w:cs="黑体"/>
              </w:rPr>
              <w:fldChar w:fldCharType="begin"/>
            </w:r>
            <w:r>
              <w:rPr>
                <w:rFonts w:hint="eastAsia" w:ascii="黑体" w:hAnsi="黑体" w:eastAsia="黑体" w:cs="黑体"/>
              </w:rPr>
              <w:instrText xml:space="preserve"> = 5 \* GB3 \* MERGEFORMAT </w:instrText>
            </w:r>
            <w:r>
              <w:rPr>
                <w:rFonts w:hint="eastAsia" w:ascii="黑体" w:hAnsi="黑体" w:eastAsia="黑体" w:cs="黑体"/>
              </w:rPr>
              <w:fldChar w:fldCharType="separate"/>
            </w:r>
            <w:r>
              <w:rPr>
                <w:rFonts w:hint="eastAsia" w:ascii="黑体" w:hAnsi="黑体" w:eastAsia="黑体" w:cs="黑体"/>
              </w:rPr>
              <w:t>⑤</w:t>
            </w:r>
            <w:r>
              <w:rPr>
                <w:rFonts w:hint="eastAsia" w:ascii="黑体" w:hAnsi="黑体" w:eastAsia="黑体" w:cs="黑体"/>
              </w:rPr>
              <w:fldChar w:fldCharType="end"/>
            </w:r>
          </w:p>
        </w:tc>
        <w:tc>
          <w:tcPr>
            <w:tcW w:w="1892"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本项目建成后</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全厂排放量（固体废物产生量）</w:t>
            </w:r>
            <w:r>
              <w:rPr>
                <w:rFonts w:hint="eastAsia" w:ascii="黑体" w:hAnsi="黑体" w:eastAsia="黑体" w:cs="黑体"/>
              </w:rPr>
              <w:fldChar w:fldCharType="begin"/>
            </w:r>
            <w:r>
              <w:rPr>
                <w:rFonts w:hint="eastAsia" w:ascii="黑体" w:hAnsi="黑体" w:eastAsia="黑体" w:cs="黑体"/>
              </w:rPr>
              <w:instrText xml:space="preserve"> = 6 \* GB3 \* MERGEFORMAT </w:instrText>
            </w:r>
            <w:r>
              <w:rPr>
                <w:rFonts w:hint="eastAsia" w:ascii="黑体" w:hAnsi="黑体" w:eastAsia="黑体" w:cs="黑体"/>
              </w:rPr>
              <w:fldChar w:fldCharType="separate"/>
            </w:r>
            <w:r>
              <w:rPr>
                <w:rFonts w:hint="eastAsia" w:ascii="黑体" w:hAnsi="黑体" w:eastAsia="黑体" w:cs="黑体"/>
              </w:rPr>
              <w:t>⑥</w:t>
            </w:r>
            <w:r>
              <w:rPr>
                <w:rFonts w:hint="eastAsia" w:ascii="黑体" w:hAnsi="黑体" w:eastAsia="黑体" w:cs="黑体"/>
              </w:rPr>
              <w:fldChar w:fldCharType="end"/>
            </w:r>
          </w:p>
        </w:tc>
        <w:tc>
          <w:tcPr>
            <w:tcW w:w="1407" w:type="dxa"/>
            <w:tcMar>
              <w:left w:w="28" w:type="dxa"/>
              <w:right w:w="28" w:type="dxa"/>
            </w:tcMar>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变化量</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 7 \* GB3 \* MERGEFORMAT </w:instrText>
            </w:r>
            <w:r>
              <w:rPr>
                <w:rFonts w:hint="eastAsia" w:ascii="黑体" w:hAnsi="黑体" w:eastAsia="黑体" w:cs="黑体"/>
              </w:rPr>
              <w:fldChar w:fldCharType="separate"/>
            </w:r>
            <w:r>
              <w:rPr>
                <w:rFonts w:hint="eastAsia" w:ascii="黑体" w:hAnsi="黑体" w:eastAsia="黑体" w:cs="黑体"/>
              </w:rPr>
              <w:t>⑦</w:t>
            </w:r>
            <w:r>
              <w:rPr>
                <w:rFonts w:hint="eastAsia" w:ascii="黑体" w:hAnsi="黑体" w:eastAsia="黑体" w:cs="黑体"/>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41" w:type="dxa"/>
            <w:vMerge w:val="restart"/>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废气</w:t>
            </w:r>
          </w:p>
        </w:tc>
        <w:tc>
          <w:tcPr>
            <w:tcW w:w="1705"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ascii="黑体" w:hAnsi="黑体" w:eastAsia="黑体" w:cs="黑体"/>
              </w:rPr>
            </w:pPr>
            <w:r>
              <w:rPr>
                <w:rFonts w:hint="eastAsia" w:ascii="黑体" w:hAnsi="黑体" w:eastAsia="黑体" w:cs="黑体"/>
              </w:rPr>
              <w:t>颗粒物</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lang w:val="en-US" w:eastAsia="zh-CN"/>
              </w:rPr>
            </w:pPr>
            <w:r>
              <w:rPr>
                <w:rFonts w:hint="eastAsia"/>
              </w:rPr>
              <w:t>/</w:t>
            </w:r>
          </w:p>
        </w:tc>
        <w:tc>
          <w:tcPr>
            <w:tcW w:w="1224"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rPr>
            </w:pPr>
            <w:r>
              <w:rPr>
                <w:rFonts w:hint="eastAsia"/>
              </w:rPr>
              <w:t>/</w:t>
            </w:r>
          </w:p>
        </w:tc>
        <w:tc>
          <w:tcPr>
            <w:tcW w:w="189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rPr>
            </w:pPr>
            <w:r>
              <w:rPr>
                <w:rFonts w:hint="eastAsia"/>
              </w:rPr>
              <w:t>/</w:t>
            </w:r>
          </w:p>
        </w:tc>
        <w:tc>
          <w:tcPr>
            <w:tcW w:w="1449"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CC"/>
              </w:rPr>
            </w:pPr>
            <w:r>
              <w:rPr>
                <w:rFonts w:hint="eastAsia"/>
                <w:color w:val="auto"/>
                <w:lang w:val="en-US" w:eastAsia="zh-CN"/>
              </w:rPr>
              <w:t>0.181t/a</w:t>
            </w:r>
          </w:p>
        </w:tc>
        <w:tc>
          <w:tcPr>
            <w:tcW w:w="1736"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CC"/>
              </w:rPr>
            </w:pPr>
            <w:r>
              <w:rPr>
                <w:rFonts w:hint="eastAsia"/>
                <w:color w:val="auto"/>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CC"/>
              </w:rPr>
            </w:pPr>
            <w:r>
              <w:rPr>
                <w:rFonts w:hint="eastAsia"/>
                <w:color w:val="auto"/>
                <w:lang w:val="en-US" w:eastAsia="zh-CN"/>
              </w:rPr>
              <w:t>0.181t/a</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CC"/>
              </w:rPr>
            </w:pPr>
            <w:r>
              <w:rPr>
                <w:rFonts w:hint="eastAsia"/>
                <w:color w:val="auto"/>
                <w:lang w:val="en-US" w:eastAsia="zh-CN"/>
              </w:rPr>
              <w:t>+0.181t/a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right="0"/>
              <w:rPr>
                <w:rFonts w:hint="eastAsia" w:ascii="黑体" w:hAnsi="黑体" w:eastAsia="黑体" w:cs="黑体"/>
                <w:lang w:eastAsia="zh-CN"/>
              </w:rPr>
            </w:pPr>
            <w:r>
              <w:rPr>
                <w:rFonts w:hint="eastAsia"/>
              </w:rPr>
              <w:t>/</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lang w:val="en-US" w:eastAsia="zh-CN"/>
              </w:rPr>
            </w:pPr>
            <w:r>
              <w:rPr>
                <w:rFonts w:hint="eastAsia"/>
              </w:rPr>
              <w:t>/</w:t>
            </w:r>
          </w:p>
        </w:tc>
        <w:tc>
          <w:tcPr>
            <w:tcW w:w="1224"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3"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4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heme="minorBidi"/>
                <w:kern w:val="0"/>
                <w:sz w:val="21"/>
                <w:szCs w:val="21"/>
                <w:lang w:val="en-US" w:eastAsia="zh-CN" w:bidi="ar-SA"/>
              </w:rPr>
            </w:pPr>
            <w:r>
              <w:rPr>
                <w:rFonts w:hint="eastAsia" w:ascii="Times New Roman" w:hAnsi="Times New Roman" w:eastAsia="宋体" w:cstheme="minorBidi"/>
                <w:kern w:val="0"/>
                <w:sz w:val="21"/>
                <w:szCs w:val="21"/>
                <w:lang w:val="en-US" w:eastAsia="zh-CN" w:bidi="ar-SA"/>
              </w:rPr>
              <w:t>/</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heme="minorBidi"/>
                <w:kern w:val="0"/>
                <w:sz w:val="21"/>
                <w:szCs w:val="21"/>
                <w:lang w:val="en-US" w:eastAsia="zh-CN" w:bidi="ar-SA"/>
              </w:rPr>
            </w:pPr>
            <w:r>
              <w:rPr>
                <w:rFonts w:hint="eastAsia" w:ascii="Times New Roman" w:hAnsi="Times New Roman" w:eastAsia="宋体" w:cstheme="minorBidi"/>
                <w:kern w:val="0"/>
                <w:sz w:val="21"/>
                <w:szCs w:val="21"/>
                <w:lang w:val="en-US" w:eastAsia="zh-CN" w:bidi="ar-SA"/>
              </w:rPr>
              <w:t>/</w:t>
            </w:r>
          </w:p>
        </w:tc>
        <w:tc>
          <w:tcPr>
            <w:tcW w:w="18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heme="minorBidi"/>
                <w:kern w:val="0"/>
                <w:sz w:val="21"/>
                <w:szCs w:val="21"/>
                <w:lang w:val="en-US" w:eastAsia="zh-CN" w:bidi="ar-SA"/>
              </w:rPr>
            </w:pPr>
            <w:r>
              <w:rPr>
                <w:rFonts w:hint="eastAsia" w:ascii="Times New Roman" w:hAnsi="Times New Roman" w:eastAsia="宋体" w:cstheme="minorBidi"/>
                <w:kern w:val="0"/>
                <w:sz w:val="21"/>
                <w:szCs w:val="21"/>
                <w:lang w:val="en-US" w:eastAsia="zh-CN" w:bidi="ar-SA"/>
              </w:rPr>
              <w:t>/</w:t>
            </w:r>
          </w:p>
        </w:tc>
        <w:tc>
          <w:tcPr>
            <w:tcW w:w="1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heme="minorBidi"/>
                <w:kern w:val="0"/>
                <w:sz w:val="21"/>
                <w:szCs w:val="21"/>
                <w:lang w:val="en-US" w:eastAsia="zh-CN" w:bidi="ar-SA"/>
              </w:rPr>
            </w:pPr>
            <w:r>
              <w:rPr>
                <w:rFonts w:hint="eastAsia" w:ascii="Times New Roman" w:hAnsi="Times New Roman" w:eastAsia="宋体" w:cstheme="minorBidi"/>
                <w:kern w:val="0"/>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rPr>
              <w:t>/</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lang w:val="en-US" w:eastAsia="zh-CN"/>
              </w:rPr>
            </w:pPr>
            <w:r>
              <w:rPr>
                <w:rFonts w:hint="eastAsia"/>
              </w:rPr>
              <w:t>/</w:t>
            </w:r>
          </w:p>
        </w:tc>
        <w:tc>
          <w:tcPr>
            <w:tcW w:w="1224"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3"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449"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rPr>
              <w:t>/</w:t>
            </w:r>
          </w:p>
        </w:tc>
        <w:tc>
          <w:tcPr>
            <w:tcW w:w="1736" w:type="dxa"/>
            <w:vAlign w:val="center"/>
          </w:tcPr>
          <w:p>
            <w:pPr>
              <w:pStyle w:val="15"/>
              <w:keepNext w:val="0"/>
              <w:keepLines w:val="0"/>
              <w:suppressLineNumbers w:val="0"/>
              <w:spacing w:before="0" w:beforeAutospacing="0" w:after="0" w:afterAutospacing="0"/>
              <w:ind w:left="0" w:right="0"/>
              <w:rPr>
                <w:rFonts w:hint="default"/>
                <w:color w:val="auto"/>
              </w:rPr>
            </w:pPr>
            <w:r>
              <w:rPr>
                <w:rFonts w:hint="eastAsia"/>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rPr>
              <w:t>/</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restart"/>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废水</w:t>
            </w:r>
          </w:p>
        </w:tc>
        <w:tc>
          <w:tcPr>
            <w:tcW w:w="1705" w:type="dxa"/>
            <w:vAlign w:val="center"/>
          </w:tcPr>
          <w:p>
            <w:pPr>
              <w:pStyle w:val="15"/>
              <w:keepNext w:val="0"/>
              <w:keepLines w:val="0"/>
              <w:suppressLineNumbers w:val="0"/>
              <w:spacing w:before="0" w:beforeAutospacing="0" w:after="0" w:afterAutospacing="0"/>
              <w:ind w:left="0" w:right="0"/>
              <w:rPr>
                <w:rFonts w:hint="default" w:ascii="黑体" w:hAnsi="黑体" w:eastAsia="黑体" w:cs="黑体"/>
                <w:lang w:val="en-US" w:eastAsia="zh-CN"/>
              </w:rPr>
            </w:pPr>
            <w:r>
              <w:rPr>
                <w:rFonts w:hint="eastAsia" w:ascii="黑体" w:hAnsi="黑体" w:eastAsia="黑体" w:cs="黑体"/>
                <w:lang w:val="en-US" w:eastAsia="zh-CN"/>
              </w:rPr>
              <w:t>生活污水</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lang w:val="en-US" w:eastAsia="zh-CN"/>
              </w:rPr>
            </w:pPr>
            <w:r>
              <w:rPr>
                <w:rFonts w:hint="eastAsia"/>
              </w:rPr>
              <w:t>/</w:t>
            </w:r>
          </w:p>
        </w:tc>
        <w:tc>
          <w:tcPr>
            <w:tcW w:w="1224"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3"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449" w:type="dxa"/>
            <w:vAlign w:val="center"/>
          </w:tcPr>
          <w:p>
            <w:pPr>
              <w:pStyle w:val="15"/>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3702m</w:t>
            </w:r>
            <w:r>
              <w:rPr>
                <w:rFonts w:hint="eastAsia"/>
                <w:vertAlign w:val="superscript"/>
                <w:lang w:val="en-US" w:eastAsia="zh-CN"/>
              </w:rPr>
              <w:t>3</w:t>
            </w:r>
            <w:r>
              <w:rPr>
                <w:rFonts w:hint="eastAsia"/>
                <w:lang w:val="en-US" w:eastAsia="zh-CN"/>
              </w:rPr>
              <w:t>/a</w:t>
            </w:r>
          </w:p>
        </w:tc>
        <w:tc>
          <w:tcPr>
            <w:tcW w:w="1736"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2" w:type="dxa"/>
            <w:vAlign w:val="center"/>
          </w:tcPr>
          <w:p>
            <w:pPr>
              <w:pStyle w:val="15"/>
              <w:keepNext w:val="0"/>
              <w:keepLines w:val="0"/>
              <w:suppressLineNumbers w:val="0"/>
              <w:spacing w:before="0" w:beforeAutospacing="0" w:after="0" w:afterAutospacing="0"/>
              <w:ind w:left="0" w:right="0"/>
              <w:rPr>
                <w:rFonts w:hint="default"/>
              </w:rPr>
            </w:pPr>
            <w:r>
              <w:rPr>
                <w:rFonts w:hint="eastAsia"/>
                <w:lang w:val="en-US" w:eastAsia="zh-CN"/>
              </w:rPr>
              <w:t>3702m</w:t>
            </w:r>
            <w:r>
              <w:rPr>
                <w:rFonts w:hint="eastAsia"/>
                <w:vertAlign w:val="superscript"/>
                <w:lang w:val="en-US" w:eastAsia="zh-CN"/>
              </w:rPr>
              <w:t>3</w:t>
            </w:r>
            <w:r>
              <w:rPr>
                <w:rFonts w:hint="eastAsia"/>
                <w:lang w:val="en-US" w:eastAsia="zh-CN"/>
              </w:rPr>
              <w:t>/a</w:t>
            </w:r>
          </w:p>
        </w:tc>
        <w:tc>
          <w:tcPr>
            <w:tcW w:w="1407" w:type="dxa"/>
            <w:vAlign w:val="center"/>
          </w:tcPr>
          <w:p>
            <w:pPr>
              <w:pStyle w:val="15"/>
              <w:keepNext w:val="0"/>
              <w:keepLines w:val="0"/>
              <w:suppressLineNumbers w:val="0"/>
              <w:spacing w:before="0" w:beforeAutospacing="0" w:after="0" w:afterAutospacing="0"/>
              <w:ind w:left="0" w:right="0"/>
              <w:rPr>
                <w:rFonts w:hint="default"/>
              </w:rPr>
            </w:pPr>
            <w:r>
              <w:rPr>
                <w:rFonts w:hint="eastAsia"/>
                <w:lang w:val="en-US" w:eastAsia="zh-CN"/>
              </w:rPr>
              <w:t>+3702m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w:t>
            </w:r>
          </w:p>
        </w:tc>
        <w:tc>
          <w:tcPr>
            <w:tcW w:w="1713"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224"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3"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449"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736"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892"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c>
          <w:tcPr>
            <w:tcW w:w="1407" w:type="dxa"/>
            <w:vAlign w:val="center"/>
          </w:tcPr>
          <w:p>
            <w:pPr>
              <w:pStyle w:val="15"/>
              <w:keepNext w:val="0"/>
              <w:keepLines w:val="0"/>
              <w:suppressLineNumbers w:val="0"/>
              <w:spacing w:before="0" w:beforeAutospacing="0" w:after="0" w:afterAutospacing="0"/>
              <w:ind w:left="0" w:right="0"/>
              <w:rPr>
                <w:rFonts w:hint="default"/>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restart"/>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一般工业</w:t>
            </w:r>
          </w:p>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固体废物</w:t>
            </w:r>
          </w:p>
        </w:tc>
        <w:tc>
          <w:tcPr>
            <w:tcW w:w="1705" w:type="dxa"/>
            <w:vAlign w:val="center"/>
          </w:tcPr>
          <w:p>
            <w:pPr>
              <w:pStyle w:val="15"/>
              <w:keepNext w:val="0"/>
              <w:keepLines w:val="0"/>
              <w:suppressLineNumbers w:val="0"/>
              <w:spacing w:before="0" w:beforeAutospacing="0" w:after="0" w:afterAutospacing="0"/>
              <w:ind w:left="0" w:right="0"/>
              <w:rPr>
                <w:rFonts w:hint="eastAsia" w:ascii="黑体" w:hAnsi="黑体" w:eastAsia="黑体" w:cs="黑体"/>
                <w:color w:val="000000" w:themeColor="text1"/>
                <w:lang w:eastAsia="zh-CN"/>
                <w14:textFill>
                  <w14:solidFill>
                    <w14:schemeClr w14:val="tx1"/>
                  </w14:solidFill>
                </w14:textFill>
              </w:rPr>
            </w:pPr>
            <w:r>
              <w:rPr>
                <w:rFonts w:hint="default" w:ascii="黑体" w:hAnsi="黑体" w:eastAsia="黑体" w:cs="黑体"/>
                <w:color w:val="000000" w:themeColor="text1"/>
                <w14:textFill>
                  <w14:solidFill>
                    <w14:schemeClr w14:val="tx1"/>
                  </w14:solidFill>
                </w14:textFill>
              </w:rPr>
              <w:t>废</w:t>
            </w:r>
            <w:r>
              <w:rPr>
                <w:rFonts w:hint="eastAsia" w:ascii="黑体" w:hAnsi="黑体" w:eastAsia="黑体" w:cs="黑体"/>
                <w:color w:val="000000" w:themeColor="text1"/>
                <w:lang w:val="en-US" w:eastAsia="zh-CN"/>
                <w14:textFill>
                  <w14:solidFill>
                    <w14:schemeClr w14:val="tx1"/>
                  </w14:solidFill>
                </w14:textFill>
              </w:rPr>
              <w:t>钢材边角料</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24"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4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6.7t/a</w:t>
            </w:r>
          </w:p>
        </w:tc>
        <w:tc>
          <w:tcPr>
            <w:tcW w:w="1736"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6.7t/a</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right="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废滤布</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24"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4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0.2t/a</w:t>
            </w:r>
          </w:p>
        </w:tc>
        <w:tc>
          <w:tcPr>
            <w:tcW w:w="1736"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0.2t/a</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废混凝土</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24" w:type="dxa"/>
            <w:vAlign w:val="center"/>
          </w:tcPr>
          <w:p>
            <w:pPr>
              <w:keepNext w:val="0"/>
              <w:keepLines w:val="0"/>
              <w:suppressLineNumbers w:val="0"/>
              <w:spacing w:before="0" w:beforeAutospacing="0" w:after="0" w:afterAutospacing="0"/>
              <w:ind w:left="0" w:leftChars="0" w:right="0" w:rightChars="0"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heme="minorBidi"/>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heme="minorBidi"/>
                <w:color w:val="000000" w:themeColor="text1"/>
                <w:kern w:val="0"/>
                <w:sz w:val="21"/>
                <w:szCs w:val="21"/>
                <w:lang w:val="en-US" w:eastAsia="zh-CN" w:bidi="ar-SA"/>
                <w14:textFill>
                  <w14:solidFill>
                    <w14:schemeClr w14:val="tx1"/>
                  </w14:solidFill>
                </w14:textFill>
              </w:rPr>
              <w:t>/</w:t>
            </w:r>
          </w:p>
        </w:tc>
        <w:tc>
          <w:tcPr>
            <w:tcW w:w="1449"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19t/a</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19t/a</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p>
        </w:tc>
        <w:tc>
          <w:tcPr>
            <w:tcW w:w="1705"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废脱模剂桶</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24" w:type="dxa"/>
            <w:vAlign w:val="center"/>
          </w:tcPr>
          <w:p>
            <w:pPr>
              <w:keepNext w:val="0"/>
              <w:keepLines w:val="0"/>
              <w:suppressLineNumbers w:val="0"/>
              <w:spacing w:before="0" w:beforeAutospacing="0" w:after="0" w:afterAutospacing="0"/>
              <w:ind w:left="0" w:leftChars="0" w:right="0" w:rightChars="0"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heme="minorBidi"/>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heme="minorBidi"/>
                <w:color w:val="000000" w:themeColor="text1"/>
                <w:kern w:val="0"/>
                <w:sz w:val="21"/>
                <w:szCs w:val="21"/>
                <w:lang w:val="en-US" w:eastAsia="zh-CN" w:bidi="ar-SA"/>
                <w14:textFill>
                  <w14:solidFill>
                    <w14:schemeClr w14:val="tx1"/>
                  </w14:solidFill>
                </w14:textFill>
              </w:rPr>
              <w:t>/</w:t>
            </w:r>
          </w:p>
        </w:tc>
        <w:tc>
          <w:tcPr>
            <w:tcW w:w="1449"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3.6t/a</w:t>
            </w:r>
          </w:p>
        </w:tc>
        <w:tc>
          <w:tcPr>
            <w:tcW w:w="1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2"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3.6t/a</w:t>
            </w:r>
          </w:p>
        </w:tc>
        <w:tc>
          <w:tcPr>
            <w:tcW w:w="1407"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1" w:type="dxa"/>
            <w:vAlign w:val="center"/>
          </w:tcPr>
          <w:p>
            <w:pPr>
              <w:pStyle w:val="15"/>
              <w:keepNext w:val="0"/>
              <w:keepLines w:val="0"/>
              <w:suppressLineNumbers w:val="0"/>
              <w:spacing w:before="0" w:beforeAutospacing="0" w:after="0" w:afterAutospacing="0"/>
              <w:ind w:left="0" w:right="0"/>
              <w:rPr>
                <w:rFonts w:hint="default" w:ascii="黑体" w:hAnsi="黑体" w:eastAsia="黑体" w:cs="黑体"/>
              </w:rPr>
            </w:pPr>
            <w:r>
              <w:rPr>
                <w:rFonts w:hint="eastAsia" w:ascii="黑体" w:hAnsi="黑体" w:eastAsia="黑体" w:cs="黑体"/>
              </w:rPr>
              <w:t>危险废物</w:t>
            </w:r>
          </w:p>
        </w:tc>
        <w:tc>
          <w:tcPr>
            <w:tcW w:w="1705" w:type="dxa"/>
            <w:vAlign w:val="center"/>
          </w:tcPr>
          <w:p>
            <w:pPr>
              <w:pStyle w:val="15"/>
              <w:keepNext w:val="0"/>
              <w:keepLines w:val="0"/>
              <w:suppressLineNumbers w:val="0"/>
              <w:spacing w:before="0" w:beforeAutospacing="0" w:after="0" w:afterAutospacing="0"/>
              <w:ind w:left="0" w:right="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废</w:t>
            </w:r>
            <w:r>
              <w:rPr>
                <w:rFonts w:hint="eastAsia" w:ascii="黑体" w:hAnsi="黑体" w:eastAsia="黑体" w:cs="黑体"/>
                <w:color w:val="000000" w:themeColor="text1"/>
                <w:lang w:val="en-US" w:eastAsia="zh-CN"/>
                <w14:textFill>
                  <w14:solidFill>
                    <w14:schemeClr w14:val="tx1"/>
                  </w14:solidFill>
                </w14:textFill>
              </w:rPr>
              <w:t>矿物油</w:t>
            </w:r>
          </w:p>
        </w:tc>
        <w:tc>
          <w:tcPr>
            <w:tcW w:w="1713" w:type="dxa"/>
            <w:vAlign w:val="center"/>
          </w:tcPr>
          <w:p>
            <w:pPr>
              <w:pStyle w:val="15"/>
              <w:keepNext w:val="0"/>
              <w:keepLines w:val="0"/>
              <w:suppressLineNumbers w:val="0"/>
              <w:spacing w:before="0" w:beforeAutospacing="0" w:after="0" w:afterAutospacing="0"/>
              <w:ind w:left="0" w:leftChars="0" w:right="0" w:rightChars="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24"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3"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49" w:type="dxa"/>
            <w:vAlign w:val="center"/>
          </w:tcPr>
          <w:p>
            <w:pPr>
              <w:pStyle w:val="15"/>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6t/a</w:t>
            </w:r>
          </w:p>
        </w:tc>
        <w:tc>
          <w:tcPr>
            <w:tcW w:w="1736"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92"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6t/a</w:t>
            </w:r>
          </w:p>
        </w:tc>
        <w:tc>
          <w:tcPr>
            <w:tcW w:w="1407" w:type="dxa"/>
            <w:vAlign w:val="center"/>
          </w:tcPr>
          <w:p>
            <w:pPr>
              <w:pStyle w:val="15"/>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+6t/a</w:t>
            </w:r>
          </w:p>
        </w:tc>
      </w:tr>
    </w:tbl>
    <w:p>
      <w:pPr>
        <w:spacing w:before="255" w:beforeLines="80" w:after="24"/>
        <w:ind w:firstLine="420"/>
        <w:jc w:val="left"/>
        <w:outlineLvl w:val="0"/>
      </w:pPr>
      <w:r>
        <w:rPr>
          <w:rFonts w:hAnsi="宋体"/>
          <w:snapToGrid w:val="0"/>
          <w:kern w:val="21"/>
        </w:rPr>
        <w:t>注：</w:t>
      </w:r>
      <w:r>
        <w:rPr>
          <w:rFonts w:hAnsi="宋体"/>
          <w:snapToGrid w:val="0"/>
          <w:spacing w:val="-16"/>
          <w:kern w:val="21"/>
        </w:rPr>
        <w:fldChar w:fldCharType="begin"/>
      </w:r>
      <w:r>
        <w:rPr>
          <w:rFonts w:hAnsi="宋体"/>
          <w:snapToGrid w:val="0"/>
          <w:spacing w:val="-16"/>
          <w:kern w:val="21"/>
        </w:rPr>
        <w:instrText xml:space="preserve"> = 6 \* GB3 \* MERGEFORMAT </w:instrText>
      </w:r>
      <w:r>
        <w:rPr>
          <w:rFonts w:hAnsi="宋体"/>
          <w:snapToGrid w:val="0"/>
          <w:spacing w:val="-16"/>
          <w:kern w:val="21"/>
        </w:rPr>
        <w:fldChar w:fldCharType="separate"/>
      </w:r>
      <w:r>
        <w:rPr>
          <w:rFonts w:hint="eastAsia" w:hAnsi="宋体"/>
        </w:rPr>
        <w:t>⑥</w:t>
      </w:r>
      <w:r>
        <w:rPr>
          <w:rFonts w:hAnsi="宋体"/>
          <w:snapToGrid w:val="0"/>
          <w:spacing w:val="-16"/>
          <w:kern w:val="21"/>
        </w:rPr>
        <w:fldChar w:fldCharType="end"/>
      </w:r>
      <w:r>
        <w:rPr>
          <w:rFonts w:hAnsi="宋体"/>
          <w:snapToGrid w:val="0"/>
          <w:spacing w:val="-16"/>
          <w:kern w:val="21"/>
        </w:rPr>
        <w:t>=</w:t>
      </w:r>
      <w:r>
        <w:rPr>
          <w:rFonts w:hAnsi="宋体"/>
          <w:snapToGrid w:val="0"/>
          <w:spacing w:val="-6"/>
          <w:kern w:val="21"/>
        </w:rPr>
        <w:fldChar w:fldCharType="begin"/>
      </w:r>
      <w:r>
        <w:rPr>
          <w:rFonts w:hAnsi="宋体"/>
          <w:snapToGrid w:val="0"/>
          <w:spacing w:val="-6"/>
          <w:kern w:val="21"/>
        </w:rPr>
        <w:instrText xml:space="preserve"> = 1 \* GB3 \* MERGEFORMAT </w:instrText>
      </w:r>
      <w:r>
        <w:rPr>
          <w:rFonts w:hAnsi="宋体"/>
          <w:snapToGrid w:val="0"/>
          <w:spacing w:val="-6"/>
          <w:kern w:val="21"/>
        </w:rPr>
        <w:fldChar w:fldCharType="separate"/>
      </w:r>
      <w:r>
        <w:rPr>
          <w:rFonts w:hint="eastAsia" w:hAnsi="宋体"/>
        </w:rPr>
        <w:t>①</w:t>
      </w:r>
      <w:r>
        <w:rPr>
          <w:rFonts w:hAnsi="宋体"/>
          <w:snapToGrid w:val="0"/>
          <w:spacing w:val="-6"/>
          <w:kern w:val="21"/>
        </w:rPr>
        <w:fldChar w:fldCharType="end"/>
      </w:r>
      <w:r>
        <w:rPr>
          <w:rFonts w:hAnsi="宋体"/>
          <w:snapToGrid w:val="0"/>
          <w:spacing w:val="-6"/>
          <w:kern w:val="21"/>
        </w:rPr>
        <w:t>+</w:t>
      </w:r>
      <w:r>
        <w:rPr>
          <w:rFonts w:hAnsi="宋体"/>
          <w:snapToGrid w:val="0"/>
          <w:spacing w:val="-6"/>
          <w:kern w:val="21"/>
        </w:rPr>
        <w:fldChar w:fldCharType="begin"/>
      </w:r>
      <w:r>
        <w:rPr>
          <w:rFonts w:hAnsi="宋体"/>
          <w:snapToGrid w:val="0"/>
          <w:spacing w:val="-6"/>
          <w:kern w:val="21"/>
        </w:rPr>
        <w:instrText xml:space="preserve"> = 3 \* GB3 \* MERGEFORMAT </w:instrText>
      </w:r>
      <w:r>
        <w:rPr>
          <w:rFonts w:hAnsi="宋体"/>
          <w:snapToGrid w:val="0"/>
          <w:spacing w:val="-6"/>
          <w:kern w:val="21"/>
        </w:rPr>
        <w:fldChar w:fldCharType="separate"/>
      </w:r>
      <w:r>
        <w:rPr>
          <w:rFonts w:hint="eastAsia" w:hAnsi="宋体"/>
        </w:rPr>
        <w:t>③</w:t>
      </w:r>
      <w:r>
        <w:rPr>
          <w:rFonts w:hAnsi="宋体"/>
          <w:snapToGrid w:val="0"/>
          <w:spacing w:val="-6"/>
          <w:kern w:val="21"/>
        </w:rPr>
        <w:fldChar w:fldCharType="end"/>
      </w:r>
      <w:r>
        <w:rPr>
          <w:rFonts w:hAnsi="宋体"/>
          <w:snapToGrid w:val="0"/>
          <w:spacing w:val="-6"/>
          <w:kern w:val="21"/>
        </w:rPr>
        <w:t>+</w:t>
      </w:r>
      <w:r>
        <w:rPr>
          <w:rFonts w:hAnsi="宋体"/>
          <w:snapToGrid w:val="0"/>
          <w:spacing w:val="-6"/>
          <w:kern w:val="21"/>
        </w:rPr>
        <w:fldChar w:fldCharType="begin"/>
      </w:r>
      <w:r>
        <w:rPr>
          <w:rFonts w:hAnsi="宋体"/>
          <w:snapToGrid w:val="0"/>
          <w:spacing w:val="-6"/>
          <w:kern w:val="21"/>
        </w:rPr>
        <w:instrText xml:space="preserve"> = 4 \* GB3 \* MERGEFORMAT </w:instrText>
      </w:r>
      <w:r>
        <w:rPr>
          <w:rFonts w:hAnsi="宋体"/>
          <w:snapToGrid w:val="0"/>
          <w:spacing w:val="-6"/>
          <w:kern w:val="21"/>
        </w:rPr>
        <w:fldChar w:fldCharType="separate"/>
      </w:r>
      <w:r>
        <w:rPr>
          <w:rFonts w:hint="eastAsia" w:hAnsi="宋体"/>
        </w:rPr>
        <w:t>④</w:t>
      </w:r>
      <w:r>
        <w:rPr>
          <w:rFonts w:hAnsi="宋体"/>
          <w:snapToGrid w:val="0"/>
          <w:spacing w:val="-6"/>
          <w:kern w:val="21"/>
        </w:rPr>
        <w:fldChar w:fldCharType="end"/>
      </w:r>
      <w:r>
        <w:rPr>
          <w:rFonts w:hAnsi="宋体"/>
          <w:snapToGrid w:val="0"/>
          <w:spacing w:val="-6"/>
          <w:kern w:val="21"/>
        </w:rPr>
        <w:t>-</w:t>
      </w:r>
      <w:r>
        <w:rPr>
          <w:rFonts w:hAnsi="宋体"/>
          <w:snapToGrid w:val="0"/>
          <w:spacing w:val="-16"/>
          <w:kern w:val="21"/>
        </w:rPr>
        <w:fldChar w:fldCharType="begin"/>
      </w:r>
      <w:r>
        <w:rPr>
          <w:rFonts w:hAnsi="宋体"/>
          <w:snapToGrid w:val="0"/>
          <w:spacing w:val="-16"/>
          <w:kern w:val="21"/>
        </w:rPr>
        <w:instrText xml:space="preserve"> = 5 \* GB3 \* MERGEFORMAT </w:instrText>
      </w:r>
      <w:r>
        <w:rPr>
          <w:rFonts w:hAnsi="宋体"/>
          <w:snapToGrid w:val="0"/>
          <w:spacing w:val="-16"/>
          <w:kern w:val="21"/>
        </w:rPr>
        <w:fldChar w:fldCharType="separate"/>
      </w:r>
      <w:r>
        <w:rPr>
          <w:rFonts w:hint="eastAsia" w:hAnsi="宋体"/>
        </w:rPr>
        <w:t>⑤</w:t>
      </w:r>
      <w:r>
        <w:rPr>
          <w:rFonts w:hAnsi="宋体"/>
          <w:snapToGrid w:val="0"/>
          <w:spacing w:val="-16"/>
          <w:kern w:val="21"/>
        </w:rPr>
        <w:fldChar w:fldCharType="end"/>
      </w:r>
      <w:r>
        <w:rPr>
          <w:rFonts w:hAnsi="宋体"/>
          <w:snapToGrid w:val="0"/>
          <w:spacing w:val="-16"/>
          <w:kern w:val="21"/>
        </w:rPr>
        <w:t>；</w:t>
      </w:r>
      <w:r>
        <w:rPr>
          <w:rFonts w:hAnsi="宋体"/>
          <w:snapToGrid w:val="0"/>
          <w:spacing w:val="-6"/>
          <w:kern w:val="21"/>
        </w:rPr>
        <w:fldChar w:fldCharType="begin"/>
      </w:r>
      <w:r>
        <w:rPr>
          <w:rFonts w:hAnsi="宋体"/>
          <w:snapToGrid w:val="0"/>
          <w:spacing w:val="-6"/>
          <w:kern w:val="21"/>
        </w:rPr>
        <w:instrText xml:space="preserve"> = 7 \* GB3 \* MERGEFORMAT </w:instrText>
      </w:r>
      <w:r>
        <w:rPr>
          <w:rFonts w:hAnsi="宋体"/>
          <w:snapToGrid w:val="0"/>
          <w:spacing w:val="-6"/>
          <w:kern w:val="21"/>
        </w:rPr>
        <w:fldChar w:fldCharType="separate"/>
      </w:r>
      <w:r>
        <w:rPr>
          <w:rFonts w:hint="eastAsia" w:hAnsi="宋体"/>
        </w:rPr>
        <w:t>⑦</w:t>
      </w:r>
      <w:r>
        <w:rPr>
          <w:rFonts w:hAnsi="宋体"/>
          <w:snapToGrid w:val="0"/>
          <w:spacing w:val="-6"/>
          <w:kern w:val="21"/>
        </w:rPr>
        <w:fldChar w:fldCharType="end"/>
      </w:r>
      <w:r>
        <w:rPr>
          <w:rFonts w:hAnsi="宋体"/>
          <w:snapToGrid w:val="0"/>
          <w:spacing w:val="-6"/>
          <w:kern w:val="21"/>
        </w:rPr>
        <w:t>=</w:t>
      </w:r>
      <w:r>
        <w:rPr>
          <w:rFonts w:hAnsi="宋体"/>
          <w:snapToGrid w:val="0"/>
          <w:spacing w:val="-16"/>
          <w:kern w:val="21"/>
        </w:rPr>
        <w:fldChar w:fldCharType="begin"/>
      </w:r>
      <w:r>
        <w:rPr>
          <w:rFonts w:hAnsi="宋体"/>
          <w:snapToGrid w:val="0"/>
          <w:spacing w:val="-16"/>
          <w:kern w:val="21"/>
        </w:rPr>
        <w:instrText xml:space="preserve"> = 6 \* GB3 \* MERGEFORMAT </w:instrText>
      </w:r>
      <w:r>
        <w:rPr>
          <w:rFonts w:hAnsi="宋体"/>
          <w:snapToGrid w:val="0"/>
          <w:spacing w:val="-16"/>
          <w:kern w:val="21"/>
        </w:rPr>
        <w:fldChar w:fldCharType="separate"/>
      </w:r>
      <w:r>
        <w:rPr>
          <w:rFonts w:hint="eastAsia" w:hAnsi="宋体"/>
        </w:rPr>
        <w:t>⑥</w:t>
      </w:r>
      <w:r>
        <w:rPr>
          <w:rFonts w:hAnsi="宋体"/>
          <w:snapToGrid w:val="0"/>
          <w:spacing w:val="-16"/>
          <w:kern w:val="21"/>
        </w:rPr>
        <w:fldChar w:fldCharType="end"/>
      </w:r>
      <w:r>
        <w:rPr>
          <w:rFonts w:hAnsi="宋体"/>
          <w:snapToGrid w:val="0"/>
          <w:spacing w:val="-16"/>
          <w:kern w:val="21"/>
        </w:rPr>
        <w:t>-</w:t>
      </w:r>
      <w:r>
        <w:rPr>
          <w:rFonts w:hAnsi="宋体"/>
          <w:snapToGrid w:val="0"/>
          <w:spacing w:val="-6"/>
          <w:kern w:val="21"/>
        </w:rPr>
        <w:fldChar w:fldCharType="begin"/>
      </w:r>
      <w:r>
        <w:rPr>
          <w:rFonts w:hAnsi="宋体"/>
          <w:snapToGrid w:val="0"/>
          <w:spacing w:val="-6"/>
          <w:kern w:val="21"/>
        </w:rPr>
        <w:instrText xml:space="preserve"> = 1 \* GB3 \* MERGEFORMAT </w:instrText>
      </w:r>
      <w:r>
        <w:rPr>
          <w:rFonts w:hAnsi="宋体"/>
          <w:snapToGrid w:val="0"/>
          <w:spacing w:val="-6"/>
          <w:kern w:val="21"/>
        </w:rPr>
        <w:fldChar w:fldCharType="separate"/>
      </w:r>
      <w:r>
        <w:rPr>
          <w:rFonts w:hint="eastAsia" w:hAnsi="宋体"/>
        </w:rPr>
        <w:t>①</w:t>
      </w:r>
      <w:r>
        <w:rPr>
          <w:rFonts w:hAnsi="宋体"/>
          <w:snapToGrid w:val="0"/>
          <w:spacing w:val="-6"/>
          <w:kern w:val="21"/>
        </w:rPr>
        <w:fldChar w:fldCharType="end"/>
      </w:r>
    </w:p>
    <w:sectPr>
      <w:footerReference r:id="rId9"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TimesNewRomanPSMT">
    <w:altName w:val="等线"/>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354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35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rFonts w:cs="Times New Roman" w:eastAsiaTheme="minorEastAsia"/>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sz w:val="18"/>
                            </w:rPr>
                            <w:t>1</w:t>
                          </w:r>
                          <w:r>
                            <w:rPr>
                              <w:rFonts w:cs="Times New Roman"/>
                              <w:sz w:val="1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3.35pt;mso-position-horizontal:center;mso-position-horizontal-relative:margin;z-index:251659264;mso-width-relative:page;mso-height-relative:page;" filled="f" stroked="f" coordsize="21600,21600" o:gfxdata="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Wu/6dMAAAAEAQAADwAAAAAAAAAB&#10;ACAAAAAiAAAAZHJzL2Rvd25yZXYueG1sUEsBAhQAFAAAAAgAh07iQDAEgN8VAgAACAQAAA4AAAAA&#10;AAAAAQAgAAAAIgEAAGRycy9lMm9Eb2MueG1sUEsFBgAAAAAGAAYAWQEAAKkFAAAAAA==&#10;">
              <v:fill on="f" focussize="0,0"/>
              <v:stroke on="f" weight="0.5pt"/>
              <v:imagedata o:title=""/>
              <o:lock v:ext="edit" aspectratio="f"/>
              <v:textbox inset="0mm,0mm,0mm,0mm" style="mso-fit-shape-to-text:t;">
                <w:txbxContent>
                  <w:p>
                    <w:pPr>
                      <w:snapToGrid w:val="0"/>
                      <w:ind w:firstLine="360"/>
                      <w:rPr>
                        <w:rFonts w:cs="Times New Roman" w:eastAsiaTheme="minorEastAsia"/>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sz w:val="18"/>
                      </w:rPr>
                      <w:t>1</w:t>
                    </w:r>
                    <w:r>
                      <w:rPr>
                        <w:rFonts w:cs="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pPr>
    <w:r>
      <mc:AlternateContent>
        <mc:Choice Requires="wps">
          <w:drawing>
            <wp:anchor distT="0" distB="0" distL="114300" distR="114300" simplePos="0" relativeHeight="251660288" behindDoc="0" locked="0" layoutInCell="1" allowOverlap="1">
              <wp:simplePos x="0" y="0"/>
              <wp:positionH relativeFrom="margin">
                <wp:posOffset>4257040</wp:posOffset>
              </wp:positionH>
              <wp:positionV relativeFrom="paragraph">
                <wp:posOffset>-31750</wp:posOffset>
              </wp:positionV>
              <wp:extent cx="422275" cy="234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227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2pt;margin-top:-2.5pt;height:18.5pt;width:33.25pt;mso-position-horizontal-relative:margin;z-index:251660288;mso-width-relative:page;mso-height-relative:page;" filled="f" stroked="f" coordsize="21600,21600" o:gfxdata="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jDWFNkAAAAJAQAADwAA&#10;AAAAAAABACAAAAAiAAAAZHJzL2Rvd25yZXYueG1sUEsBAhQAFAAAAAgAh07iQNLhQsIVAgAABwQA&#10;AA4AAAAAAAAAAQAgAAAAKAEAAGRycy9lMm9Eb2MueG1sUEsFBgAAAAAGAAYAWQEAAK8FAAAAAA==&#10;">
              <v:fill on="f" focussize="0,0"/>
              <v:stroke on="f" weight="0.5pt"/>
              <v:imagedata o:title=""/>
              <o:lock v:ext="edit" aspectratio="f"/>
              <v:textbox inset="0mm,0mm,0mm,0mm">
                <w:txbxContent>
                  <w:p>
                    <w:pPr>
                      <w:pStyle w:val="6"/>
                      <w:ind w:firstLine="36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2310" w:firstLine="0"/>
      </w:pPr>
      <w:rPr>
        <w:rFonts w:hint="eastAsia"/>
      </w:rPr>
    </w:lvl>
    <w:lvl w:ilvl="1" w:tentative="0">
      <w:start w:val="1"/>
      <w:numFmt w:val="decimal"/>
      <w:lvlText w:val="%1.%2"/>
      <w:lvlJc w:val="left"/>
      <w:pPr>
        <w:ind w:left="576" w:hanging="576"/>
      </w:pPr>
      <w:rPr>
        <w:rFonts w:hint="eastAsia"/>
      </w:rPr>
    </w:lvl>
    <w:lvl w:ilvl="2" w:tentative="0">
      <w:start w:val="1"/>
      <w:numFmt w:val="decimal"/>
      <w:pStyle w:val="3"/>
      <w:lvlText w:val="%1.%2.%3"/>
      <w:lvlJc w:val="left"/>
      <w:pPr>
        <w:ind w:left="840" w:firstLine="0"/>
      </w:pPr>
      <w:rPr>
        <w:rFonts w:hint="eastAsia"/>
      </w:rPr>
    </w:lvl>
    <w:lvl w:ilvl="3" w:tentative="0">
      <w:start w:val="1"/>
      <w:numFmt w:val="decimal"/>
      <w:lvlText w:val="%1.%2.%3.%4"/>
      <w:lvlJc w:val="left"/>
      <w:pPr>
        <w:ind w:left="1844" w:hanging="184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jE2YTZmOTkyZWJhZmJmNGMyZjY5ZjJmODIwMWMifQ=="/>
  </w:docVars>
  <w:rsids>
    <w:rsidRoot w:val="00172A27"/>
    <w:rsid w:val="00014C5E"/>
    <w:rsid w:val="000A125E"/>
    <w:rsid w:val="00110B1F"/>
    <w:rsid w:val="00172A27"/>
    <w:rsid w:val="00203EAD"/>
    <w:rsid w:val="002310B3"/>
    <w:rsid w:val="00282748"/>
    <w:rsid w:val="002E057C"/>
    <w:rsid w:val="002F60A4"/>
    <w:rsid w:val="003035D8"/>
    <w:rsid w:val="00347F78"/>
    <w:rsid w:val="004543D7"/>
    <w:rsid w:val="004562ED"/>
    <w:rsid w:val="004779E3"/>
    <w:rsid w:val="004B6D0E"/>
    <w:rsid w:val="004E318B"/>
    <w:rsid w:val="00503F24"/>
    <w:rsid w:val="00591FD1"/>
    <w:rsid w:val="0059250F"/>
    <w:rsid w:val="005F1502"/>
    <w:rsid w:val="00651E9F"/>
    <w:rsid w:val="00695EB3"/>
    <w:rsid w:val="006B22F2"/>
    <w:rsid w:val="006E0994"/>
    <w:rsid w:val="0074064E"/>
    <w:rsid w:val="00756760"/>
    <w:rsid w:val="0076119F"/>
    <w:rsid w:val="00773C13"/>
    <w:rsid w:val="008112DF"/>
    <w:rsid w:val="0088490B"/>
    <w:rsid w:val="008D7AD1"/>
    <w:rsid w:val="008E6906"/>
    <w:rsid w:val="00901AAB"/>
    <w:rsid w:val="009E245B"/>
    <w:rsid w:val="00AB6712"/>
    <w:rsid w:val="00AE6BFA"/>
    <w:rsid w:val="00B756BE"/>
    <w:rsid w:val="00C255D3"/>
    <w:rsid w:val="00CE2046"/>
    <w:rsid w:val="00CF3EA0"/>
    <w:rsid w:val="00D41E9D"/>
    <w:rsid w:val="00DA0ED4"/>
    <w:rsid w:val="00DD0BA4"/>
    <w:rsid w:val="00DE557E"/>
    <w:rsid w:val="00E14216"/>
    <w:rsid w:val="00E63A4A"/>
    <w:rsid w:val="00E973DB"/>
    <w:rsid w:val="00F77DDA"/>
    <w:rsid w:val="01014F5C"/>
    <w:rsid w:val="010C58A0"/>
    <w:rsid w:val="01137FED"/>
    <w:rsid w:val="01193F2D"/>
    <w:rsid w:val="011A41E3"/>
    <w:rsid w:val="011B7770"/>
    <w:rsid w:val="01237B15"/>
    <w:rsid w:val="012D22E3"/>
    <w:rsid w:val="01323B0D"/>
    <w:rsid w:val="01334DF8"/>
    <w:rsid w:val="013718A4"/>
    <w:rsid w:val="013B2AA6"/>
    <w:rsid w:val="01435A46"/>
    <w:rsid w:val="014516EC"/>
    <w:rsid w:val="015310BF"/>
    <w:rsid w:val="015505A0"/>
    <w:rsid w:val="0155094A"/>
    <w:rsid w:val="016B2A51"/>
    <w:rsid w:val="01722FC0"/>
    <w:rsid w:val="018723B3"/>
    <w:rsid w:val="0188458C"/>
    <w:rsid w:val="018A3C01"/>
    <w:rsid w:val="01917007"/>
    <w:rsid w:val="019D6547"/>
    <w:rsid w:val="01A77A51"/>
    <w:rsid w:val="01AC6FB6"/>
    <w:rsid w:val="01B36B0E"/>
    <w:rsid w:val="01BC005A"/>
    <w:rsid w:val="01C2546F"/>
    <w:rsid w:val="01CB2142"/>
    <w:rsid w:val="01D811B2"/>
    <w:rsid w:val="01DC58D9"/>
    <w:rsid w:val="01E556E6"/>
    <w:rsid w:val="01E614B6"/>
    <w:rsid w:val="01E96CE6"/>
    <w:rsid w:val="01F37BC9"/>
    <w:rsid w:val="01FB1AB1"/>
    <w:rsid w:val="02055B31"/>
    <w:rsid w:val="02082863"/>
    <w:rsid w:val="02107908"/>
    <w:rsid w:val="02176388"/>
    <w:rsid w:val="02177B47"/>
    <w:rsid w:val="02265DCB"/>
    <w:rsid w:val="022A1D69"/>
    <w:rsid w:val="022F7D7C"/>
    <w:rsid w:val="02301941"/>
    <w:rsid w:val="02312192"/>
    <w:rsid w:val="0241377C"/>
    <w:rsid w:val="02424ABA"/>
    <w:rsid w:val="024751D3"/>
    <w:rsid w:val="02492A04"/>
    <w:rsid w:val="025259A7"/>
    <w:rsid w:val="02660F29"/>
    <w:rsid w:val="02786567"/>
    <w:rsid w:val="02895F58"/>
    <w:rsid w:val="028D03A1"/>
    <w:rsid w:val="0292024F"/>
    <w:rsid w:val="029218C3"/>
    <w:rsid w:val="02930A65"/>
    <w:rsid w:val="029F15DF"/>
    <w:rsid w:val="02A94AF8"/>
    <w:rsid w:val="02AF4A2D"/>
    <w:rsid w:val="02BE1F45"/>
    <w:rsid w:val="02C375AD"/>
    <w:rsid w:val="02C428CD"/>
    <w:rsid w:val="02D00280"/>
    <w:rsid w:val="02EE3A64"/>
    <w:rsid w:val="02F13148"/>
    <w:rsid w:val="02F7681B"/>
    <w:rsid w:val="02F969D2"/>
    <w:rsid w:val="031241B5"/>
    <w:rsid w:val="03147A88"/>
    <w:rsid w:val="031A60A6"/>
    <w:rsid w:val="031C3C2F"/>
    <w:rsid w:val="031C44D1"/>
    <w:rsid w:val="03282BFF"/>
    <w:rsid w:val="032F08C3"/>
    <w:rsid w:val="033778FB"/>
    <w:rsid w:val="03420A6B"/>
    <w:rsid w:val="03491008"/>
    <w:rsid w:val="035C04E9"/>
    <w:rsid w:val="03674F94"/>
    <w:rsid w:val="0376379E"/>
    <w:rsid w:val="037F1340"/>
    <w:rsid w:val="03891426"/>
    <w:rsid w:val="039A5E03"/>
    <w:rsid w:val="039C1638"/>
    <w:rsid w:val="03A94D0E"/>
    <w:rsid w:val="03B0096E"/>
    <w:rsid w:val="03B0337D"/>
    <w:rsid w:val="03B644E4"/>
    <w:rsid w:val="03C376DD"/>
    <w:rsid w:val="03D01C8C"/>
    <w:rsid w:val="03EA1AAB"/>
    <w:rsid w:val="03ED524D"/>
    <w:rsid w:val="03F0508D"/>
    <w:rsid w:val="03F446E0"/>
    <w:rsid w:val="03F97F3B"/>
    <w:rsid w:val="040A203C"/>
    <w:rsid w:val="040B66DB"/>
    <w:rsid w:val="043B4D09"/>
    <w:rsid w:val="043E6EC4"/>
    <w:rsid w:val="043F1FEB"/>
    <w:rsid w:val="04453F68"/>
    <w:rsid w:val="04496A8E"/>
    <w:rsid w:val="0450016C"/>
    <w:rsid w:val="04564F2B"/>
    <w:rsid w:val="0458383D"/>
    <w:rsid w:val="045865A8"/>
    <w:rsid w:val="045B0196"/>
    <w:rsid w:val="0461460C"/>
    <w:rsid w:val="046B2F78"/>
    <w:rsid w:val="046C6B33"/>
    <w:rsid w:val="047D1E53"/>
    <w:rsid w:val="04843482"/>
    <w:rsid w:val="048C1478"/>
    <w:rsid w:val="04A308AF"/>
    <w:rsid w:val="04B30F6A"/>
    <w:rsid w:val="04B96380"/>
    <w:rsid w:val="04BB0EBF"/>
    <w:rsid w:val="04C52232"/>
    <w:rsid w:val="04C8555E"/>
    <w:rsid w:val="04C9217C"/>
    <w:rsid w:val="04D35902"/>
    <w:rsid w:val="04D60957"/>
    <w:rsid w:val="04E618E8"/>
    <w:rsid w:val="04E71B2F"/>
    <w:rsid w:val="04E96095"/>
    <w:rsid w:val="04EC193B"/>
    <w:rsid w:val="04EE62EA"/>
    <w:rsid w:val="04F56552"/>
    <w:rsid w:val="05152BD1"/>
    <w:rsid w:val="051808DF"/>
    <w:rsid w:val="052C760B"/>
    <w:rsid w:val="052F2B61"/>
    <w:rsid w:val="052F684D"/>
    <w:rsid w:val="053A2A9C"/>
    <w:rsid w:val="053B2285"/>
    <w:rsid w:val="055535D9"/>
    <w:rsid w:val="055A5378"/>
    <w:rsid w:val="056347E2"/>
    <w:rsid w:val="056414F9"/>
    <w:rsid w:val="05670DD7"/>
    <w:rsid w:val="056B1CE5"/>
    <w:rsid w:val="057B23D8"/>
    <w:rsid w:val="057E6625"/>
    <w:rsid w:val="058352E1"/>
    <w:rsid w:val="058B1E47"/>
    <w:rsid w:val="058C72E3"/>
    <w:rsid w:val="05942727"/>
    <w:rsid w:val="059473F4"/>
    <w:rsid w:val="05981687"/>
    <w:rsid w:val="059A4E83"/>
    <w:rsid w:val="05A267AD"/>
    <w:rsid w:val="05B45706"/>
    <w:rsid w:val="05B75484"/>
    <w:rsid w:val="05C5565C"/>
    <w:rsid w:val="05CB4F40"/>
    <w:rsid w:val="05CD2B23"/>
    <w:rsid w:val="060B545A"/>
    <w:rsid w:val="06122BBE"/>
    <w:rsid w:val="06244ED8"/>
    <w:rsid w:val="062B2E63"/>
    <w:rsid w:val="063B12F0"/>
    <w:rsid w:val="06462A74"/>
    <w:rsid w:val="06485F22"/>
    <w:rsid w:val="064B1091"/>
    <w:rsid w:val="064C1DDD"/>
    <w:rsid w:val="064F6B5F"/>
    <w:rsid w:val="065D2EBF"/>
    <w:rsid w:val="066325F0"/>
    <w:rsid w:val="06800490"/>
    <w:rsid w:val="068468E3"/>
    <w:rsid w:val="068B5569"/>
    <w:rsid w:val="06916B65"/>
    <w:rsid w:val="069A1BB2"/>
    <w:rsid w:val="069B1F01"/>
    <w:rsid w:val="06AC18B0"/>
    <w:rsid w:val="06B41237"/>
    <w:rsid w:val="06B61922"/>
    <w:rsid w:val="06B803D2"/>
    <w:rsid w:val="06CC1F12"/>
    <w:rsid w:val="06D02EE8"/>
    <w:rsid w:val="06D137F0"/>
    <w:rsid w:val="06E00A24"/>
    <w:rsid w:val="06FC0CD8"/>
    <w:rsid w:val="0702057C"/>
    <w:rsid w:val="07033144"/>
    <w:rsid w:val="07135192"/>
    <w:rsid w:val="071438C4"/>
    <w:rsid w:val="071E17A9"/>
    <w:rsid w:val="07212A05"/>
    <w:rsid w:val="07294838"/>
    <w:rsid w:val="072D7776"/>
    <w:rsid w:val="07317B3B"/>
    <w:rsid w:val="0736227E"/>
    <w:rsid w:val="07382C02"/>
    <w:rsid w:val="073D799D"/>
    <w:rsid w:val="074A56A1"/>
    <w:rsid w:val="075A6F74"/>
    <w:rsid w:val="075A72E9"/>
    <w:rsid w:val="075C26B7"/>
    <w:rsid w:val="076B2A57"/>
    <w:rsid w:val="0775624B"/>
    <w:rsid w:val="0778641C"/>
    <w:rsid w:val="077E18EF"/>
    <w:rsid w:val="078D44F4"/>
    <w:rsid w:val="079B7C39"/>
    <w:rsid w:val="07A146CA"/>
    <w:rsid w:val="07A338CD"/>
    <w:rsid w:val="07A814F4"/>
    <w:rsid w:val="07AA57DD"/>
    <w:rsid w:val="07AE28E8"/>
    <w:rsid w:val="07BB54CA"/>
    <w:rsid w:val="07BC7C97"/>
    <w:rsid w:val="07C04060"/>
    <w:rsid w:val="07C24F78"/>
    <w:rsid w:val="07C26D90"/>
    <w:rsid w:val="07C766C7"/>
    <w:rsid w:val="07D665CF"/>
    <w:rsid w:val="07D8383A"/>
    <w:rsid w:val="07DE2AEA"/>
    <w:rsid w:val="07FE2EB9"/>
    <w:rsid w:val="07FE7995"/>
    <w:rsid w:val="08040FE8"/>
    <w:rsid w:val="08053F9B"/>
    <w:rsid w:val="080750A0"/>
    <w:rsid w:val="08091D23"/>
    <w:rsid w:val="080B5339"/>
    <w:rsid w:val="08166919"/>
    <w:rsid w:val="08246123"/>
    <w:rsid w:val="08286A6B"/>
    <w:rsid w:val="082D47BB"/>
    <w:rsid w:val="08303218"/>
    <w:rsid w:val="0836284F"/>
    <w:rsid w:val="083D0902"/>
    <w:rsid w:val="084D7332"/>
    <w:rsid w:val="085F51AF"/>
    <w:rsid w:val="086464E2"/>
    <w:rsid w:val="086535E0"/>
    <w:rsid w:val="086A56CB"/>
    <w:rsid w:val="087218D5"/>
    <w:rsid w:val="0878755D"/>
    <w:rsid w:val="087D487B"/>
    <w:rsid w:val="087F1430"/>
    <w:rsid w:val="088453A4"/>
    <w:rsid w:val="08891C90"/>
    <w:rsid w:val="088E0A84"/>
    <w:rsid w:val="089010EE"/>
    <w:rsid w:val="08A236A3"/>
    <w:rsid w:val="08A51845"/>
    <w:rsid w:val="08C459D3"/>
    <w:rsid w:val="08C741D3"/>
    <w:rsid w:val="08D32A64"/>
    <w:rsid w:val="08DB10F5"/>
    <w:rsid w:val="08DE0DC5"/>
    <w:rsid w:val="08E72968"/>
    <w:rsid w:val="08EA42E4"/>
    <w:rsid w:val="08ED67AF"/>
    <w:rsid w:val="09000C91"/>
    <w:rsid w:val="09027770"/>
    <w:rsid w:val="090B7C40"/>
    <w:rsid w:val="09103E9C"/>
    <w:rsid w:val="091B273C"/>
    <w:rsid w:val="09216EEC"/>
    <w:rsid w:val="09231B28"/>
    <w:rsid w:val="09263BDF"/>
    <w:rsid w:val="092B6E53"/>
    <w:rsid w:val="092D6AE5"/>
    <w:rsid w:val="093C57BA"/>
    <w:rsid w:val="09417E11"/>
    <w:rsid w:val="094211D8"/>
    <w:rsid w:val="09455A5D"/>
    <w:rsid w:val="095F2514"/>
    <w:rsid w:val="0967691C"/>
    <w:rsid w:val="096B1927"/>
    <w:rsid w:val="096D5BD4"/>
    <w:rsid w:val="09750E93"/>
    <w:rsid w:val="097828BA"/>
    <w:rsid w:val="097B6AC4"/>
    <w:rsid w:val="097C7143"/>
    <w:rsid w:val="097D0C63"/>
    <w:rsid w:val="09835413"/>
    <w:rsid w:val="099B3CAF"/>
    <w:rsid w:val="09A80369"/>
    <w:rsid w:val="09AA056F"/>
    <w:rsid w:val="09AB02DC"/>
    <w:rsid w:val="09AC22E0"/>
    <w:rsid w:val="09AE649D"/>
    <w:rsid w:val="09B51E7E"/>
    <w:rsid w:val="09C501D7"/>
    <w:rsid w:val="09CB452E"/>
    <w:rsid w:val="09D03131"/>
    <w:rsid w:val="09E025A9"/>
    <w:rsid w:val="09E104A9"/>
    <w:rsid w:val="09E143EE"/>
    <w:rsid w:val="09E52130"/>
    <w:rsid w:val="09E72FC1"/>
    <w:rsid w:val="09E831C1"/>
    <w:rsid w:val="09F76B21"/>
    <w:rsid w:val="09FC68EC"/>
    <w:rsid w:val="0A0279ED"/>
    <w:rsid w:val="0A046F3F"/>
    <w:rsid w:val="0A0B6B03"/>
    <w:rsid w:val="0A1100B3"/>
    <w:rsid w:val="0A1B11A9"/>
    <w:rsid w:val="0A1F1E0A"/>
    <w:rsid w:val="0A321C6A"/>
    <w:rsid w:val="0A325215"/>
    <w:rsid w:val="0A356932"/>
    <w:rsid w:val="0A36464E"/>
    <w:rsid w:val="0A383501"/>
    <w:rsid w:val="0A5579C0"/>
    <w:rsid w:val="0A6B26CC"/>
    <w:rsid w:val="0A6F0CFE"/>
    <w:rsid w:val="0A790E28"/>
    <w:rsid w:val="0A8068F0"/>
    <w:rsid w:val="0A820208"/>
    <w:rsid w:val="0A841810"/>
    <w:rsid w:val="0A8A6C91"/>
    <w:rsid w:val="0A8B0FC9"/>
    <w:rsid w:val="0A9C0023"/>
    <w:rsid w:val="0AA16DB8"/>
    <w:rsid w:val="0AA3482D"/>
    <w:rsid w:val="0AAE03B7"/>
    <w:rsid w:val="0AAE3A5B"/>
    <w:rsid w:val="0AB4205F"/>
    <w:rsid w:val="0AC2288A"/>
    <w:rsid w:val="0ACD5E27"/>
    <w:rsid w:val="0AD566D3"/>
    <w:rsid w:val="0AE62DA3"/>
    <w:rsid w:val="0AE723FA"/>
    <w:rsid w:val="0AF94294"/>
    <w:rsid w:val="0AFC3BDC"/>
    <w:rsid w:val="0AFE651C"/>
    <w:rsid w:val="0AFF518E"/>
    <w:rsid w:val="0B052BDE"/>
    <w:rsid w:val="0B0F5D3B"/>
    <w:rsid w:val="0B1D6D46"/>
    <w:rsid w:val="0B206916"/>
    <w:rsid w:val="0B245FE4"/>
    <w:rsid w:val="0B317F29"/>
    <w:rsid w:val="0B35198D"/>
    <w:rsid w:val="0B3C7FE9"/>
    <w:rsid w:val="0B3E2135"/>
    <w:rsid w:val="0B3E4C4E"/>
    <w:rsid w:val="0B3F5046"/>
    <w:rsid w:val="0B465055"/>
    <w:rsid w:val="0B4A6B8A"/>
    <w:rsid w:val="0B5A5CF8"/>
    <w:rsid w:val="0B5E107B"/>
    <w:rsid w:val="0B614734"/>
    <w:rsid w:val="0B6A62B6"/>
    <w:rsid w:val="0B726E36"/>
    <w:rsid w:val="0B7324B0"/>
    <w:rsid w:val="0B762D09"/>
    <w:rsid w:val="0B783689"/>
    <w:rsid w:val="0B8A3B4F"/>
    <w:rsid w:val="0B916D6B"/>
    <w:rsid w:val="0BB44A78"/>
    <w:rsid w:val="0BB74E0C"/>
    <w:rsid w:val="0BB87FCF"/>
    <w:rsid w:val="0BBA48E7"/>
    <w:rsid w:val="0BBC66C4"/>
    <w:rsid w:val="0BBD7A70"/>
    <w:rsid w:val="0BC04CED"/>
    <w:rsid w:val="0BC609E0"/>
    <w:rsid w:val="0BCB7656"/>
    <w:rsid w:val="0BCE4A0E"/>
    <w:rsid w:val="0BD25216"/>
    <w:rsid w:val="0BD41C0F"/>
    <w:rsid w:val="0BE86CE5"/>
    <w:rsid w:val="0BEA20F6"/>
    <w:rsid w:val="0BEF56C2"/>
    <w:rsid w:val="0BFE71F0"/>
    <w:rsid w:val="0C10764C"/>
    <w:rsid w:val="0C147706"/>
    <w:rsid w:val="0C162B21"/>
    <w:rsid w:val="0C1630E2"/>
    <w:rsid w:val="0C1A24D7"/>
    <w:rsid w:val="0C200009"/>
    <w:rsid w:val="0C2C0AC3"/>
    <w:rsid w:val="0C2D039F"/>
    <w:rsid w:val="0C365D6A"/>
    <w:rsid w:val="0C3A0B94"/>
    <w:rsid w:val="0C3F2EEE"/>
    <w:rsid w:val="0C42169F"/>
    <w:rsid w:val="0C47120D"/>
    <w:rsid w:val="0C4831C3"/>
    <w:rsid w:val="0C4E104B"/>
    <w:rsid w:val="0C66032E"/>
    <w:rsid w:val="0C673EC4"/>
    <w:rsid w:val="0C7C5B04"/>
    <w:rsid w:val="0C7C7517"/>
    <w:rsid w:val="0C823689"/>
    <w:rsid w:val="0C8C337F"/>
    <w:rsid w:val="0C9F09ED"/>
    <w:rsid w:val="0CA469F1"/>
    <w:rsid w:val="0CBC7EA2"/>
    <w:rsid w:val="0CBF4989"/>
    <w:rsid w:val="0CC24F9E"/>
    <w:rsid w:val="0CCA690C"/>
    <w:rsid w:val="0CE22587"/>
    <w:rsid w:val="0CE542F2"/>
    <w:rsid w:val="0CEA2E2A"/>
    <w:rsid w:val="0CED6017"/>
    <w:rsid w:val="0CF74A71"/>
    <w:rsid w:val="0D036938"/>
    <w:rsid w:val="0D1F4A80"/>
    <w:rsid w:val="0D2A6FAF"/>
    <w:rsid w:val="0D2B1186"/>
    <w:rsid w:val="0D2D7F9F"/>
    <w:rsid w:val="0D387BED"/>
    <w:rsid w:val="0D3A5F0B"/>
    <w:rsid w:val="0D4E2CC0"/>
    <w:rsid w:val="0D57166D"/>
    <w:rsid w:val="0D611393"/>
    <w:rsid w:val="0D636046"/>
    <w:rsid w:val="0D6E1E21"/>
    <w:rsid w:val="0D743CF7"/>
    <w:rsid w:val="0D7D2CA5"/>
    <w:rsid w:val="0D8942DF"/>
    <w:rsid w:val="0D8D45A5"/>
    <w:rsid w:val="0D9411D9"/>
    <w:rsid w:val="0D960694"/>
    <w:rsid w:val="0D9E6A58"/>
    <w:rsid w:val="0D9F25E8"/>
    <w:rsid w:val="0DAD3310"/>
    <w:rsid w:val="0DAE269F"/>
    <w:rsid w:val="0DB84644"/>
    <w:rsid w:val="0DB9259F"/>
    <w:rsid w:val="0DCF615F"/>
    <w:rsid w:val="0DD13476"/>
    <w:rsid w:val="0DE243B4"/>
    <w:rsid w:val="0DE43CE5"/>
    <w:rsid w:val="0DED4182"/>
    <w:rsid w:val="0E005D4C"/>
    <w:rsid w:val="0E0D3624"/>
    <w:rsid w:val="0E0D4C22"/>
    <w:rsid w:val="0E192E34"/>
    <w:rsid w:val="0E202064"/>
    <w:rsid w:val="0E261EA7"/>
    <w:rsid w:val="0E3419BC"/>
    <w:rsid w:val="0E3A606D"/>
    <w:rsid w:val="0E490DB4"/>
    <w:rsid w:val="0E53132A"/>
    <w:rsid w:val="0E5546F5"/>
    <w:rsid w:val="0E616F14"/>
    <w:rsid w:val="0E6405A4"/>
    <w:rsid w:val="0E6675C7"/>
    <w:rsid w:val="0E6928DE"/>
    <w:rsid w:val="0E73598D"/>
    <w:rsid w:val="0E7878FA"/>
    <w:rsid w:val="0E815C25"/>
    <w:rsid w:val="0E837B27"/>
    <w:rsid w:val="0E844F69"/>
    <w:rsid w:val="0E8842FB"/>
    <w:rsid w:val="0E887C32"/>
    <w:rsid w:val="0E8A6911"/>
    <w:rsid w:val="0E916BE0"/>
    <w:rsid w:val="0E9E1E21"/>
    <w:rsid w:val="0EA17C31"/>
    <w:rsid w:val="0EA24979"/>
    <w:rsid w:val="0EA37E27"/>
    <w:rsid w:val="0EA47316"/>
    <w:rsid w:val="0EA61976"/>
    <w:rsid w:val="0EA74504"/>
    <w:rsid w:val="0EAB510A"/>
    <w:rsid w:val="0EAB5E82"/>
    <w:rsid w:val="0EAB65E2"/>
    <w:rsid w:val="0EB6767C"/>
    <w:rsid w:val="0EBB3F3B"/>
    <w:rsid w:val="0EC11B75"/>
    <w:rsid w:val="0EC16A7D"/>
    <w:rsid w:val="0EC476FC"/>
    <w:rsid w:val="0EC934B8"/>
    <w:rsid w:val="0ED151FD"/>
    <w:rsid w:val="0EDD2542"/>
    <w:rsid w:val="0EF41B3F"/>
    <w:rsid w:val="0EF57844"/>
    <w:rsid w:val="0EF57979"/>
    <w:rsid w:val="0EFA7935"/>
    <w:rsid w:val="0F066611"/>
    <w:rsid w:val="0F066ED8"/>
    <w:rsid w:val="0F115710"/>
    <w:rsid w:val="0F1D0068"/>
    <w:rsid w:val="0F2D372D"/>
    <w:rsid w:val="0F3254B6"/>
    <w:rsid w:val="0F365551"/>
    <w:rsid w:val="0F3E0ECD"/>
    <w:rsid w:val="0F461DCB"/>
    <w:rsid w:val="0F4645DB"/>
    <w:rsid w:val="0F4D0E58"/>
    <w:rsid w:val="0F4D2372"/>
    <w:rsid w:val="0F4D3847"/>
    <w:rsid w:val="0F5048B5"/>
    <w:rsid w:val="0F525E77"/>
    <w:rsid w:val="0F56081B"/>
    <w:rsid w:val="0F5E7AE0"/>
    <w:rsid w:val="0F662F28"/>
    <w:rsid w:val="0F6E182C"/>
    <w:rsid w:val="0F782910"/>
    <w:rsid w:val="0F787DC4"/>
    <w:rsid w:val="0F7C1CB2"/>
    <w:rsid w:val="0F921734"/>
    <w:rsid w:val="0F92228A"/>
    <w:rsid w:val="0F974065"/>
    <w:rsid w:val="0F977868"/>
    <w:rsid w:val="0F984777"/>
    <w:rsid w:val="0FA205D6"/>
    <w:rsid w:val="0FB60683"/>
    <w:rsid w:val="0FB715F7"/>
    <w:rsid w:val="0FC36311"/>
    <w:rsid w:val="0FC64CA9"/>
    <w:rsid w:val="0FE35BF0"/>
    <w:rsid w:val="10064D2C"/>
    <w:rsid w:val="100830BE"/>
    <w:rsid w:val="100D799C"/>
    <w:rsid w:val="10125F23"/>
    <w:rsid w:val="1015743A"/>
    <w:rsid w:val="101F49C6"/>
    <w:rsid w:val="10320848"/>
    <w:rsid w:val="10342379"/>
    <w:rsid w:val="10407B0F"/>
    <w:rsid w:val="10416721"/>
    <w:rsid w:val="10441748"/>
    <w:rsid w:val="10477A72"/>
    <w:rsid w:val="1051513E"/>
    <w:rsid w:val="10557CD8"/>
    <w:rsid w:val="105A2522"/>
    <w:rsid w:val="10637F6E"/>
    <w:rsid w:val="10686A6D"/>
    <w:rsid w:val="10724875"/>
    <w:rsid w:val="107304A4"/>
    <w:rsid w:val="107A0D22"/>
    <w:rsid w:val="10882B3A"/>
    <w:rsid w:val="10986233"/>
    <w:rsid w:val="109E6EDD"/>
    <w:rsid w:val="10A938A7"/>
    <w:rsid w:val="10B44D4D"/>
    <w:rsid w:val="10B65430"/>
    <w:rsid w:val="10B7109A"/>
    <w:rsid w:val="10BA7D2A"/>
    <w:rsid w:val="10BD512E"/>
    <w:rsid w:val="10C53C26"/>
    <w:rsid w:val="10C556CD"/>
    <w:rsid w:val="10C90E6B"/>
    <w:rsid w:val="10CF5719"/>
    <w:rsid w:val="10DD2AC5"/>
    <w:rsid w:val="10DD5148"/>
    <w:rsid w:val="10E349B1"/>
    <w:rsid w:val="10ED0688"/>
    <w:rsid w:val="10FF3260"/>
    <w:rsid w:val="10FF7B5B"/>
    <w:rsid w:val="11067ED4"/>
    <w:rsid w:val="110C0E89"/>
    <w:rsid w:val="111013A9"/>
    <w:rsid w:val="1110172A"/>
    <w:rsid w:val="111B7F32"/>
    <w:rsid w:val="111C3109"/>
    <w:rsid w:val="111E50C5"/>
    <w:rsid w:val="112C473D"/>
    <w:rsid w:val="112F2873"/>
    <w:rsid w:val="1149126D"/>
    <w:rsid w:val="116D3B4A"/>
    <w:rsid w:val="116F014E"/>
    <w:rsid w:val="117471A7"/>
    <w:rsid w:val="117537E2"/>
    <w:rsid w:val="11763667"/>
    <w:rsid w:val="118831FA"/>
    <w:rsid w:val="118E5061"/>
    <w:rsid w:val="119118A5"/>
    <w:rsid w:val="1191440D"/>
    <w:rsid w:val="119A7DD1"/>
    <w:rsid w:val="11A01D79"/>
    <w:rsid w:val="11B83956"/>
    <w:rsid w:val="11B902CF"/>
    <w:rsid w:val="11BE1538"/>
    <w:rsid w:val="11BE3BF4"/>
    <w:rsid w:val="11C07657"/>
    <w:rsid w:val="11C534E0"/>
    <w:rsid w:val="11CD08EE"/>
    <w:rsid w:val="11D2535B"/>
    <w:rsid w:val="11D96C80"/>
    <w:rsid w:val="11ED674F"/>
    <w:rsid w:val="11FC4C92"/>
    <w:rsid w:val="11FD5C0A"/>
    <w:rsid w:val="120C0209"/>
    <w:rsid w:val="121742B4"/>
    <w:rsid w:val="1219437D"/>
    <w:rsid w:val="1221719C"/>
    <w:rsid w:val="123E7225"/>
    <w:rsid w:val="12597017"/>
    <w:rsid w:val="126975A0"/>
    <w:rsid w:val="1277783F"/>
    <w:rsid w:val="1281432E"/>
    <w:rsid w:val="12833461"/>
    <w:rsid w:val="128A5CA1"/>
    <w:rsid w:val="128C4449"/>
    <w:rsid w:val="12957723"/>
    <w:rsid w:val="129735A4"/>
    <w:rsid w:val="12985FA5"/>
    <w:rsid w:val="129D39BE"/>
    <w:rsid w:val="12A02541"/>
    <w:rsid w:val="12B42F95"/>
    <w:rsid w:val="12C963EE"/>
    <w:rsid w:val="12D46AE1"/>
    <w:rsid w:val="12D5269E"/>
    <w:rsid w:val="12D95080"/>
    <w:rsid w:val="12DD085D"/>
    <w:rsid w:val="12DD2B6C"/>
    <w:rsid w:val="12DF2127"/>
    <w:rsid w:val="12E36361"/>
    <w:rsid w:val="12E737D2"/>
    <w:rsid w:val="12E83424"/>
    <w:rsid w:val="12E846AC"/>
    <w:rsid w:val="12F46064"/>
    <w:rsid w:val="130375D8"/>
    <w:rsid w:val="13056BF2"/>
    <w:rsid w:val="130744C6"/>
    <w:rsid w:val="131730B2"/>
    <w:rsid w:val="131E0A77"/>
    <w:rsid w:val="131F6AEA"/>
    <w:rsid w:val="13201278"/>
    <w:rsid w:val="13227736"/>
    <w:rsid w:val="13237CDB"/>
    <w:rsid w:val="13342B8E"/>
    <w:rsid w:val="13364099"/>
    <w:rsid w:val="133C4CAD"/>
    <w:rsid w:val="133F4CBD"/>
    <w:rsid w:val="134149A0"/>
    <w:rsid w:val="13461CF1"/>
    <w:rsid w:val="13495DAC"/>
    <w:rsid w:val="13502C93"/>
    <w:rsid w:val="135E5F5F"/>
    <w:rsid w:val="135F74B9"/>
    <w:rsid w:val="136E4C07"/>
    <w:rsid w:val="136F1842"/>
    <w:rsid w:val="13765952"/>
    <w:rsid w:val="137919A9"/>
    <w:rsid w:val="13804267"/>
    <w:rsid w:val="13831F4D"/>
    <w:rsid w:val="13A81EE6"/>
    <w:rsid w:val="13AB76E9"/>
    <w:rsid w:val="13B02CF6"/>
    <w:rsid w:val="13B920F8"/>
    <w:rsid w:val="13BC259B"/>
    <w:rsid w:val="13BC503F"/>
    <w:rsid w:val="13BF5955"/>
    <w:rsid w:val="13C273B6"/>
    <w:rsid w:val="13C63BA5"/>
    <w:rsid w:val="13D76DEF"/>
    <w:rsid w:val="13DA3D65"/>
    <w:rsid w:val="13DA62F1"/>
    <w:rsid w:val="13DC51B5"/>
    <w:rsid w:val="13DC7D05"/>
    <w:rsid w:val="13DF4874"/>
    <w:rsid w:val="13E0446A"/>
    <w:rsid w:val="13EA5505"/>
    <w:rsid w:val="13EA612F"/>
    <w:rsid w:val="13FF3E97"/>
    <w:rsid w:val="14050BC1"/>
    <w:rsid w:val="140A00DE"/>
    <w:rsid w:val="14125205"/>
    <w:rsid w:val="141F5645"/>
    <w:rsid w:val="142904AD"/>
    <w:rsid w:val="142B2B7A"/>
    <w:rsid w:val="14374A54"/>
    <w:rsid w:val="14392BFE"/>
    <w:rsid w:val="143D12E8"/>
    <w:rsid w:val="143D1CBD"/>
    <w:rsid w:val="1444512C"/>
    <w:rsid w:val="14477CF7"/>
    <w:rsid w:val="144E3E57"/>
    <w:rsid w:val="14505B1B"/>
    <w:rsid w:val="145322C5"/>
    <w:rsid w:val="14541DE6"/>
    <w:rsid w:val="1456282E"/>
    <w:rsid w:val="145B4EFC"/>
    <w:rsid w:val="145F1E31"/>
    <w:rsid w:val="14663141"/>
    <w:rsid w:val="146F507E"/>
    <w:rsid w:val="147D3AE4"/>
    <w:rsid w:val="148260E0"/>
    <w:rsid w:val="14863FC2"/>
    <w:rsid w:val="14892FF0"/>
    <w:rsid w:val="148C6DF2"/>
    <w:rsid w:val="14944E41"/>
    <w:rsid w:val="1495273A"/>
    <w:rsid w:val="149764A7"/>
    <w:rsid w:val="149775F1"/>
    <w:rsid w:val="149D0FE6"/>
    <w:rsid w:val="149F2647"/>
    <w:rsid w:val="149F77F5"/>
    <w:rsid w:val="14A46372"/>
    <w:rsid w:val="14AE1A02"/>
    <w:rsid w:val="14B168C6"/>
    <w:rsid w:val="14BD6B39"/>
    <w:rsid w:val="14BE4809"/>
    <w:rsid w:val="14CC7E79"/>
    <w:rsid w:val="14D423B8"/>
    <w:rsid w:val="14D46689"/>
    <w:rsid w:val="14E9560E"/>
    <w:rsid w:val="14F536CF"/>
    <w:rsid w:val="14FC5B4E"/>
    <w:rsid w:val="15071A40"/>
    <w:rsid w:val="151321F8"/>
    <w:rsid w:val="1522182F"/>
    <w:rsid w:val="152D1ACD"/>
    <w:rsid w:val="152F6A7F"/>
    <w:rsid w:val="1538246B"/>
    <w:rsid w:val="1539340F"/>
    <w:rsid w:val="153D3E35"/>
    <w:rsid w:val="153D55E1"/>
    <w:rsid w:val="15466521"/>
    <w:rsid w:val="154A0262"/>
    <w:rsid w:val="155030AD"/>
    <w:rsid w:val="1556476C"/>
    <w:rsid w:val="156379C1"/>
    <w:rsid w:val="15765819"/>
    <w:rsid w:val="15841D83"/>
    <w:rsid w:val="158A4772"/>
    <w:rsid w:val="158B7752"/>
    <w:rsid w:val="15913ACC"/>
    <w:rsid w:val="159631F3"/>
    <w:rsid w:val="159A4B8D"/>
    <w:rsid w:val="159E1014"/>
    <w:rsid w:val="15A22918"/>
    <w:rsid w:val="15A4276C"/>
    <w:rsid w:val="15B24987"/>
    <w:rsid w:val="15B42C3C"/>
    <w:rsid w:val="15B93D2C"/>
    <w:rsid w:val="15C32CC5"/>
    <w:rsid w:val="15C37260"/>
    <w:rsid w:val="15D54968"/>
    <w:rsid w:val="15DA62DC"/>
    <w:rsid w:val="15F542EC"/>
    <w:rsid w:val="15FA0348"/>
    <w:rsid w:val="15FE207E"/>
    <w:rsid w:val="15FF309A"/>
    <w:rsid w:val="15FF37CF"/>
    <w:rsid w:val="1617093E"/>
    <w:rsid w:val="161B115F"/>
    <w:rsid w:val="16220143"/>
    <w:rsid w:val="16282EDA"/>
    <w:rsid w:val="16314B52"/>
    <w:rsid w:val="163745E1"/>
    <w:rsid w:val="16392032"/>
    <w:rsid w:val="16411302"/>
    <w:rsid w:val="164627B4"/>
    <w:rsid w:val="164D634E"/>
    <w:rsid w:val="165622DC"/>
    <w:rsid w:val="16570ADF"/>
    <w:rsid w:val="16623510"/>
    <w:rsid w:val="1666130B"/>
    <w:rsid w:val="166A6665"/>
    <w:rsid w:val="166C0646"/>
    <w:rsid w:val="167219DA"/>
    <w:rsid w:val="16771340"/>
    <w:rsid w:val="167A42F0"/>
    <w:rsid w:val="16867DC2"/>
    <w:rsid w:val="168A7C78"/>
    <w:rsid w:val="168E3F83"/>
    <w:rsid w:val="16920AEF"/>
    <w:rsid w:val="1699771B"/>
    <w:rsid w:val="169F5419"/>
    <w:rsid w:val="16A837CE"/>
    <w:rsid w:val="16B335F7"/>
    <w:rsid w:val="16B817B9"/>
    <w:rsid w:val="16CD0DCE"/>
    <w:rsid w:val="16DD3F47"/>
    <w:rsid w:val="16F06D6A"/>
    <w:rsid w:val="16F508E4"/>
    <w:rsid w:val="16FB6562"/>
    <w:rsid w:val="1702204C"/>
    <w:rsid w:val="170605A0"/>
    <w:rsid w:val="172103F9"/>
    <w:rsid w:val="172120CD"/>
    <w:rsid w:val="1723639B"/>
    <w:rsid w:val="174557C0"/>
    <w:rsid w:val="174E4464"/>
    <w:rsid w:val="175042BA"/>
    <w:rsid w:val="17512B2B"/>
    <w:rsid w:val="17597500"/>
    <w:rsid w:val="17625BEE"/>
    <w:rsid w:val="176D11A6"/>
    <w:rsid w:val="177154E2"/>
    <w:rsid w:val="177324B7"/>
    <w:rsid w:val="1775117A"/>
    <w:rsid w:val="177F0424"/>
    <w:rsid w:val="1781216D"/>
    <w:rsid w:val="17890489"/>
    <w:rsid w:val="178A5323"/>
    <w:rsid w:val="178C697B"/>
    <w:rsid w:val="179878E9"/>
    <w:rsid w:val="17A131B9"/>
    <w:rsid w:val="17CB6220"/>
    <w:rsid w:val="17D1085A"/>
    <w:rsid w:val="17E17FE9"/>
    <w:rsid w:val="17E54B5B"/>
    <w:rsid w:val="18083ED0"/>
    <w:rsid w:val="18084815"/>
    <w:rsid w:val="181234F2"/>
    <w:rsid w:val="18175E71"/>
    <w:rsid w:val="18224B85"/>
    <w:rsid w:val="18285828"/>
    <w:rsid w:val="182C174C"/>
    <w:rsid w:val="1843460E"/>
    <w:rsid w:val="184C68FC"/>
    <w:rsid w:val="18502413"/>
    <w:rsid w:val="185B309D"/>
    <w:rsid w:val="186A0381"/>
    <w:rsid w:val="1888583F"/>
    <w:rsid w:val="1894436B"/>
    <w:rsid w:val="18A63E73"/>
    <w:rsid w:val="18A87B81"/>
    <w:rsid w:val="18B453E2"/>
    <w:rsid w:val="18B52219"/>
    <w:rsid w:val="18B54CDF"/>
    <w:rsid w:val="18B940C1"/>
    <w:rsid w:val="18C37BA4"/>
    <w:rsid w:val="18CF10B4"/>
    <w:rsid w:val="18D02242"/>
    <w:rsid w:val="18D25E6F"/>
    <w:rsid w:val="18DE2BC6"/>
    <w:rsid w:val="18DE3CE7"/>
    <w:rsid w:val="18E0412C"/>
    <w:rsid w:val="18E40A0F"/>
    <w:rsid w:val="18F13AEA"/>
    <w:rsid w:val="18F64841"/>
    <w:rsid w:val="1913181C"/>
    <w:rsid w:val="192112A0"/>
    <w:rsid w:val="19337B2B"/>
    <w:rsid w:val="194254D8"/>
    <w:rsid w:val="194646E0"/>
    <w:rsid w:val="194C7707"/>
    <w:rsid w:val="195B38A4"/>
    <w:rsid w:val="195E7D3D"/>
    <w:rsid w:val="195F4F96"/>
    <w:rsid w:val="19721C44"/>
    <w:rsid w:val="197A329C"/>
    <w:rsid w:val="197B66E9"/>
    <w:rsid w:val="197E5B98"/>
    <w:rsid w:val="19881614"/>
    <w:rsid w:val="1997232C"/>
    <w:rsid w:val="19AF7D80"/>
    <w:rsid w:val="19B30F27"/>
    <w:rsid w:val="19CB060B"/>
    <w:rsid w:val="19D26743"/>
    <w:rsid w:val="19E74A44"/>
    <w:rsid w:val="19E85A1A"/>
    <w:rsid w:val="19F04203"/>
    <w:rsid w:val="1A0570F0"/>
    <w:rsid w:val="1A0F2BCC"/>
    <w:rsid w:val="1A154B51"/>
    <w:rsid w:val="1A182F69"/>
    <w:rsid w:val="1A1A2283"/>
    <w:rsid w:val="1A1C5075"/>
    <w:rsid w:val="1A2A6185"/>
    <w:rsid w:val="1A2E11D7"/>
    <w:rsid w:val="1A2F2A72"/>
    <w:rsid w:val="1A2F4D1B"/>
    <w:rsid w:val="1A386C4C"/>
    <w:rsid w:val="1A3A4FC9"/>
    <w:rsid w:val="1A3F3E93"/>
    <w:rsid w:val="1A4625ED"/>
    <w:rsid w:val="1A483D66"/>
    <w:rsid w:val="1A48412A"/>
    <w:rsid w:val="1A604837"/>
    <w:rsid w:val="1A7558A1"/>
    <w:rsid w:val="1A757E02"/>
    <w:rsid w:val="1A763991"/>
    <w:rsid w:val="1A813960"/>
    <w:rsid w:val="1A830DB1"/>
    <w:rsid w:val="1A92107B"/>
    <w:rsid w:val="1A9C5AFC"/>
    <w:rsid w:val="1AAC3F7F"/>
    <w:rsid w:val="1AB16F31"/>
    <w:rsid w:val="1AB7076C"/>
    <w:rsid w:val="1ABB0522"/>
    <w:rsid w:val="1AC10CC2"/>
    <w:rsid w:val="1AC4362E"/>
    <w:rsid w:val="1AC91C0B"/>
    <w:rsid w:val="1ADC452D"/>
    <w:rsid w:val="1ADF1D26"/>
    <w:rsid w:val="1AEE2DD0"/>
    <w:rsid w:val="1AF523CC"/>
    <w:rsid w:val="1AF5361F"/>
    <w:rsid w:val="1B012800"/>
    <w:rsid w:val="1B026ED6"/>
    <w:rsid w:val="1B093FDC"/>
    <w:rsid w:val="1B0C544C"/>
    <w:rsid w:val="1B124A9F"/>
    <w:rsid w:val="1B1E192E"/>
    <w:rsid w:val="1B1F6B94"/>
    <w:rsid w:val="1B23288B"/>
    <w:rsid w:val="1B3803F8"/>
    <w:rsid w:val="1B3C09BF"/>
    <w:rsid w:val="1B5124A1"/>
    <w:rsid w:val="1B5A1426"/>
    <w:rsid w:val="1B7167A4"/>
    <w:rsid w:val="1B7B3821"/>
    <w:rsid w:val="1B805339"/>
    <w:rsid w:val="1B847BD1"/>
    <w:rsid w:val="1B9D40D1"/>
    <w:rsid w:val="1BA130BE"/>
    <w:rsid w:val="1BA943BB"/>
    <w:rsid w:val="1BB37AC0"/>
    <w:rsid w:val="1BC41878"/>
    <w:rsid w:val="1BC82648"/>
    <w:rsid w:val="1BC90B87"/>
    <w:rsid w:val="1BD12CD7"/>
    <w:rsid w:val="1BD35389"/>
    <w:rsid w:val="1BD90092"/>
    <w:rsid w:val="1BE32496"/>
    <w:rsid w:val="1BE35F0A"/>
    <w:rsid w:val="1BF91AFB"/>
    <w:rsid w:val="1BFD77CB"/>
    <w:rsid w:val="1C1253B3"/>
    <w:rsid w:val="1C237B02"/>
    <w:rsid w:val="1C2B4B26"/>
    <w:rsid w:val="1C2F6568"/>
    <w:rsid w:val="1C370772"/>
    <w:rsid w:val="1C384A8E"/>
    <w:rsid w:val="1C3E4489"/>
    <w:rsid w:val="1C4D158A"/>
    <w:rsid w:val="1C6C0148"/>
    <w:rsid w:val="1C6F4663"/>
    <w:rsid w:val="1C7474C0"/>
    <w:rsid w:val="1C7C57A0"/>
    <w:rsid w:val="1C803BB3"/>
    <w:rsid w:val="1C891F4B"/>
    <w:rsid w:val="1C8B24D4"/>
    <w:rsid w:val="1C8F46C9"/>
    <w:rsid w:val="1C992A2C"/>
    <w:rsid w:val="1CA74B09"/>
    <w:rsid w:val="1CA93AB0"/>
    <w:rsid w:val="1CAB2C34"/>
    <w:rsid w:val="1CAD0DB7"/>
    <w:rsid w:val="1CB05780"/>
    <w:rsid w:val="1CBC0158"/>
    <w:rsid w:val="1CBC31B7"/>
    <w:rsid w:val="1CD74790"/>
    <w:rsid w:val="1CDD0FBF"/>
    <w:rsid w:val="1CDF1F62"/>
    <w:rsid w:val="1CEA20DF"/>
    <w:rsid w:val="1CEC2E4C"/>
    <w:rsid w:val="1CFC6D0B"/>
    <w:rsid w:val="1D023725"/>
    <w:rsid w:val="1D074C2D"/>
    <w:rsid w:val="1D132A90"/>
    <w:rsid w:val="1D311C58"/>
    <w:rsid w:val="1D313D02"/>
    <w:rsid w:val="1D344C11"/>
    <w:rsid w:val="1D3969DD"/>
    <w:rsid w:val="1D427A75"/>
    <w:rsid w:val="1D4A7171"/>
    <w:rsid w:val="1D5B5F0F"/>
    <w:rsid w:val="1D6355A9"/>
    <w:rsid w:val="1D674C5E"/>
    <w:rsid w:val="1D6D1B2D"/>
    <w:rsid w:val="1D6D5A61"/>
    <w:rsid w:val="1D6E1997"/>
    <w:rsid w:val="1D84458D"/>
    <w:rsid w:val="1D89436F"/>
    <w:rsid w:val="1D8E63AF"/>
    <w:rsid w:val="1D9C3D07"/>
    <w:rsid w:val="1DA03098"/>
    <w:rsid w:val="1DAB7053"/>
    <w:rsid w:val="1DAE5377"/>
    <w:rsid w:val="1DB5255C"/>
    <w:rsid w:val="1DBD123F"/>
    <w:rsid w:val="1DBD7714"/>
    <w:rsid w:val="1DCB40CF"/>
    <w:rsid w:val="1DE15C99"/>
    <w:rsid w:val="1DF33FC3"/>
    <w:rsid w:val="1E037B7D"/>
    <w:rsid w:val="1E0665D7"/>
    <w:rsid w:val="1E0909AA"/>
    <w:rsid w:val="1E2113CC"/>
    <w:rsid w:val="1E21168D"/>
    <w:rsid w:val="1E3B2B02"/>
    <w:rsid w:val="1E482380"/>
    <w:rsid w:val="1E5007A5"/>
    <w:rsid w:val="1E5244F8"/>
    <w:rsid w:val="1E550A85"/>
    <w:rsid w:val="1E6F498B"/>
    <w:rsid w:val="1E745389"/>
    <w:rsid w:val="1E835721"/>
    <w:rsid w:val="1E845305"/>
    <w:rsid w:val="1E8531F9"/>
    <w:rsid w:val="1E8A6B2E"/>
    <w:rsid w:val="1E9655C1"/>
    <w:rsid w:val="1EBC63A6"/>
    <w:rsid w:val="1EBF701C"/>
    <w:rsid w:val="1ED278A6"/>
    <w:rsid w:val="1EF42CDD"/>
    <w:rsid w:val="1EF77261"/>
    <w:rsid w:val="1EFE4210"/>
    <w:rsid w:val="1F0514A8"/>
    <w:rsid w:val="1F07634F"/>
    <w:rsid w:val="1F08764F"/>
    <w:rsid w:val="1F0C4983"/>
    <w:rsid w:val="1F122D6C"/>
    <w:rsid w:val="1F1301A8"/>
    <w:rsid w:val="1F157C1D"/>
    <w:rsid w:val="1F162D6B"/>
    <w:rsid w:val="1F1B3E77"/>
    <w:rsid w:val="1F1E3F53"/>
    <w:rsid w:val="1F2162FF"/>
    <w:rsid w:val="1F2E5A4C"/>
    <w:rsid w:val="1F304433"/>
    <w:rsid w:val="1F405473"/>
    <w:rsid w:val="1F435B8B"/>
    <w:rsid w:val="1F471C25"/>
    <w:rsid w:val="1F4D18BE"/>
    <w:rsid w:val="1F5E7056"/>
    <w:rsid w:val="1F6117DF"/>
    <w:rsid w:val="1F931F00"/>
    <w:rsid w:val="1F9D5325"/>
    <w:rsid w:val="1FA07319"/>
    <w:rsid w:val="1FBB042E"/>
    <w:rsid w:val="1FBF0756"/>
    <w:rsid w:val="1FC128C2"/>
    <w:rsid w:val="1FC44AE4"/>
    <w:rsid w:val="1FC91100"/>
    <w:rsid w:val="1FCD5653"/>
    <w:rsid w:val="1FD25865"/>
    <w:rsid w:val="1FD770FE"/>
    <w:rsid w:val="1FDF62C2"/>
    <w:rsid w:val="1FE51CD9"/>
    <w:rsid w:val="1FEA2534"/>
    <w:rsid w:val="1FEA75B7"/>
    <w:rsid w:val="1FF1299E"/>
    <w:rsid w:val="1FF9794D"/>
    <w:rsid w:val="20095C5B"/>
    <w:rsid w:val="200E00B8"/>
    <w:rsid w:val="20166A8E"/>
    <w:rsid w:val="201E2823"/>
    <w:rsid w:val="203054DE"/>
    <w:rsid w:val="20310CED"/>
    <w:rsid w:val="20390BE1"/>
    <w:rsid w:val="20473696"/>
    <w:rsid w:val="2056636E"/>
    <w:rsid w:val="205B5863"/>
    <w:rsid w:val="2060783B"/>
    <w:rsid w:val="20635AEC"/>
    <w:rsid w:val="207109FD"/>
    <w:rsid w:val="20796704"/>
    <w:rsid w:val="207D3915"/>
    <w:rsid w:val="2080386A"/>
    <w:rsid w:val="2084716D"/>
    <w:rsid w:val="208736F5"/>
    <w:rsid w:val="208A29F1"/>
    <w:rsid w:val="20913A48"/>
    <w:rsid w:val="20A467CC"/>
    <w:rsid w:val="20AA5DB9"/>
    <w:rsid w:val="20AD7614"/>
    <w:rsid w:val="20B25B89"/>
    <w:rsid w:val="20BB1CF0"/>
    <w:rsid w:val="20C979A0"/>
    <w:rsid w:val="20CF0217"/>
    <w:rsid w:val="20E40FBB"/>
    <w:rsid w:val="20EA541D"/>
    <w:rsid w:val="20F4611B"/>
    <w:rsid w:val="20F53880"/>
    <w:rsid w:val="20F711B1"/>
    <w:rsid w:val="20F83033"/>
    <w:rsid w:val="20FA311D"/>
    <w:rsid w:val="20FB1948"/>
    <w:rsid w:val="20FB5ACB"/>
    <w:rsid w:val="20FE0493"/>
    <w:rsid w:val="210670C8"/>
    <w:rsid w:val="21170BD5"/>
    <w:rsid w:val="211E18EE"/>
    <w:rsid w:val="211F3CB8"/>
    <w:rsid w:val="21296072"/>
    <w:rsid w:val="21352EAA"/>
    <w:rsid w:val="215B1EEA"/>
    <w:rsid w:val="216935DC"/>
    <w:rsid w:val="216D01ED"/>
    <w:rsid w:val="217B780C"/>
    <w:rsid w:val="21832D42"/>
    <w:rsid w:val="21895F3A"/>
    <w:rsid w:val="21A732AC"/>
    <w:rsid w:val="21A978A7"/>
    <w:rsid w:val="21B1456D"/>
    <w:rsid w:val="21B17F7D"/>
    <w:rsid w:val="21B93A30"/>
    <w:rsid w:val="21C02BB2"/>
    <w:rsid w:val="21C4617A"/>
    <w:rsid w:val="21C96C78"/>
    <w:rsid w:val="21CB061C"/>
    <w:rsid w:val="21CB5861"/>
    <w:rsid w:val="21CE44BB"/>
    <w:rsid w:val="21D5504E"/>
    <w:rsid w:val="21D676A4"/>
    <w:rsid w:val="21D81B82"/>
    <w:rsid w:val="21DB0381"/>
    <w:rsid w:val="21E00BF5"/>
    <w:rsid w:val="21E51649"/>
    <w:rsid w:val="21E52366"/>
    <w:rsid w:val="21EB0C3A"/>
    <w:rsid w:val="21F9582C"/>
    <w:rsid w:val="22037A47"/>
    <w:rsid w:val="2208575C"/>
    <w:rsid w:val="221B13D1"/>
    <w:rsid w:val="222B6ADC"/>
    <w:rsid w:val="222D4DD4"/>
    <w:rsid w:val="222E38C6"/>
    <w:rsid w:val="222E57C1"/>
    <w:rsid w:val="222F3829"/>
    <w:rsid w:val="22384A31"/>
    <w:rsid w:val="22400730"/>
    <w:rsid w:val="224B4F70"/>
    <w:rsid w:val="224D5FC0"/>
    <w:rsid w:val="22590822"/>
    <w:rsid w:val="225C66C5"/>
    <w:rsid w:val="226255A7"/>
    <w:rsid w:val="226456B0"/>
    <w:rsid w:val="226726F1"/>
    <w:rsid w:val="22712AC2"/>
    <w:rsid w:val="22790BE2"/>
    <w:rsid w:val="227F4C3F"/>
    <w:rsid w:val="22825EA3"/>
    <w:rsid w:val="228B2C1D"/>
    <w:rsid w:val="228C192B"/>
    <w:rsid w:val="2293462E"/>
    <w:rsid w:val="229A6924"/>
    <w:rsid w:val="22A97FDD"/>
    <w:rsid w:val="22BB2852"/>
    <w:rsid w:val="22C94D33"/>
    <w:rsid w:val="22CC5B82"/>
    <w:rsid w:val="22CE3382"/>
    <w:rsid w:val="22D1656D"/>
    <w:rsid w:val="22D55DD9"/>
    <w:rsid w:val="22DA2E71"/>
    <w:rsid w:val="22DE1452"/>
    <w:rsid w:val="22E903E5"/>
    <w:rsid w:val="22EE431B"/>
    <w:rsid w:val="22F21186"/>
    <w:rsid w:val="22F808CD"/>
    <w:rsid w:val="22FF6476"/>
    <w:rsid w:val="23075F39"/>
    <w:rsid w:val="2315592C"/>
    <w:rsid w:val="231573D6"/>
    <w:rsid w:val="231F0629"/>
    <w:rsid w:val="23205618"/>
    <w:rsid w:val="232517C4"/>
    <w:rsid w:val="23322930"/>
    <w:rsid w:val="23390E8B"/>
    <w:rsid w:val="2346529B"/>
    <w:rsid w:val="23472EF5"/>
    <w:rsid w:val="234B240D"/>
    <w:rsid w:val="23525DFC"/>
    <w:rsid w:val="23540A5C"/>
    <w:rsid w:val="235606EA"/>
    <w:rsid w:val="235654C1"/>
    <w:rsid w:val="235D29F0"/>
    <w:rsid w:val="23670455"/>
    <w:rsid w:val="2367445A"/>
    <w:rsid w:val="236D0708"/>
    <w:rsid w:val="23704A78"/>
    <w:rsid w:val="23725159"/>
    <w:rsid w:val="237E0D13"/>
    <w:rsid w:val="239B01DE"/>
    <w:rsid w:val="239B6805"/>
    <w:rsid w:val="23A66151"/>
    <w:rsid w:val="23AC34DE"/>
    <w:rsid w:val="23B92019"/>
    <w:rsid w:val="23B92A65"/>
    <w:rsid w:val="23BF5813"/>
    <w:rsid w:val="23D03647"/>
    <w:rsid w:val="23D45C3F"/>
    <w:rsid w:val="23DD2F57"/>
    <w:rsid w:val="23DD7F14"/>
    <w:rsid w:val="23DE604A"/>
    <w:rsid w:val="23F029A0"/>
    <w:rsid w:val="23F57CF6"/>
    <w:rsid w:val="24157061"/>
    <w:rsid w:val="242C71CC"/>
    <w:rsid w:val="243960BA"/>
    <w:rsid w:val="24457B3C"/>
    <w:rsid w:val="245C51AD"/>
    <w:rsid w:val="2464623D"/>
    <w:rsid w:val="246C27BB"/>
    <w:rsid w:val="246D271F"/>
    <w:rsid w:val="246D441B"/>
    <w:rsid w:val="2471304C"/>
    <w:rsid w:val="24714871"/>
    <w:rsid w:val="248728B1"/>
    <w:rsid w:val="24981EE8"/>
    <w:rsid w:val="249972A7"/>
    <w:rsid w:val="249B151A"/>
    <w:rsid w:val="24A44CCC"/>
    <w:rsid w:val="24AE5525"/>
    <w:rsid w:val="24AF4A68"/>
    <w:rsid w:val="24B46978"/>
    <w:rsid w:val="24BA0C48"/>
    <w:rsid w:val="24BC2350"/>
    <w:rsid w:val="24C03564"/>
    <w:rsid w:val="24C13228"/>
    <w:rsid w:val="24C84CBC"/>
    <w:rsid w:val="24CD561F"/>
    <w:rsid w:val="24D04C64"/>
    <w:rsid w:val="24D503EC"/>
    <w:rsid w:val="24DE2944"/>
    <w:rsid w:val="24EC0984"/>
    <w:rsid w:val="24F91BE8"/>
    <w:rsid w:val="25022AF3"/>
    <w:rsid w:val="251B2A67"/>
    <w:rsid w:val="2523574C"/>
    <w:rsid w:val="254062D7"/>
    <w:rsid w:val="25433B52"/>
    <w:rsid w:val="254F770A"/>
    <w:rsid w:val="2560105E"/>
    <w:rsid w:val="25622ED7"/>
    <w:rsid w:val="25675FB4"/>
    <w:rsid w:val="257E50E5"/>
    <w:rsid w:val="25874651"/>
    <w:rsid w:val="25887151"/>
    <w:rsid w:val="258F0890"/>
    <w:rsid w:val="25A33EC2"/>
    <w:rsid w:val="25B368B2"/>
    <w:rsid w:val="25B901EB"/>
    <w:rsid w:val="25BE2B81"/>
    <w:rsid w:val="25BF78C9"/>
    <w:rsid w:val="25BF79AB"/>
    <w:rsid w:val="25BF7E37"/>
    <w:rsid w:val="25C20C03"/>
    <w:rsid w:val="25D04211"/>
    <w:rsid w:val="25D65232"/>
    <w:rsid w:val="25D77372"/>
    <w:rsid w:val="25D8037D"/>
    <w:rsid w:val="25DA27E6"/>
    <w:rsid w:val="25F902CB"/>
    <w:rsid w:val="260654E2"/>
    <w:rsid w:val="26105E9C"/>
    <w:rsid w:val="261609D6"/>
    <w:rsid w:val="261F0E38"/>
    <w:rsid w:val="26274517"/>
    <w:rsid w:val="26346017"/>
    <w:rsid w:val="26382E7F"/>
    <w:rsid w:val="264735CF"/>
    <w:rsid w:val="264739C3"/>
    <w:rsid w:val="2649023C"/>
    <w:rsid w:val="265727D9"/>
    <w:rsid w:val="26596E64"/>
    <w:rsid w:val="26631D2C"/>
    <w:rsid w:val="266621E4"/>
    <w:rsid w:val="26671A05"/>
    <w:rsid w:val="2668501B"/>
    <w:rsid w:val="26697691"/>
    <w:rsid w:val="266C6374"/>
    <w:rsid w:val="26784227"/>
    <w:rsid w:val="268B2A08"/>
    <w:rsid w:val="268F5426"/>
    <w:rsid w:val="26A26DE0"/>
    <w:rsid w:val="26A80506"/>
    <w:rsid w:val="26AF1520"/>
    <w:rsid w:val="26B32546"/>
    <w:rsid w:val="26B455C4"/>
    <w:rsid w:val="26CE3992"/>
    <w:rsid w:val="26CE55FF"/>
    <w:rsid w:val="26F6146E"/>
    <w:rsid w:val="26F62A81"/>
    <w:rsid w:val="26FE4A6A"/>
    <w:rsid w:val="272C4D67"/>
    <w:rsid w:val="27331115"/>
    <w:rsid w:val="273640A2"/>
    <w:rsid w:val="273B3753"/>
    <w:rsid w:val="273E38B4"/>
    <w:rsid w:val="274253F0"/>
    <w:rsid w:val="274B2D00"/>
    <w:rsid w:val="274D7608"/>
    <w:rsid w:val="275555EC"/>
    <w:rsid w:val="275674A0"/>
    <w:rsid w:val="2760653C"/>
    <w:rsid w:val="276162B0"/>
    <w:rsid w:val="27645116"/>
    <w:rsid w:val="27657DBC"/>
    <w:rsid w:val="276A28DA"/>
    <w:rsid w:val="27722622"/>
    <w:rsid w:val="277628A1"/>
    <w:rsid w:val="277E548C"/>
    <w:rsid w:val="2780551A"/>
    <w:rsid w:val="27815CE2"/>
    <w:rsid w:val="278E5A5B"/>
    <w:rsid w:val="27912E18"/>
    <w:rsid w:val="27A27EAC"/>
    <w:rsid w:val="27A8169D"/>
    <w:rsid w:val="27AA526D"/>
    <w:rsid w:val="27B878F9"/>
    <w:rsid w:val="27BE5948"/>
    <w:rsid w:val="27C34470"/>
    <w:rsid w:val="27C51810"/>
    <w:rsid w:val="27C8114A"/>
    <w:rsid w:val="27C834CD"/>
    <w:rsid w:val="27C905DC"/>
    <w:rsid w:val="27D236A8"/>
    <w:rsid w:val="27D4123F"/>
    <w:rsid w:val="27D572A7"/>
    <w:rsid w:val="27E157F3"/>
    <w:rsid w:val="27F66BB0"/>
    <w:rsid w:val="27F77B3D"/>
    <w:rsid w:val="27FA562A"/>
    <w:rsid w:val="280977DA"/>
    <w:rsid w:val="28121C92"/>
    <w:rsid w:val="281B6598"/>
    <w:rsid w:val="281B7CEA"/>
    <w:rsid w:val="281C21CB"/>
    <w:rsid w:val="281D6B88"/>
    <w:rsid w:val="28357D8B"/>
    <w:rsid w:val="2836337F"/>
    <w:rsid w:val="28397CC5"/>
    <w:rsid w:val="283B0145"/>
    <w:rsid w:val="283E6919"/>
    <w:rsid w:val="28434864"/>
    <w:rsid w:val="284B3693"/>
    <w:rsid w:val="284E337B"/>
    <w:rsid w:val="284F07A5"/>
    <w:rsid w:val="285A0043"/>
    <w:rsid w:val="285B05DC"/>
    <w:rsid w:val="2864641F"/>
    <w:rsid w:val="28704231"/>
    <w:rsid w:val="28793607"/>
    <w:rsid w:val="287C2615"/>
    <w:rsid w:val="287E2BE1"/>
    <w:rsid w:val="28833121"/>
    <w:rsid w:val="28876A75"/>
    <w:rsid w:val="288D1BFD"/>
    <w:rsid w:val="288D1F9B"/>
    <w:rsid w:val="288F3B81"/>
    <w:rsid w:val="289C53B7"/>
    <w:rsid w:val="289D1014"/>
    <w:rsid w:val="28A05EBE"/>
    <w:rsid w:val="28A557C3"/>
    <w:rsid w:val="28A8374F"/>
    <w:rsid w:val="28A961D8"/>
    <w:rsid w:val="28B12AD4"/>
    <w:rsid w:val="28B6028A"/>
    <w:rsid w:val="28BA1044"/>
    <w:rsid w:val="28D51248"/>
    <w:rsid w:val="28E878A7"/>
    <w:rsid w:val="28EE593F"/>
    <w:rsid w:val="290B1812"/>
    <w:rsid w:val="290E4025"/>
    <w:rsid w:val="291D7ECA"/>
    <w:rsid w:val="292163F6"/>
    <w:rsid w:val="29251A24"/>
    <w:rsid w:val="29342BEB"/>
    <w:rsid w:val="293820EE"/>
    <w:rsid w:val="29386B2A"/>
    <w:rsid w:val="293E04D8"/>
    <w:rsid w:val="29440746"/>
    <w:rsid w:val="2945276C"/>
    <w:rsid w:val="294A0518"/>
    <w:rsid w:val="29514C52"/>
    <w:rsid w:val="2954607D"/>
    <w:rsid w:val="297D0119"/>
    <w:rsid w:val="29800781"/>
    <w:rsid w:val="2982458F"/>
    <w:rsid w:val="29885003"/>
    <w:rsid w:val="2990383D"/>
    <w:rsid w:val="299E003E"/>
    <w:rsid w:val="29A174EF"/>
    <w:rsid w:val="29A17806"/>
    <w:rsid w:val="29AC73DD"/>
    <w:rsid w:val="29B161C9"/>
    <w:rsid w:val="29B16290"/>
    <w:rsid w:val="29C20636"/>
    <w:rsid w:val="29C82DBF"/>
    <w:rsid w:val="29D860FD"/>
    <w:rsid w:val="29E17BDE"/>
    <w:rsid w:val="2A0B35D5"/>
    <w:rsid w:val="2A0C72CF"/>
    <w:rsid w:val="2A111C29"/>
    <w:rsid w:val="2A1448B1"/>
    <w:rsid w:val="2A185197"/>
    <w:rsid w:val="2A1B5837"/>
    <w:rsid w:val="2A1E0CD3"/>
    <w:rsid w:val="2A2051EF"/>
    <w:rsid w:val="2A22517F"/>
    <w:rsid w:val="2A2D45FB"/>
    <w:rsid w:val="2A2E2911"/>
    <w:rsid w:val="2A3C5AE6"/>
    <w:rsid w:val="2A453E14"/>
    <w:rsid w:val="2A4E00E4"/>
    <w:rsid w:val="2A5C4360"/>
    <w:rsid w:val="2A5C7C57"/>
    <w:rsid w:val="2A5E7172"/>
    <w:rsid w:val="2A64697D"/>
    <w:rsid w:val="2A751DCE"/>
    <w:rsid w:val="2A7B6DFC"/>
    <w:rsid w:val="2A8060D9"/>
    <w:rsid w:val="2A8B3E7D"/>
    <w:rsid w:val="2AA13CD5"/>
    <w:rsid w:val="2AB15E6C"/>
    <w:rsid w:val="2AC87E3C"/>
    <w:rsid w:val="2ADF7A16"/>
    <w:rsid w:val="2AE6777C"/>
    <w:rsid w:val="2AED65CF"/>
    <w:rsid w:val="2AF16A93"/>
    <w:rsid w:val="2AF4495B"/>
    <w:rsid w:val="2AF55953"/>
    <w:rsid w:val="2B05237A"/>
    <w:rsid w:val="2B1E3053"/>
    <w:rsid w:val="2B24537E"/>
    <w:rsid w:val="2B313424"/>
    <w:rsid w:val="2B35242F"/>
    <w:rsid w:val="2B366C7F"/>
    <w:rsid w:val="2B3918E4"/>
    <w:rsid w:val="2B397A77"/>
    <w:rsid w:val="2B44645E"/>
    <w:rsid w:val="2B456A93"/>
    <w:rsid w:val="2B462C4B"/>
    <w:rsid w:val="2B464D12"/>
    <w:rsid w:val="2B487BB1"/>
    <w:rsid w:val="2B4E1941"/>
    <w:rsid w:val="2B576013"/>
    <w:rsid w:val="2B687699"/>
    <w:rsid w:val="2B6B5007"/>
    <w:rsid w:val="2B74038B"/>
    <w:rsid w:val="2B8566E0"/>
    <w:rsid w:val="2B8F1FA5"/>
    <w:rsid w:val="2B9122CF"/>
    <w:rsid w:val="2B9245E7"/>
    <w:rsid w:val="2B9571C7"/>
    <w:rsid w:val="2BAC1091"/>
    <w:rsid w:val="2BAD029A"/>
    <w:rsid w:val="2BAD4976"/>
    <w:rsid w:val="2BBB6579"/>
    <w:rsid w:val="2BC20277"/>
    <w:rsid w:val="2BC977B1"/>
    <w:rsid w:val="2BCD6826"/>
    <w:rsid w:val="2BD557F2"/>
    <w:rsid w:val="2BD95FFD"/>
    <w:rsid w:val="2BE85579"/>
    <w:rsid w:val="2BED134B"/>
    <w:rsid w:val="2BF01B9E"/>
    <w:rsid w:val="2BF02096"/>
    <w:rsid w:val="2BF240AB"/>
    <w:rsid w:val="2BF30742"/>
    <w:rsid w:val="2BF452C7"/>
    <w:rsid w:val="2BF75DBE"/>
    <w:rsid w:val="2C09754E"/>
    <w:rsid w:val="2C2A1E79"/>
    <w:rsid w:val="2C2A7A20"/>
    <w:rsid w:val="2C307D5C"/>
    <w:rsid w:val="2C385A2A"/>
    <w:rsid w:val="2C4A0200"/>
    <w:rsid w:val="2C4E566E"/>
    <w:rsid w:val="2C6C047C"/>
    <w:rsid w:val="2C701006"/>
    <w:rsid w:val="2C837FA2"/>
    <w:rsid w:val="2C846580"/>
    <w:rsid w:val="2C866DCC"/>
    <w:rsid w:val="2C961C01"/>
    <w:rsid w:val="2C9D668D"/>
    <w:rsid w:val="2CB57D7B"/>
    <w:rsid w:val="2CB94733"/>
    <w:rsid w:val="2CC348A3"/>
    <w:rsid w:val="2CE007C2"/>
    <w:rsid w:val="2CE64D3E"/>
    <w:rsid w:val="2CE6635D"/>
    <w:rsid w:val="2CEE3413"/>
    <w:rsid w:val="2CEE480A"/>
    <w:rsid w:val="2CEF759B"/>
    <w:rsid w:val="2D0143D8"/>
    <w:rsid w:val="2D025F4B"/>
    <w:rsid w:val="2D0838C2"/>
    <w:rsid w:val="2D10158B"/>
    <w:rsid w:val="2D160A44"/>
    <w:rsid w:val="2D1945F6"/>
    <w:rsid w:val="2D2167D3"/>
    <w:rsid w:val="2D255DD6"/>
    <w:rsid w:val="2D323DB0"/>
    <w:rsid w:val="2D412322"/>
    <w:rsid w:val="2D4207FF"/>
    <w:rsid w:val="2D522978"/>
    <w:rsid w:val="2D5628C7"/>
    <w:rsid w:val="2D564572"/>
    <w:rsid w:val="2D571572"/>
    <w:rsid w:val="2D673705"/>
    <w:rsid w:val="2D7B5E39"/>
    <w:rsid w:val="2D82073D"/>
    <w:rsid w:val="2D8A005E"/>
    <w:rsid w:val="2D98098D"/>
    <w:rsid w:val="2D9D187B"/>
    <w:rsid w:val="2DA3176E"/>
    <w:rsid w:val="2DA52757"/>
    <w:rsid w:val="2DA826ED"/>
    <w:rsid w:val="2DA93A99"/>
    <w:rsid w:val="2DB00B6B"/>
    <w:rsid w:val="2DB32F9A"/>
    <w:rsid w:val="2DBB79E9"/>
    <w:rsid w:val="2DBC7C8C"/>
    <w:rsid w:val="2DC72451"/>
    <w:rsid w:val="2DCB25C6"/>
    <w:rsid w:val="2DCC512C"/>
    <w:rsid w:val="2DCD0FB0"/>
    <w:rsid w:val="2DD741C9"/>
    <w:rsid w:val="2DD830AC"/>
    <w:rsid w:val="2DE7598D"/>
    <w:rsid w:val="2DF259BD"/>
    <w:rsid w:val="2DFB07A6"/>
    <w:rsid w:val="2DFE17A9"/>
    <w:rsid w:val="2E013F6C"/>
    <w:rsid w:val="2E1676FD"/>
    <w:rsid w:val="2E1D6327"/>
    <w:rsid w:val="2E1E3A40"/>
    <w:rsid w:val="2E22450F"/>
    <w:rsid w:val="2E285D42"/>
    <w:rsid w:val="2E2928E5"/>
    <w:rsid w:val="2E3D5C0B"/>
    <w:rsid w:val="2E456DB2"/>
    <w:rsid w:val="2E496BCA"/>
    <w:rsid w:val="2E4A4F3B"/>
    <w:rsid w:val="2E4B00C0"/>
    <w:rsid w:val="2E4C3F8E"/>
    <w:rsid w:val="2E4F3494"/>
    <w:rsid w:val="2E51631F"/>
    <w:rsid w:val="2E5549B1"/>
    <w:rsid w:val="2E5660D5"/>
    <w:rsid w:val="2E5A4293"/>
    <w:rsid w:val="2E5C032A"/>
    <w:rsid w:val="2E5D5F9C"/>
    <w:rsid w:val="2E622864"/>
    <w:rsid w:val="2E63784A"/>
    <w:rsid w:val="2E671CAB"/>
    <w:rsid w:val="2E6A3BF9"/>
    <w:rsid w:val="2E6C788F"/>
    <w:rsid w:val="2E835C86"/>
    <w:rsid w:val="2E852055"/>
    <w:rsid w:val="2E875E1A"/>
    <w:rsid w:val="2E9E0FE6"/>
    <w:rsid w:val="2E9F22A8"/>
    <w:rsid w:val="2EA353ED"/>
    <w:rsid w:val="2EA41D60"/>
    <w:rsid w:val="2EAE1D44"/>
    <w:rsid w:val="2EB87BA9"/>
    <w:rsid w:val="2EBA4787"/>
    <w:rsid w:val="2EBA7874"/>
    <w:rsid w:val="2EC14271"/>
    <w:rsid w:val="2EDA284B"/>
    <w:rsid w:val="2EEA191A"/>
    <w:rsid w:val="2EEA72B5"/>
    <w:rsid w:val="2EEC2D2C"/>
    <w:rsid w:val="2EF63ADA"/>
    <w:rsid w:val="2EF84491"/>
    <w:rsid w:val="2EFA535E"/>
    <w:rsid w:val="2EFF156A"/>
    <w:rsid w:val="2F020453"/>
    <w:rsid w:val="2F03033A"/>
    <w:rsid w:val="2F0A27AD"/>
    <w:rsid w:val="2F0F6E4B"/>
    <w:rsid w:val="2F111485"/>
    <w:rsid w:val="2F196CF7"/>
    <w:rsid w:val="2F1A0163"/>
    <w:rsid w:val="2F281481"/>
    <w:rsid w:val="2F3E357A"/>
    <w:rsid w:val="2F45126A"/>
    <w:rsid w:val="2F4A3743"/>
    <w:rsid w:val="2F4F0421"/>
    <w:rsid w:val="2F526361"/>
    <w:rsid w:val="2F5563A5"/>
    <w:rsid w:val="2F5F013C"/>
    <w:rsid w:val="2F6642A5"/>
    <w:rsid w:val="2F676275"/>
    <w:rsid w:val="2F6C788A"/>
    <w:rsid w:val="2F796D46"/>
    <w:rsid w:val="2F8B747C"/>
    <w:rsid w:val="2F8E2DD5"/>
    <w:rsid w:val="2F9819AE"/>
    <w:rsid w:val="2FA72E53"/>
    <w:rsid w:val="2FA81E6D"/>
    <w:rsid w:val="2FAC56C6"/>
    <w:rsid w:val="2FB75B14"/>
    <w:rsid w:val="2FBC5667"/>
    <w:rsid w:val="2FBD2CA2"/>
    <w:rsid w:val="2FC00BF1"/>
    <w:rsid w:val="2FC405AC"/>
    <w:rsid w:val="2FC43958"/>
    <w:rsid w:val="2FC730A6"/>
    <w:rsid w:val="2FCD31CB"/>
    <w:rsid w:val="2FD02E25"/>
    <w:rsid w:val="2FD70A74"/>
    <w:rsid w:val="2FE240B1"/>
    <w:rsid w:val="2FE72D7B"/>
    <w:rsid w:val="2FEA09D3"/>
    <w:rsid w:val="2FF246B5"/>
    <w:rsid w:val="2FF5048E"/>
    <w:rsid w:val="2FFA35F5"/>
    <w:rsid w:val="2FFF3396"/>
    <w:rsid w:val="3004649F"/>
    <w:rsid w:val="30075DB2"/>
    <w:rsid w:val="300E20A4"/>
    <w:rsid w:val="301066F3"/>
    <w:rsid w:val="3019263C"/>
    <w:rsid w:val="302147B2"/>
    <w:rsid w:val="302D08E4"/>
    <w:rsid w:val="302E3DD6"/>
    <w:rsid w:val="30424D24"/>
    <w:rsid w:val="304B2383"/>
    <w:rsid w:val="30556D74"/>
    <w:rsid w:val="305609BF"/>
    <w:rsid w:val="30624B65"/>
    <w:rsid w:val="30683B1D"/>
    <w:rsid w:val="306840D4"/>
    <w:rsid w:val="306F2DEB"/>
    <w:rsid w:val="306F535B"/>
    <w:rsid w:val="3076107A"/>
    <w:rsid w:val="3084169C"/>
    <w:rsid w:val="30916D50"/>
    <w:rsid w:val="3097633A"/>
    <w:rsid w:val="30A853ED"/>
    <w:rsid w:val="30AA0D94"/>
    <w:rsid w:val="30AC6259"/>
    <w:rsid w:val="30B85BF6"/>
    <w:rsid w:val="30B949E0"/>
    <w:rsid w:val="30BA4265"/>
    <w:rsid w:val="30BC76EC"/>
    <w:rsid w:val="30E02AE2"/>
    <w:rsid w:val="30E33B3D"/>
    <w:rsid w:val="30E50BB6"/>
    <w:rsid w:val="30ED092F"/>
    <w:rsid w:val="30EF12D2"/>
    <w:rsid w:val="30FD33DA"/>
    <w:rsid w:val="30FE2D35"/>
    <w:rsid w:val="30FF363C"/>
    <w:rsid w:val="31061A49"/>
    <w:rsid w:val="310D0152"/>
    <w:rsid w:val="31154B8A"/>
    <w:rsid w:val="311C59F9"/>
    <w:rsid w:val="31282650"/>
    <w:rsid w:val="312B253A"/>
    <w:rsid w:val="313C4BD7"/>
    <w:rsid w:val="315718BA"/>
    <w:rsid w:val="31604378"/>
    <w:rsid w:val="31621D8B"/>
    <w:rsid w:val="3163135F"/>
    <w:rsid w:val="316B0C91"/>
    <w:rsid w:val="31702483"/>
    <w:rsid w:val="31722F45"/>
    <w:rsid w:val="3172721A"/>
    <w:rsid w:val="31792ACF"/>
    <w:rsid w:val="317C29D0"/>
    <w:rsid w:val="318B178B"/>
    <w:rsid w:val="318D6D84"/>
    <w:rsid w:val="319075E9"/>
    <w:rsid w:val="3196266A"/>
    <w:rsid w:val="319F241E"/>
    <w:rsid w:val="31BA0233"/>
    <w:rsid w:val="31BA2DD5"/>
    <w:rsid w:val="31C660B8"/>
    <w:rsid w:val="31CD0B60"/>
    <w:rsid w:val="31E62936"/>
    <w:rsid w:val="31F2568B"/>
    <w:rsid w:val="320027C8"/>
    <w:rsid w:val="320816BC"/>
    <w:rsid w:val="32082F6E"/>
    <w:rsid w:val="32152505"/>
    <w:rsid w:val="321A493A"/>
    <w:rsid w:val="322C1338"/>
    <w:rsid w:val="3238509C"/>
    <w:rsid w:val="323A7182"/>
    <w:rsid w:val="323C275B"/>
    <w:rsid w:val="32415E5F"/>
    <w:rsid w:val="327207C5"/>
    <w:rsid w:val="327A5E20"/>
    <w:rsid w:val="327F756E"/>
    <w:rsid w:val="32885057"/>
    <w:rsid w:val="328E0429"/>
    <w:rsid w:val="32951532"/>
    <w:rsid w:val="329E61B5"/>
    <w:rsid w:val="329F72B3"/>
    <w:rsid w:val="32A03811"/>
    <w:rsid w:val="32A044C6"/>
    <w:rsid w:val="32AA0070"/>
    <w:rsid w:val="32AE0763"/>
    <w:rsid w:val="32B11BD7"/>
    <w:rsid w:val="32B606E1"/>
    <w:rsid w:val="32BC0413"/>
    <w:rsid w:val="32C24352"/>
    <w:rsid w:val="32CA3406"/>
    <w:rsid w:val="32D219C2"/>
    <w:rsid w:val="32DC3BF3"/>
    <w:rsid w:val="32DE09B1"/>
    <w:rsid w:val="32EF4252"/>
    <w:rsid w:val="32F21589"/>
    <w:rsid w:val="32F879EC"/>
    <w:rsid w:val="330440DF"/>
    <w:rsid w:val="3307618A"/>
    <w:rsid w:val="33080A15"/>
    <w:rsid w:val="33121531"/>
    <w:rsid w:val="33136E16"/>
    <w:rsid w:val="33153C46"/>
    <w:rsid w:val="33167B1B"/>
    <w:rsid w:val="33192279"/>
    <w:rsid w:val="331F6B86"/>
    <w:rsid w:val="33221986"/>
    <w:rsid w:val="333A72BD"/>
    <w:rsid w:val="33416243"/>
    <w:rsid w:val="33456BEA"/>
    <w:rsid w:val="33534540"/>
    <w:rsid w:val="33607F54"/>
    <w:rsid w:val="33621A51"/>
    <w:rsid w:val="33681A34"/>
    <w:rsid w:val="3382186D"/>
    <w:rsid w:val="33843487"/>
    <w:rsid w:val="33932C57"/>
    <w:rsid w:val="33934B30"/>
    <w:rsid w:val="33965519"/>
    <w:rsid w:val="33A018CD"/>
    <w:rsid w:val="33AB5475"/>
    <w:rsid w:val="33C34180"/>
    <w:rsid w:val="33CA7E5C"/>
    <w:rsid w:val="33D06B30"/>
    <w:rsid w:val="33D51294"/>
    <w:rsid w:val="33D532A2"/>
    <w:rsid w:val="33D91C79"/>
    <w:rsid w:val="33F25709"/>
    <w:rsid w:val="33FA5BBF"/>
    <w:rsid w:val="34191ADA"/>
    <w:rsid w:val="341A4012"/>
    <w:rsid w:val="341B56DC"/>
    <w:rsid w:val="342863EB"/>
    <w:rsid w:val="342C0D0F"/>
    <w:rsid w:val="342D6042"/>
    <w:rsid w:val="342F7A16"/>
    <w:rsid w:val="343D359B"/>
    <w:rsid w:val="34432E07"/>
    <w:rsid w:val="344842A9"/>
    <w:rsid w:val="345A09EA"/>
    <w:rsid w:val="345B707D"/>
    <w:rsid w:val="34696610"/>
    <w:rsid w:val="346A3F42"/>
    <w:rsid w:val="346B2918"/>
    <w:rsid w:val="347136CE"/>
    <w:rsid w:val="34740C34"/>
    <w:rsid w:val="348125D4"/>
    <w:rsid w:val="348876A6"/>
    <w:rsid w:val="34931975"/>
    <w:rsid w:val="34931C0A"/>
    <w:rsid w:val="34974570"/>
    <w:rsid w:val="349805AB"/>
    <w:rsid w:val="349808D3"/>
    <w:rsid w:val="34984067"/>
    <w:rsid w:val="349B47ED"/>
    <w:rsid w:val="349B4A35"/>
    <w:rsid w:val="349D781F"/>
    <w:rsid w:val="34A42769"/>
    <w:rsid w:val="34A5127B"/>
    <w:rsid w:val="34A62A37"/>
    <w:rsid w:val="34AB3545"/>
    <w:rsid w:val="34B1328E"/>
    <w:rsid w:val="34C14BBF"/>
    <w:rsid w:val="34DC14E4"/>
    <w:rsid w:val="34E43027"/>
    <w:rsid w:val="34E93E5D"/>
    <w:rsid w:val="350122D8"/>
    <w:rsid w:val="35085E36"/>
    <w:rsid w:val="350905C0"/>
    <w:rsid w:val="350C13B4"/>
    <w:rsid w:val="3523380C"/>
    <w:rsid w:val="352F3371"/>
    <w:rsid w:val="353261E1"/>
    <w:rsid w:val="35390638"/>
    <w:rsid w:val="353F3EC8"/>
    <w:rsid w:val="353F703A"/>
    <w:rsid w:val="354015E3"/>
    <w:rsid w:val="354A53CE"/>
    <w:rsid w:val="355754CD"/>
    <w:rsid w:val="355F4ABA"/>
    <w:rsid w:val="35647717"/>
    <w:rsid w:val="357507DB"/>
    <w:rsid w:val="35753B38"/>
    <w:rsid w:val="357F223A"/>
    <w:rsid w:val="35885201"/>
    <w:rsid w:val="35891DD7"/>
    <w:rsid w:val="358B1EC0"/>
    <w:rsid w:val="359E79E8"/>
    <w:rsid w:val="35A57BB6"/>
    <w:rsid w:val="35AA5672"/>
    <w:rsid w:val="35AC0036"/>
    <w:rsid w:val="35BA1584"/>
    <w:rsid w:val="35CA1EBB"/>
    <w:rsid w:val="35CE2148"/>
    <w:rsid w:val="35D4410F"/>
    <w:rsid w:val="35DA7E11"/>
    <w:rsid w:val="35E65111"/>
    <w:rsid w:val="35EC6A77"/>
    <w:rsid w:val="35EE6ECC"/>
    <w:rsid w:val="35F84DEE"/>
    <w:rsid w:val="35FC1EA9"/>
    <w:rsid w:val="360747FD"/>
    <w:rsid w:val="360A5CEB"/>
    <w:rsid w:val="360C0508"/>
    <w:rsid w:val="360F7131"/>
    <w:rsid w:val="361B0F6C"/>
    <w:rsid w:val="36203CB2"/>
    <w:rsid w:val="36227E01"/>
    <w:rsid w:val="3627162E"/>
    <w:rsid w:val="362A61B9"/>
    <w:rsid w:val="362E023C"/>
    <w:rsid w:val="36335713"/>
    <w:rsid w:val="36393C64"/>
    <w:rsid w:val="36456592"/>
    <w:rsid w:val="36495EB3"/>
    <w:rsid w:val="364B370E"/>
    <w:rsid w:val="364C7BB9"/>
    <w:rsid w:val="364D0DF5"/>
    <w:rsid w:val="364E616C"/>
    <w:rsid w:val="36574DD9"/>
    <w:rsid w:val="367020EA"/>
    <w:rsid w:val="36805919"/>
    <w:rsid w:val="36811876"/>
    <w:rsid w:val="36830224"/>
    <w:rsid w:val="3683372A"/>
    <w:rsid w:val="368F0657"/>
    <w:rsid w:val="36925CAE"/>
    <w:rsid w:val="36A05158"/>
    <w:rsid w:val="36A12FA1"/>
    <w:rsid w:val="36B5043A"/>
    <w:rsid w:val="36CF1B47"/>
    <w:rsid w:val="36D15A75"/>
    <w:rsid w:val="36E95552"/>
    <w:rsid w:val="36F0650D"/>
    <w:rsid w:val="36F21E52"/>
    <w:rsid w:val="36FD6F68"/>
    <w:rsid w:val="37127616"/>
    <w:rsid w:val="372731BA"/>
    <w:rsid w:val="37294235"/>
    <w:rsid w:val="372A4E62"/>
    <w:rsid w:val="373338A5"/>
    <w:rsid w:val="3737215B"/>
    <w:rsid w:val="3739216A"/>
    <w:rsid w:val="373A0A99"/>
    <w:rsid w:val="373B79BC"/>
    <w:rsid w:val="374A5C82"/>
    <w:rsid w:val="374A7ADC"/>
    <w:rsid w:val="374E4FBA"/>
    <w:rsid w:val="37531A01"/>
    <w:rsid w:val="375622F2"/>
    <w:rsid w:val="376528B2"/>
    <w:rsid w:val="377341A6"/>
    <w:rsid w:val="377D2E4F"/>
    <w:rsid w:val="3780322D"/>
    <w:rsid w:val="37994C0F"/>
    <w:rsid w:val="37A70FF1"/>
    <w:rsid w:val="37AC15B8"/>
    <w:rsid w:val="37B5675C"/>
    <w:rsid w:val="37CE55D0"/>
    <w:rsid w:val="37D15C78"/>
    <w:rsid w:val="37D45BDE"/>
    <w:rsid w:val="37DE35D0"/>
    <w:rsid w:val="37E37C46"/>
    <w:rsid w:val="37E779DE"/>
    <w:rsid w:val="37E812C5"/>
    <w:rsid w:val="37EB76BC"/>
    <w:rsid w:val="37F828A2"/>
    <w:rsid w:val="37FA2A7A"/>
    <w:rsid w:val="37FC5FAF"/>
    <w:rsid w:val="38087608"/>
    <w:rsid w:val="380A7E28"/>
    <w:rsid w:val="38151E40"/>
    <w:rsid w:val="38180011"/>
    <w:rsid w:val="38191A55"/>
    <w:rsid w:val="381A3E73"/>
    <w:rsid w:val="381B2C1C"/>
    <w:rsid w:val="381E3C1A"/>
    <w:rsid w:val="382C1672"/>
    <w:rsid w:val="38327763"/>
    <w:rsid w:val="3833469D"/>
    <w:rsid w:val="383E1885"/>
    <w:rsid w:val="38537496"/>
    <w:rsid w:val="38540630"/>
    <w:rsid w:val="38612D80"/>
    <w:rsid w:val="386B1513"/>
    <w:rsid w:val="387E4F4D"/>
    <w:rsid w:val="3889241D"/>
    <w:rsid w:val="388E740E"/>
    <w:rsid w:val="38925531"/>
    <w:rsid w:val="389306D7"/>
    <w:rsid w:val="389F4678"/>
    <w:rsid w:val="38C226E3"/>
    <w:rsid w:val="38CB6EA1"/>
    <w:rsid w:val="38E15B68"/>
    <w:rsid w:val="38E92E84"/>
    <w:rsid w:val="38FC1CF5"/>
    <w:rsid w:val="39052526"/>
    <w:rsid w:val="39057FD3"/>
    <w:rsid w:val="390A1D13"/>
    <w:rsid w:val="3912168D"/>
    <w:rsid w:val="391B53C0"/>
    <w:rsid w:val="391D1023"/>
    <w:rsid w:val="39203C58"/>
    <w:rsid w:val="3924712B"/>
    <w:rsid w:val="392E063C"/>
    <w:rsid w:val="39382F10"/>
    <w:rsid w:val="39386D5F"/>
    <w:rsid w:val="393A6378"/>
    <w:rsid w:val="393B274D"/>
    <w:rsid w:val="39497035"/>
    <w:rsid w:val="394D216A"/>
    <w:rsid w:val="3951543E"/>
    <w:rsid w:val="39555F58"/>
    <w:rsid w:val="39577F1B"/>
    <w:rsid w:val="396221C9"/>
    <w:rsid w:val="396876EF"/>
    <w:rsid w:val="3969683C"/>
    <w:rsid w:val="396B71A4"/>
    <w:rsid w:val="396D0C46"/>
    <w:rsid w:val="39847335"/>
    <w:rsid w:val="398842E0"/>
    <w:rsid w:val="398D165E"/>
    <w:rsid w:val="39967A20"/>
    <w:rsid w:val="39992293"/>
    <w:rsid w:val="399B7FE6"/>
    <w:rsid w:val="399E405B"/>
    <w:rsid w:val="399E5554"/>
    <w:rsid w:val="39A0339E"/>
    <w:rsid w:val="39A53A59"/>
    <w:rsid w:val="39A7437D"/>
    <w:rsid w:val="39AE6C99"/>
    <w:rsid w:val="39BE0B27"/>
    <w:rsid w:val="39BF6C7F"/>
    <w:rsid w:val="39C66F26"/>
    <w:rsid w:val="39D92B2C"/>
    <w:rsid w:val="39EB2F67"/>
    <w:rsid w:val="39EF7076"/>
    <w:rsid w:val="39F20B17"/>
    <w:rsid w:val="39F4755D"/>
    <w:rsid w:val="39FA5670"/>
    <w:rsid w:val="39FA6061"/>
    <w:rsid w:val="3A0076E8"/>
    <w:rsid w:val="3A0A1D9F"/>
    <w:rsid w:val="3A0D6CB3"/>
    <w:rsid w:val="3A164690"/>
    <w:rsid w:val="3A335C58"/>
    <w:rsid w:val="3A393D3E"/>
    <w:rsid w:val="3A3B5662"/>
    <w:rsid w:val="3A3E2951"/>
    <w:rsid w:val="3A425101"/>
    <w:rsid w:val="3A497913"/>
    <w:rsid w:val="3A504BB4"/>
    <w:rsid w:val="3A546DAD"/>
    <w:rsid w:val="3A571CD2"/>
    <w:rsid w:val="3A5C78CD"/>
    <w:rsid w:val="3A5D167B"/>
    <w:rsid w:val="3A69435F"/>
    <w:rsid w:val="3A717156"/>
    <w:rsid w:val="3A7D702E"/>
    <w:rsid w:val="3A8657EA"/>
    <w:rsid w:val="3A954673"/>
    <w:rsid w:val="3A956874"/>
    <w:rsid w:val="3A9802C4"/>
    <w:rsid w:val="3A9B7D6C"/>
    <w:rsid w:val="3AA049EF"/>
    <w:rsid w:val="3AAB3040"/>
    <w:rsid w:val="3AAD1BCB"/>
    <w:rsid w:val="3AB113E8"/>
    <w:rsid w:val="3ABA3DA7"/>
    <w:rsid w:val="3AC95EB9"/>
    <w:rsid w:val="3AD012D2"/>
    <w:rsid w:val="3AD27452"/>
    <w:rsid w:val="3AD85724"/>
    <w:rsid w:val="3AD91EC8"/>
    <w:rsid w:val="3ADA6948"/>
    <w:rsid w:val="3AE67E1B"/>
    <w:rsid w:val="3AE80CDF"/>
    <w:rsid w:val="3AFB7AF2"/>
    <w:rsid w:val="3B00401C"/>
    <w:rsid w:val="3B132DDD"/>
    <w:rsid w:val="3B143A26"/>
    <w:rsid w:val="3B200EF2"/>
    <w:rsid w:val="3B242657"/>
    <w:rsid w:val="3B2722DA"/>
    <w:rsid w:val="3B280374"/>
    <w:rsid w:val="3B2A5B1D"/>
    <w:rsid w:val="3B2B7D6B"/>
    <w:rsid w:val="3B2E41C5"/>
    <w:rsid w:val="3B2F2F08"/>
    <w:rsid w:val="3B354A2F"/>
    <w:rsid w:val="3B396431"/>
    <w:rsid w:val="3B4051F4"/>
    <w:rsid w:val="3B4D7B65"/>
    <w:rsid w:val="3B4E2E09"/>
    <w:rsid w:val="3B501FF8"/>
    <w:rsid w:val="3B62270A"/>
    <w:rsid w:val="3B676655"/>
    <w:rsid w:val="3B7515DC"/>
    <w:rsid w:val="3B8A61BE"/>
    <w:rsid w:val="3BA26EF4"/>
    <w:rsid w:val="3BA32AA8"/>
    <w:rsid w:val="3BA55E85"/>
    <w:rsid w:val="3BA772EF"/>
    <w:rsid w:val="3BAA794B"/>
    <w:rsid w:val="3BBA4839"/>
    <w:rsid w:val="3BBC315E"/>
    <w:rsid w:val="3BD23FDC"/>
    <w:rsid w:val="3BD44F09"/>
    <w:rsid w:val="3BD473E3"/>
    <w:rsid w:val="3BED2CE2"/>
    <w:rsid w:val="3BEE670D"/>
    <w:rsid w:val="3BFA4A3E"/>
    <w:rsid w:val="3C0845F5"/>
    <w:rsid w:val="3C156FA3"/>
    <w:rsid w:val="3C166646"/>
    <w:rsid w:val="3C1A4C86"/>
    <w:rsid w:val="3C2034B7"/>
    <w:rsid w:val="3C261093"/>
    <w:rsid w:val="3C2745B7"/>
    <w:rsid w:val="3C2A2FFB"/>
    <w:rsid w:val="3C2D2A2C"/>
    <w:rsid w:val="3C4021E4"/>
    <w:rsid w:val="3C447687"/>
    <w:rsid w:val="3C480B52"/>
    <w:rsid w:val="3C4A73B3"/>
    <w:rsid w:val="3C554B73"/>
    <w:rsid w:val="3C5C6D27"/>
    <w:rsid w:val="3C5F6EB8"/>
    <w:rsid w:val="3C6353DC"/>
    <w:rsid w:val="3C64519D"/>
    <w:rsid w:val="3C66556A"/>
    <w:rsid w:val="3C716004"/>
    <w:rsid w:val="3C7571D3"/>
    <w:rsid w:val="3C78599A"/>
    <w:rsid w:val="3C7C6326"/>
    <w:rsid w:val="3C7F002E"/>
    <w:rsid w:val="3C887A83"/>
    <w:rsid w:val="3C8E355B"/>
    <w:rsid w:val="3C8E7C8F"/>
    <w:rsid w:val="3C99357C"/>
    <w:rsid w:val="3CA20176"/>
    <w:rsid w:val="3CC01705"/>
    <w:rsid w:val="3CC22E05"/>
    <w:rsid w:val="3CCA1178"/>
    <w:rsid w:val="3CCC4ECB"/>
    <w:rsid w:val="3CCD6340"/>
    <w:rsid w:val="3CD00700"/>
    <w:rsid w:val="3CD5357B"/>
    <w:rsid w:val="3CDF419D"/>
    <w:rsid w:val="3CE02CA7"/>
    <w:rsid w:val="3CEB035F"/>
    <w:rsid w:val="3CED1B10"/>
    <w:rsid w:val="3CF30BE3"/>
    <w:rsid w:val="3CF36272"/>
    <w:rsid w:val="3CF7718B"/>
    <w:rsid w:val="3CF975C1"/>
    <w:rsid w:val="3D015A0B"/>
    <w:rsid w:val="3D072F30"/>
    <w:rsid w:val="3D08318F"/>
    <w:rsid w:val="3D0E0365"/>
    <w:rsid w:val="3D134C63"/>
    <w:rsid w:val="3D14760C"/>
    <w:rsid w:val="3D211E25"/>
    <w:rsid w:val="3D2916A1"/>
    <w:rsid w:val="3D33483F"/>
    <w:rsid w:val="3D4143D0"/>
    <w:rsid w:val="3D507BF5"/>
    <w:rsid w:val="3D564193"/>
    <w:rsid w:val="3D5A1F56"/>
    <w:rsid w:val="3D5B71DC"/>
    <w:rsid w:val="3D6D1D5D"/>
    <w:rsid w:val="3D703DFF"/>
    <w:rsid w:val="3D725088"/>
    <w:rsid w:val="3D74619A"/>
    <w:rsid w:val="3D794344"/>
    <w:rsid w:val="3D7D36D0"/>
    <w:rsid w:val="3D871C93"/>
    <w:rsid w:val="3D8E4459"/>
    <w:rsid w:val="3D9675AA"/>
    <w:rsid w:val="3DA40698"/>
    <w:rsid w:val="3DA75B0C"/>
    <w:rsid w:val="3DB06D6C"/>
    <w:rsid w:val="3DCB7546"/>
    <w:rsid w:val="3DCF1599"/>
    <w:rsid w:val="3DD32BBD"/>
    <w:rsid w:val="3DEC34B6"/>
    <w:rsid w:val="3DEF1757"/>
    <w:rsid w:val="3DF3200C"/>
    <w:rsid w:val="3DF73D01"/>
    <w:rsid w:val="3DF910FC"/>
    <w:rsid w:val="3E034AC1"/>
    <w:rsid w:val="3E0850A4"/>
    <w:rsid w:val="3E0913AB"/>
    <w:rsid w:val="3E1237CB"/>
    <w:rsid w:val="3E1E619A"/>
    <w:rsid w:val="3E227DCC"/>
    <w:rsid w:val="3E2E18EC"/>
    <w:rsid w:val="3E3F3829"/>
    <w:rsid w:val="3E4B49E8"/>
    <w:rsid w:val="3E4B7F4E"/>
    <w:rsid w:val="3E654386"/>
    <w:rsid w:val="3E68529E"/>
    <w:rsid w:val="3E7F1FE4"/>
    <w:rsid w:val="3E81287B"/>
    <w:rsid w:val="3E914969"/>
    <w:rsid w:val="3EA015EC"/>
    <w:rsid w:val="3EA1086B"/>
    <w:rsid w:val="3EAE1701"/>
    <w:rsid w:val="3EB02E2D"/>
    <w:rsid w:val="3EB24839"/>
    <w:rsid w:val="3EB35491"/>
    <w:rsid w:val="3EB8316F"/>
    <w:rsid w:val="3EB95E43"/>
    <w:rsid w:val="3EC966CF"/>
    <w:rsid w:val="3ECA6C43"/>
    <w:rsid w:val="3ED13D48"/>
    <w:rsid w:val="3EDB0BA3"/>
    <w:rsid w:val="3EE31EA6"/>
    <w:rsid w:val="3EE74946"/>
    <w:rsid w:val="3EF11B92"/>
    <w:rsid w:val="3EF277F9"/>
    <w:rsid w:val="3F0724A4"/>
    <w:rsid w:val="3F0804FA"/>
    <w:rsid w:val="3F0D515D"/>
    <w:rsid w:val="3F0F796A"/>
    <w:rsid w:val="3F1B134B"/>
    <w:rsid w:val="3F2230EF"/>
    <w:rsid w:val="3F2727F8"/>
    <w:rsid w:val="3F2F2D8E"/>
    <w:rsid w:val="3F38328C"/>
    <w:rsid w:val="3F475618"/>
    <w:rsid w:val="3F522568"/>
    <w:rsid w:val="3F595D3C"/>
    <w:rsid w:val="3F751CFE"/>
    <w:rsid w:val="3F756C92"/>
    <w:rsid w:val="3F7A1131"/>
    <w:rsid w:val="3F876D51"/>
    <w:rsid w:val="3F8A17FF"/>
    <w:rsid w:val="3F945E5D"/>
    <w:rsid w:val="3FA02720"/>
    <w:rsid w:val="3FA35BA4"/>
    <w:rsid w:val="3FAC1997"/>
    <w:rsid w:val="3FAC609B"/>
    <w:rsid w:val="3FB911F5"/>
    <w:rsid w:val="3FC60FC8"/>
    <w:rsid w:val="3FFC71E9"/>
    <w:rsid w:val="40012E41"/>
    <w:rsid w:val="40094FF5"/>
    <w:rsid w:val="4011166F"/>
    <w:rsid w:val="401B0998"/>
    <w:rsid w:val="401C55BC"/>
    <w:rsid w:val="402249EF"/>
    <w:rsid w:val="40273E0D"/>
    <w:rsid w:val="40294F5F"/>
    <w:rsid w:val="402A4ACF"/>
    <w:rsid w:val="40322C2D"/>
    <w:rsid w:val="4033280B"/>
    <w:rsid w:val="40343026"/>
    <w:rsid w:val="40462383"/>
    <w:rsid w:val="404A78DD"/>
    <w:rsid w:val="404B1BED"/>
    <w:rsid w:val="405C77AF"/>
    <w:rsid w:val="4065705B"/>
    <w:rsid w:val="40683405"/>
    <w:rsid w:val="407221FF"/>
    <w:rsid w:val="40845E58"/>
    <w:rsid w:val="409C765F"/>
    <w:rsid w:val="40A62914"/>
    <w:rsid w:val="40A66A51"/>
    <w:rsid w:val="40C750AA"/>
    <w:rsid w:val="40CA4115"/>
    <w:rsid w:val="40CC3F40"/>
    <w:rsid w:val="40CD6321"/>
    <w:rsid w:val="40D26604"/>
    <w:rsid w:val="40DD1A68"/>
    <w:rsid w:val="40F0502E"/>
    <w:rsid w:val="40F22F9E"/>
    <w:rsid w:val="40FA3575"/>
    <w:rsid w:val="40FC7266"/>
    <w:rsid w:val="41023748"/>
    <w:rsid w:val="41035097"/>
    <w:rsid w:val="410A1889"/>
    <w:rsid w:val="410B16EF"/>
    <w:rsid w:val="4117150B"/>
    <w:rsid w:val="41181366"/>
    <w:rsid w:val="413216D3"/>
    <w:rsid w:val="41443D64"/>
    <w:rsid w:val="41490D31"/>
    <w:rsid w:val="415C417C"/>
    <w:rsid w:val="415C4B8E"/>
    <w:rsid w:val="4160157E"/>
    <w:rsid w:val="4168690A"/>
    <w:rsid w:val="41686E62"/>
    <w:rsid w:val="416A0E3B"/>
    <w:rsid w:val="416C2F6D"/>
    <w:rsid w:val="416F3794"/>
    <w:rsid w:val="41717848"/>
    <w:rsid w:val="41816FB0"/>
    <w:rsid w:val="41845174"/>
    <w:rsid w:val="419558CE"/>
    <w:rsid w:val="419874F7"/>
    <w:rsid w:val="41987D0B"/>
    <w:rsid w:val="41A3404D"/>
    <w:rsid w:val="41A8251D"/>
    <w:rsid w:val="41AB5AEF"/>
    <w:rsid w:val="41B97E34"/>
    <w:rsid w:val="41CD52D8"/>
    <w:rsid w:val="41D750DC"/>
    <w:rsid w:val="41DA3647"/>
    <w:rsid w:val="41E032FE"/>
    <w:rsid w:val="41E955AA"/>
    <w:rsid w:val="41EA2076"/>
    <w:rsid w:val="41EA6B81"/>
    <w:rsid w:val="41F11145"/>
    <w:rsid w:val="41F66E4E"/>
    <w:rsid w:val="41F74508"/>
    <w:rsid w:val="41F97720"/>
    <w:rsid w:val="42017CE3"/>
    <w:rsid w:val="4202289F"/>
    <w:rsid w:val="42054128"/>
    <w:rsid w:val="42072215"/>
    <w:rsid w:val="4208661F"/>
    <w:rsid w:val="42125534"/>
    <w:rsid w:val="42144AD4"/>
    <w:rsid w:val="42276692"/>
    <w:rsid w:val="42345E06"/>
    <w:rsid w:val="42347C78"/>
    <w:rsid w:val="42377B97"/>
    <w:rsid w:val="423D3A9E"/>
    <w:rsid w:val="423F2937"/>
    <w:rsid w:val="42444F4E"/>
    <w:rsid w:val="425778E1"/>
    <w:rsid w:val="425865D7"/>
    <w:rsid w:val="425D16F7"/>
    <w:rsid w:val="425E03A5"/>
    <w:rsid w:val="425E0747"/>
    <w:rsid w:val="426869A1"/>
    <w:rsid w:val="4269370D"/>
    <w:rsid w:val="42694E0E"/>
    <w:rsid w:val="427C1F15"/>
    <w:rsid w:val="428223F3"/>
    <w:rsid w:val="428D2914"/>
    <w:rsid w:val="42924041"/>
    <w:rsid w:val="429F2ABC"/>
    <w:rsid w:val="42A30E2C"/>
    <w:rsid w:val="42C14387"/>
    <w:rsid w:val="42CB5B28"/>
    <w:rsid w:val="42FC7811"/>
    <w:rsid w:val="43065F0C"/>
    <w:rsid w:val="430A55F3"/>
    <w:rsid w:val="430A7235"/>
    <w:rsid w:val="430C3A34"/>
    <w:rsid w:val="430F4C31"/>
    <w:rsid w:val="43104C39"/>
    <w:rsid w:val="431052A6"/>
    <w:rsid w:val="43110A35"/>
    <w:rsid w:val="431316A9"/>
    <w:rsid w:val="43284D8F"/>
    <w:rsid w:val="433D462C"/>
    <w:rsid w:val="43507826"/>
    <w:rsid w:val="43545CBE"/>
    <w:rsid w:val="435B52E5"/>
    <w:rsid w:val="436B466C"/>
    <w:rsid w:val="437A6F67"/>
    <w:rsid w:val="437B18AF"/>
    <w:rsid w:val="437D0843"/>
    <w:rsid w:val="43870782"/>
    <w:rsid w:val="43911F54"/>
    <w:rsid w:val="43945F75"/>
    <w:rsid w:val="43A55E7C"/>
    <w:rsid w:val="43AE248D"/>
    <w:rsid w:val="43B35BAD"/>
    <w:rsid w:val="43B55C46"/>
    <w:rsid w:val="43B5612A"/>
    <w:rsid w:val="43B74172"/>
    <w:rsid w:val="43C44A4E"/>
    <w:rsid w:val="43C75473"/>
    <w:rsid w:val="43C829BF"/>
    <w:rsid w:val="43CF3BDF"/>
    <w:rsid w:val="43D96418"/>
    <w:rsid w:val="43EC65F0"/>
    <w:rsid w:val="43F34003"/>
    <w:rsid w:val="43F8634B"/>
    <w:rsid w:val="43FB3A58"/>
    <w:rsid w:val="43FC6EDD"/>
    <w:rsid w:val="43FE1FA9"/>
    <w:rsid w:val="43FF74C3"/>
    <w:rsid w:val="440225A9"/>
    <w:rsid w:val="44095DA6"/>
    <w:rsid w:val="441134BA"/>
    <w:rsid w:val="44120AE0"/>
    <w:rsid w:val="44204BAD"/>
    <w:rsid w:val="44222FDB"/>
    <w:rsid w:val="442951EE"/>
    <w:rsid w:val="44344496"/>
    <w:rsid w:val="444B343E"/>
    <w:rsid w:val="444D254C"/>
    <w:rsid w:val="445A01A7"/>
    <w:rsid w:val="445A43CE"/>
    <w:rsid w:val="445D3A4B"/>
    <w:rsid w:val="446227D7"/>
    <w:rsid w:val="446B02C1"/>
    <w:rsid w:val="44735584"/>
    <w:rsid w:val="44793C3E"/>
    <w:rsid w:val="448D5DB8"/>
    <w:rsid w:val="449B7B8A"/>
    <w:rsid w:val="44A060B2"/>
    <w:rsid w:val="44A51AA3"/>
    <w:rsid w:val="44AF36CF"/>
    <w:rsid w:val="44B7395D"/>
    <w:rsid w:val="44BE6DB2"/>
    <w:rsid w:val="44D911BB"/>
    <w:rsid w:val="44DE23D0"/>
    <w:rsid w:val="44E708AB"/>
    <w:rsid w:val="44E73547"/>
    <w:rsid w:val="44EF6787"/>
    <w:rsid w:val="44F1417B"/>
    <w:rsid w:val="44FB4294"/>
    <w:rsid w:val="45222610"/>
    <w:rsid w:val="4532123D"/>
    <w:rsid w:val="453C1FC5"/>
    <w:rsid w:val="453D23A7"/>
    <w:rsid w:val="45405164"/>
    <w:rsid w:val="454600A2"/>
    <w:rsid w:val="4546734A"/>
    <w:rsid w:val="45477B61"/>
    <w:rsid w:val="45484D2C"/>
    <w:rsid w:val="454B4708"/>
    <w:rsid w:val="45502BEA"/>
    <w:rsid w:val="45582CAB"/>
    <w:rsid w:val="456569F7"/>
    <w:rsid w:val="457019F1"/>
    <w:rsid w:val="45791ADB"/>
    <w:rsid w:val="4580055A"/>
    <w:rsid w:val="45801B9A"/>
    <w:rsid w:val="45825359"/>
    <w:rsid w:val="45853741"/>
    <w:rsid w:val="458551C6"/>
    <w:rsid w:val="45855E9B"/>
    <w:rsid w:val="458A38DA"/>
    <w:rsid w:val="45901303"/>
    <w:rsid w:val="459A7709"/>
    <w:rsid w:val="45BB12B4"/>
    <w:rsid w:val="45C07176"/>
    <w:rsid w:val="45C22B11"/>
    <w:rsid w:val="45C40CF1"/>
    <w:rsid w:val="45C7324C"/>
    <w:rsid w:val="45CA2142"/>
    <w:rsid w:val="45CF6FE6"/>
    <w:rsid w:val="45D36AA0"/>
    <w:rsid w:val="45D80932"/>
    <w:rsid w:val="45DA4AF1"/>
    <w:rsid w:val="45E3144D"/>
    <w:rsid w:val="45F15CCF"/>
    <w:rsid w:val="45F90B02"/>
    <w:rsid w:val="45FD643C"/>
    <w:rsid w:val="4601278A"/>
    <w:rsid w:val="460551BB"/>
    <w:rsid w:val="460807AA"/>
    <w:rsid w:val="460D2E7A"/>
    <w:rsid w:val="46105157"/>
    <w:rsid w:val="461610F6"/>
    <w:rsid w:val="4621769E"/>
    <w:rsid w:val="464523D6"/>
    <w:rsid w:val="46482343"/>
    <w:rsid w:val="464B61C6"/>
    <w:rsid w:val="465364F1"/>
    <w:rsid w:val="465B045A"/>
    <w:rsid w:val="465C6464"/>
    <w:rsid w:val="466A21A6"/>
    <w:rsid w:val="466C27B5"/>
    <w:rsid w:val="467416E9"/>
    <w:rsid w:val="46775747"/>
    <w:rsid w:val="467A0BB9"/>
    <w:rsid w:val="467B3CF3"/>
    <w:rsid w:val="467D4BD0"/>
    <w:rsid w:val="467F060C"/>
    <w:rsid w:val="46817CD6"/>
    <w:rsid w:val="46900685"/>
    <w:rsid w:val="46A0464B"/>
    <w:rsid w:val="46A10B7A"/>
    <w:rsid w:val="46AF508A"/>
    <w:rsid w:val="46B01609"/>
    <w:rsid w:val="46B876F4"/>
    <w:rsid w:val="46C00785"/>
    <w:rsid w:val="46C04479"/>
    <w:rsid w:val="46C05B3F"/>
    <w:rsid w:val="46C33871"/>
    <w:rsid w:val="46E94D99"/>
    <w:rsid w:val="46F51AA8"/>
    <w:rsid w:val="46F67E99"/>
    <w:rsid w:val="46FB49DC"/>
    <w:rsid w:val="470075FB"/>
    <w:rsid w:val="47017980"/>
    <w:rsid w:val="47057DF1"/>
    <w:rsid w:val="47060B41"/>
    <w:rsid w:val="470B44B4"/>
    <w:rsid w:val="470E02AC"/>
    <w:rsid w:val="47173C04"/>
    <w:rsid w:val="471E6A4F"/>
    <w:rsid w:val="471F553B"/>
    <w:rsid w:val="472410E3"/>
    <w:rsid w:val="472419C8"/>
    <w:rsid w:val="47254111"/>
    <w:rsid w:val="47294018"/>
    <w:rsid w:val="474B2C24"/>
    <w:rsid w:val="474C4E9C"/>
    <w:rsid w:val="474C591F"/>
    <w:rsid w:val="475E59EA"/>
    <w:rsid w:val="47637BA7"/>
    <w:rsid w:val="477A3E8E"/>
    <w:rsid w:val="4780351F"/>
    <w:rsid w:val="478A1520"/>
    <w:rsid w:val="478B5E04"/>
    <w:rsid w:val="47917722"/>
    <w:rsid w:val="47A75FA1"/>
    <w:rsid w:val="47A83221"/>
    <w:rsid w:val="47B11914"/>
    <w:rsid w:val="47B57546"/>
    <w:rsid w:val="47C3155A"/>
    <w:rsid w:val="47C42D10"/>
    <w:rsid w:val="47CE4C7D"/>
    <w:rsid w:val="47D16B2E"/>
    <w:rsid w:val="47D34163"/>
    <w:rsid w:val="47D35790"/>
    <w:rsid w:val="47F7474E"/>
    <w:rsid w:val="480464DE"/>
    <w:rsid w:val="4809385D"/>
    <w:rsid w:val="480C6B98"/>
    <w:rsid w:val="48160EBD"/>
    <w:rsid w:val="48176AAA"/>
    <w:rsid w:val="481B58D0"/>
    <w:rsid w:val="481E4F70"/>
    <w:rsid w:val="481F684B"/>
    <w:rsid w:val="4820195D"/>
    <w:rsid w:val="482136D6"/>
    <w:rsid w:val="482252E7"/>
    <w:rsid w:val="482B5ECF"/>
    <w:rsid w:val="4842688A"/>
    <w:rsid w:val="48435B96"/>
    <w:rsid w:val="484569E9"/>
    <w:rsid w:val="484622AA"/>
    <w:rsid w:val="48474CBD"/>
    <w:rsid w:val="484D5CE1"/>
    <w:rsid w:val="485151BB"/>
    <w:rsid w:val="485435FA"/>
    <w:rsid w:val="4859093F"/>
    <w:rsid w:val="485D2F2D"/>
    <w:rsid w:val="48742F00"/>
    <w:rsid w:val="487E6FFC"/>
    <w:rsid w:val="488013D8"/>
    <w:rsid w:val="488C78BF"/>
    <w:rsid w:val="48946541"/>
    <w:rsid w:val="48B34706"/>
    <w:rsid w:val="48BC5F09"/>
    <w:rsid w:val="48BE1F95"/>
    <w:rsid w:val="48C227BA"/>
    <w:rsid w:val="48C63320"/>
    <w:rsid w:val="48CE37E6"/>
    <w:rsid w:val="48D41966"/>
    <w:rsid w:val="48DA7D4F"/>
    <w:rsid w:val="48EB30B5"/>
    <w:rsid w:val="48F02846"/>
    <w:rsid w:val="48F84A3C"/>
    <w:rsid w:val="48FA6C7D"/>
    <w:rsid w:val="48FB3AF8"/>
    <w:rsid w:val="48FD46B7"/>
    <w:rsid w:val="48FD5187"/>
    <w:rsid w:val="49050CAD"/>
    <w:rsid w:val="4906782A"/>
    <w:rsid w:val="49077251"/>
    <w:rsid w:val="49167EA7"/>
    <w:rsid w:val="491D05DF"/>
    <w:rsid w:val="491F23FF"/>
    <w:rsid w:val="49201912"/>
    <w:rsid w:val="4923253B"/>
    <w:rsid w:val="492B7D0F"/>
    <w:rsid w:val="49352C9B"/>
    <w:rsid w:val="49395F0F"/>
    <w:rsid w:val="493A7EE8"/>
    <w:rsid w:val="49407735"/>
    <w:rsid w:val="49500F46"/>
    <w:rsid w:val="495039F0"/>
    <w:rsid w:val="495F0611"/>
    <w:rsid w:val="49602898"/>
    <w:rsid w:val="4970134C"/>
    <w:rsid w:val="49706D97"/>
    <w:rsid w:val="4977314E"/>
    <w:rsid w:val="497E05A8"/>
    <w:rsid w:val="498225C8"/>
    <w:rsid w:val="498248ED"/>
    <w:rsid w:val="498B4939"/>
    <w:rsid w:val="4990680C"/>
    <w:rsid w:val="49B331EA"/>
    <w:rsid w:val="49BE6C6F"/>
    <w:rsid w:val="49D15D84"/>
    <w:rsid w:val="49D96DED"/>
    <w:rsid w:val="49E441E2"/>
    <w:rsid w:val="49E65892"/>
    <w:rsid w:val="49ED5B47"/>
    <w:rsid w:val="49EF7B64"/>
    <w:rsid w:val="49FC2B99"/>
    <w:rsid w:val="4A0566A2"/>
    <w:rsid w:val="4A0B5513"/>
    <w:rsid w:val="4A1D4168"/>
    <w:rsid w:val="4A21503A"/>
    <w:rsid w:val="4A2638AF"/>
    <w:rsid w:val="4A295A54"/>
    <w:rsid w:val="4A2D2BE4"/>
    <w:rsid w:val="4A3D1372"/>
    <w:rsid w:val="4A5D6430"/>
    <w:rsid w:val="4A624ED3"/>
    <w:rsid w:val="4A637955"/>
    <w:rsid w:val="4A660564"/>
    <w:rsid w:val="4A673438"/>
    <w:rsid w:val="4A6A6669"/>
    <w:rsid w:val="4A6D75F5"/>
    <w:rsid w:val="4A75006D"/>
    <w:rsid w:val="4A7579D8"/>
    <w:rsid w:val="4A774094"/>
    <w:rsid w:val="4A80346C"/>
    <w:rsid w:val="4A811C6A"/>
    <w:rsid w:val="4A861B98"/>
    <w:rsid w:val="4A951F1B"/>
    <w:rsid w:val="4AA1152F"/>
    <w:rsid w:val="4AA161F2"/>
    <w:rsid w:val="4AAB28DE"/>
    <w:rsid w:val="4ABC535F"/>
    <w:rsid w:val="4AC07F8F"/>
    <w:rsid w:val="4AC25450"/>
    <w:rsid w:val="4ACA40E7"/>
    <w:rsid w:val="4AD7068A"/>
    <w:rsid w:val="4AD75757"/>
    <w:rsid w:val="4AE87763"/>
    <w:rsid w:val="4AF37469"/>
    <w:rsid w:val="4AFE3E80"/>
    <w:rsid w:val="4B164768"/>
    <w:rsid w:val="4B1B0C83"/>
    <w:rsid w:val="4B1B794C"/>
    <w:rsid w:val="4B1C2E55"/>
    <w:rsid w:val="4B2012ED"/>
    <w:rsid w:val="4B2E1E22"/>
    <w:rsid w:val="4B312038"/>
    <w:rsid w:val="4B350574"/>
    <w:rsid w:val="4B353F1B"/>
    <w:rsid w:val="4B3625D7"/>
    <w:rsid w:val="4B481ACB"/>
    <w:rsid w:val="4B567239"/>
    <w:rsid w:val="4B570779"/>
    <w:rsid w:val="4B5B6D67"/>
    <w:rsid w:val="4B60444C"/>
    <w:rsid w:val="4B67055E"/>
    <w:rsid w:val="4B7504E2"/>
    <w:rsid w:val="4B8502B7"/>
    <w:rsid w:val="4B876623"/>
    <w:rsid w:val="4B901A3F"/>
    <w:rsid w:val="4B9201F5"/>
    <w:rsid w:val="4B9F5FE4"/>
    <w:rsid w:val="4BAE20E4"/>
    <w:rsid w:val="4BAF3150"/>
    <w:rsid w:val="4BAF5523"/>
    <w:rsid w:val="4BB32C9E"/>
    <w:rsid w:val="4BB5500A"/>
    <w:rsid w:val="4BB84D14"/>
    <w:rsid w:val="4BCC6C16"/>
    <w:rsid w:val="4BDA7BFC"/>
    <w:rsid w:val="4BDE2069"/>
    <w:rsid w:val="4BDF77A8"/>
    <w:rsid w:val="4BF553FF"/>
    <w:rsid w:val="4BFB073B"/>
    <w:rsid w:val="4BFE7069"/>
    <w:rsid w:val="4C07302B"/>
    <w:rsid w:val="4C0B2386"/>
    <w:rsid w:val="4C2744F4"/>
    <w:rsid w:val="4C296917"/>
    <w:rsid w:val="4C2A4D76"/>
    <w:rsid w:val="4C2E5407"/>
    <w:rsid w:val="4C307622"/>
    <w:rsid w:val="4C3C3C58"/>
    <w:rsid w:val="4C483B0E"/>
    <w:rsid w:val="4C524267"/>
    <w:rsid w:val="4C5260E7"/>
    <w:rsid w:val="4C54106F"/>
    <w:rsid w:val="4C5927E4"/>
    <w:rsid w:val="4C8C1845"/>
    <w:rsid w:val="4C8D2D45"/>
    <w:rsid w:val="4C905E16"/>
    <w:rsid w:val="4C961325"/>
    <w:rsid w:val="4C9E4260"/>
    <w:rsid w:val="4CA5016D"/>
    <w:rsid w:val="4CA843B8"/>
    <w:rsid w:val="4CB31EC8"/>
    <w:rsid w:val="4CC26265"/>
    <w:rsid w:val="4CD01503"/>
    <w:rsid w:val="4CEE41F8"/>
    <w:rsid w:val="4CF63519"/>
    <w:rsid w:val="4D055698"/>
    <w:rsid w:val="4D0611AF"/>
    <w:rsid w:val="4D0F29E3"/>
    <w:rsid w:val="4D1406C0"/>
    <w:rsid w:val="4D156152"/>
    <w:rsid w:val="4D1644A2"/>
    <w:rsid w:val="4D1C331F"/>
    <w:rsid w:val="4D28647C"/>
    <w:rsid w:val="4D304CE7"/>
    <w:rsid w:val="4D31456F"/>
    <w:rsid w:val="4D381FAE"/>
    <w:rsid w:val="4D4D449A"/>
    <w:rsid w:val="4D513EF1"/>
    <w:rsid w:val="4D530241"/>
    <w:rsid w:val="4D6131DF"/>
    <w:rsid w:val="4D7D60F2"/>
    <w:rsid w:val="4D9925A0"/>
    <w:rsid w:val="4D997446"/>
    <w:rsid w:val="4D9E569F"/>
    <w:rsid w:val="4DAC3BC5"/>
    <w:rsid w:val="4DAE33E7"/>
    <w:rsid w:val="4DB02907"/>
    <w:rsid w:val="4DB637CE"/>
    <w:rsid w:val="4DC0338C"/>
    <w:rsid w:val="4DC25EA9"/>
    <w:rsid w:val="4DC35AA8"/>
    <w:rsid w:val="4DD83BC4"/>
    <w:rsid w:val="4DF10760"/>
    <w:rsid w:val="4E0F0A30"/>
    <w:rsid w:val="4E1127B9"/>
    <w:rsid w:val="4E123098"/>
    <w:rsid w:val="4E130B54"/>
    <w:rsid w:val="4E1B569E"/>
    <w:rsid w:val="4E1D546A"/>
    <w:rsid w:val="4E1F74A3"/>
    <w:rsid w:val="4E2161A7"/>
    <w:rsid w:val="4E22096F"/>
    <w:rsid w:val="4E2B0E45"/>
    <w:rsid w:val="4E493F5E"/>
    <w:rsid w:val="4E4D51E5"/>
    <w:rsid w:val="4E515574"/>
    <w:rsid w:val="4E516FF8"/>
    <w:rsid w:val="4E577ACC"/>
    <w:rsid w:val="4E5D2B87"/>
    <w:rsid w:val="4E61632A"/>
    <w:rsid w:val="4E66734D"/>
    <w:rsid w:val="4E6A17B3"/>
    <w:rsid w:val="4E7B3534"/>
    <w:rsid w:val="4E7D229F"/>
    <w:rsid w:val="4E8870CF"/>
    <w:rsid w:val="4E8B072C"/>
    <w:rsid w:val="4E8E7451"/>
    <w:rsid w:val="4E8F502C"/>
    <w:rsid w:val="4E914B9B"/>
    <w:rsid w:val="4E9A5B0F"/>
    <w:rsid w:val="4EA66C09"/>
    <w:rsid w:val="4EB628A4"/>
    <w:rsid w:val="4EC06A0D"/>
    <w:rsid w:val="4EC8761A"/>
    <w:rsid w:val="4ECC4D51"/>
    <w:rsid w:val="4ECE7731"/>
    <w:rsid w:val="4ED05DD6"/>
    <w:rsid w:val="4ED665E7"/>
    <w:rsid w:val="4EDF376B"/>
    <w:rsid w:val="4EF17EE5"/>
    <w:rsid w:val="4EFA0B92"/>
    <w:rsid w:val="4EFB3BBD"/>
    <w:rsid w:val="4EFF5071"/>
    <w:rsid w:val="4F014E1D"/>
    <w:rsid w:val="4F017FF6"/>
    <w:rsid w:val="4F047E64"/>
    <w:rsid w:val="4F063A0B"/>
    <w:rsid w:val="4F0A4221"/>
    <w:rsid w:val="4F0D4CCC"/>
    <w:rsid w:val="4F0E2788"/>
    <w:rsid w:val="4F107C57"/>
    <w:rsid w:val="4F13186D"/>
    <w:rsid w:val="4F30219D"/>
    <w:rsid w:val="4F440C33"/>
    <w:rsid w:val="4F4659F0"/>
    <w:rsid w:val="4F4835FB"/>
    <w:rsid w:val="4F4C3E78"/>
    <w:rsid w:val="4F4C5721"/>
    <w:rsid w:val="4F5128E1"/>
    <w:rsid w:val="4F526C80"/>
    <w:rsid w:val="4F630935"/>
    <w:rsid w:val="4F6775E4"/>
    <w:rsid w:val="4F6D3302"/>
    <w:rsid w:val="4F77408D"/>
    <w:rsid w:val="4F7B3317"/>
    <w:rsid w:val="4F7F3C30"/>
    <w:rsid w:val="4F804C9A"/>
    <w:rsid w:val="4F870B06"/>
    <w:rsid w:val="4F9E7BDE"/>
    <w:rsid w:val="4F9F20A5"/>
    <w:rsid w:val="4FA41C5B"/>
    <w:rsid w:val="4FA47D95"/>
    <w:rsid w:val="4FAB565E"/>
    <w:rsid w:val="4FB412EA"/>
    <w:rsid w:val="4FBE7234"/>
    <w:rsid w:val="4FC32F05"/>
    <w:rsid w:val="4FD72871"/>
    <w:rsid w:val="4FE21EDC"/>
    <w:rsid w:val="4FE419CE"/>
    <w:rsid w:val="4FE616BB"/>
    <w:rsid w:val="4FF01B09"/>
    <w:rsid w:val="4FF946C7"/>
    <w:rsid w:val="4FF94900"/>
    <w:rsid w:val="50094D4F"/>
    <w:rsid w:val="500D070E"/>
    <w:rsid w:val="502A3165"/>
    <w:rsid w:val="50301046"/>
    <w:rsid w:val="50304DD0"/>
    <w:rsid w:val="50362872"/>
    <w:rsid w:val="503A34B1"/>
    <w:rsid w:val="503C4584"/>
    <w:rsid w:val="503E5A15"/>
    <w:rsid w:val="504A73D2"/>
    <w:rsid w:val="504C05B4"/>
    <w:rsid w:val="504F30C9"/>
    <w:rsid w:val="50570E10"/>
    <w:rsid w:val="505919F5"/>
    <w:rsid w:val="505B0EE4"/>
    <w:rsid w:val="506107D9"/>
    <w:rsid w:val="50616D46"/>
    <w:rsid w:val="507B0E89"/>
    <w:rsid w:val="507C20FC"/>
    <w:rsid w:val="507F0A30"/>
    <w:rsid w:val="508448E4"/>
    <w:rsid w:val="508C009A"/>
    <w:rsid w:val="508E76EB"/>
    <w:rsid w:val="5093138D"/>
    <w:rsid w:val="50945EAB"/>
    <w:rsid w:val="509767A2"/>
    <w:rsid w:val="509A6EA1"/>
    <w:rsid w:val="509F1447"/>
    <w:rsid w:val="50AE5DFE"/>
    <w:rsid w:val="50B26FE2"/>
    <w:rsid w:val="50B817FF"/>
    <w:rsid w:val="50C55AFE"/>
    <w:rsid w:val="50CF59F6"/>
    <w:rsid w:val="50D15111"/>
    <w:rsid w:val="50DD45C5"/>
    <w:rsid w:val="50EB6AB9"/>
    <w:rsid w:val="50EF0EA9"/>
    <w:rsid w:val="50EF1AB0"/>
    <w:rsid w:val="51064320"/>
    <w:rsid w:val="510E3376"/>
    <w:rsid w:val="511B1621"/>
    <w:rsid w:val="51240CF1"/>
    <w:rsid w:val="51293BDD"/>
    <w:rsid w:val="51391A27"/>
    <w:rsid w:val="513930FB"/>
    <w:rsid w:val="513C0381"/>
    <w:rsid w:val="513E41A7"/>
    <w:rsid w:val="51412678"/>
    <w:rsid w:val="514C05AA"/>
    <w:rsid w:val="514E0BE3"/>
    <w:rsid w:val="515D4421"/>
    <w:rsid w:val="515D5ECD"/>
    <w:rsid w:val="516300A5"/>
    <w:rsid w:val="5182239F"/>
    <w:rsid w:val="519C61DD"/>
    <w:rsid w:val="51A44A95"/>
    <w:rsid w:val="51A97DC4"/>
    <w:rsid w:val="51AB2828"/>
    <w:rsid w:val="51AC41BA"/>
    <w:rsid w:val="51AE133D"/>
    <w:rsid w:val="51B27AEE"/>
    <w:rsid w:val="51BC204B"/>
    <w:rsid w:val="51CC6F2E"/>
    <w:rsid w:val="51CE416C"/>
    <w:rsid w:val="51DF1C29"/>
    <w:rsid w:val="51E26DF6"/>
    <w:rsid w:val="51E279EE"/>
    <w:rsid w:val="51FA0F07"/>
    <w:rsid w:val="52026112"/>
    <w:rsid w:val="521815D7"/>
    <w:rsid w:val="521A1642"/>
    <w:rsid w:val="521C7E36"/>
    <w:rsid w:val="52241694"/>
    <w:rsid w:val="522F79E2"/>
    <w:rsid w:val="52383E94"/>
    <w:rsid w:val="523A5673"/>
    <w:rsid w:val="523E12B7"/>
    <w:rsid w:val="52440E04"/>
    <w:rsid w:val="525824EC"/>
    <w:rsid w:val="525E3943"/>
    <w:rsid w:val="525F2D53"/>
    <w:rsid w:val="52604D8C"/>
    <w:rsid w:val="52631544"/>
    <w:rsid w:val="52651388"/>
    <w:rsid w:val="526C7420"/>
    <w:rsid w:val="52736F6F"/>
    <w:rsid w:val="52805C53"/>
    <w:rsid w:val="528762CA"/>
    <w:rsid w:val="5288594B"/>
    <w:rsid w:val="528B3111"/>
    <w:rsid w:val="528E6060"/>
    <w:rsid w:val="528F748A"/>
    <w:rsid w:val="52936D85"/>
    <w:rsid w:val="52961AF7"/>
    <w:rsid w:val="52A07821"/>
    <w:rsid w:val="52A54C25"/>
    <w:rsid w:val="52A804D2"/>
    <w:rsid w:val="52AD5DBF"/>
    <w:rsid w:val="52B16163"/>
    <w:rsid w:val="52B96402"/>
    <w:rsid w:val="52BA18DD"/>
    <w:rsid w:val="52BE38B0"/>
    <w:rsid w:val="52BF30B7"/>
    <w:rsid w:val="52C16118"/>
    <w:rsid w:val="52C553EC"/>
    <w:rsid w:val="52CF48A6"/>
    <w:rsid w:val="52D0615C"/>
    <w:rsid w:val="52D7576D"/>
    <w:rsid w:val="52E51B1C"/>
    <w:rsid w:val="52EA6182"/>
    <w:rsid w:val="52EB6192"/>
    <w:rsid w:val="52FD5BB4"/>
    <w:rsid w:val="52FF4E50"/>
    <w:rsid w:val="53080DD1"/>
    <w:rsid w:val="530F6B8C"/>
    <w:rsid w:val="53185AE9"/>
    <w:rsid w:val="531A75E1"/>
    <w:rsid w:val="53200135"/>
    <w:rsid w:val="53203A05"/>
    <w:rsid w:val="53282FC7"/>
    <w:rsid w:val="532A3B15"/>
    <w:rsid w:val="532D5EAE"/>
    <w:rsid w:val="53491E6F"/>
    <w:rsid w:val="534E3F79"/>
    <w:rsid w:val="53535714"/>
    <w:rsid w:val="53575B42"/>
    <w:rsid w:val="535A5814"/>
    <w:rsid w:val="535E2181"/>
    <w:rsid w:val="535F584B"/>
    <w:rsid w:val="53683893"/>
    <w:rsid w:val="53786C62"/>
    <w:rsid w:val="537B0DE5"/>
    <w:rsid w:val="53807837"/>
    <w:rsid w:val="5386570C"/>
    <w:rsid w:val="538C0881"/>
    <w:rsid w:val="539059CA"/>
    <w:rsid w:val="539461BF"/>
    <w:rsid w:val="539A6CBE"/>
    <w:rsid w:val="53A15DCF"/>
    <w:rsid w:val="53B339F3"/>
    <w:rsid w:val="53B455AD"/>
    <w:rsid w:val="53C0160F"/>
    <w:rsid w:val="53C11125"/>
    <w:rsid w:val="53C5222E"/>
    <w:rsid w:val="53C87B58"/>
    <w:rsid w:val="53D36BC5"/>
    <w:rsid w:val="53D76D9A"/>
    <w:rsid w:val="53DA5C32"/>
    <w:rsid w:val="53E0627B"/>
    <w:rsid w:val="53E65F68"/>
    <w:rsid w:val="53EF457B"/>
    <w:rsid w:val="53F973C0"/>
    <w:rsid w:val="54052830"/>
    <w:rsid w:val="54056806"/>
    <w:rsid w:val="5406690C"/>
    <w:rsid w:val="5407648A"/>
    <w:rsid w:val="541917E4"/>
    <w:rsid w:val="5425714F"/>
    <w:rsid w:val="542B1566"/>
    <w:rsid w:val="54370BC9"/>
    <w:rsid w:val="54376309"/>
    <w:rsid w:val="543A1313"/>
    <w:rsid w:val="54451CE7"/>
    <w:rsid w:val="54581B22"/>
    <w:rsid w:val="545A257A"/>
    <w:rsid w:val="5466745D"/>
    <w:rsid w:val="546B24BE"/>
    <w:rsid w:val="54802C70"/>
    <w:rsid w:val="54827BA6"/>
    <w:rsid w:val="548916C3"/>
    <w:rsid w:val="54916076"/>
    <w:rsid w:val="549664CC"/>
    <w:rsid w:val="54967F1F"/>
    <w:rsid w:val="549F5578"/>
    <w:rsid w:val="54A5655E"/>
    <w:rsid w:val="54AF3BF2"/>
    <w:rsid w:val="54BB29BB"/>
    <w:rsid w:val="54C00160"/>
    <w:rsid w:val="54C42EBE"/>
    <w:rsid w:val="54C475D8"/>
    <w:rsid w:val="54D02905"/>
    <w:rsid w:val="54D17021"/>
    <w:rsid w:val="54D259B9"/>
    <w:rsid w:val="54D85725"/>
    <w:rsid w:val="54DB08C2"/>
    <w:rsid w:val="54E036DE"/>
    <w:rsid w:val="54E2261D"/>
    <w:rsid w:val="54FB040C"/>
    <w:rsid w:val="55144BA1"/>
    <w:rsid w:val="55166813"/>
    <w:rsid w:val="5524410A"/>
    <w:rsid w:val="5526089D"/>
    <w:rsid w:val="55263C99"/>
    <w:rsid w:val="55265534"/>
    <w:rsid w:val="552C3046"/>
    <w:rsid w:val="552F4820"/>
    <w:rsid w:val="55343C3E"/>
    <w:rsid w:val="5535568B"/>
    <w:rsid w:val="553879A9"/>
    <w:rsid w:val="553F2BC3"/>
    <w:rsid w:val="55404587"/>
    <w:rsid w:val="55425B3F"/>
    <w:rsid w:val="5544059B"/>
    <w:rsid w:val="55481F5E"/>
    <w:rsid w:val="555D37A4"/>
    <w:rsid w:val="555F2934"/>
    <w:rsid w:val="556E18A4"/>
    <w:rsid w:val="55701EBB"/>
    <w:rsid w:val="5576250F"/>
    <w:rsid w:val="55895628"/>
    <w:rsid w:val="55961970"/>
    <w:rsid w:val="55964831"/>
    <w:rsid w:val="55AB64D4"/>
    <w:rsid w:val="55B32D2C"/>
    <w:rsid w:val="55BE7737"/>
    <w:rsid w:val="55C574EB"/>
    <w:rsid w:val="55D354BA"/>
    <w:rsid w:val="55D630CC"/>
    <w:rsid w:val="55D852D7"/>
    <w:rsid w:val="55E12AEC"/>
    <w:rsid w:val="55E259AB"/>
    <w:rsid w:val="55E758A5"/>
    <w:rsid w:val="55E77E72"/>
    <w:rsid w:val="55EE7BC2"/>
    <w:rsid w:val="560D7C9D"/>
    <w:rsid w:val="5613322F"/>
    <w:rsid w:val="562130E7"/>
    <w:rsid w:val="5625457A"/>
    <w:rsid w:val="56430414"/>
    <w:rsid w:val="564369D4"/>
    <w:rsid w:val="564E389C"/>
    <w:rsid w:val="566A2D9F"/>
    <w:rsid w:val="56706195"/>
    <w:rsid w:val="567121BB"/>
    <w:rsid w:val="56713E1B"/>
    <w:rsid w:val="56757C77"/>
    <w:rsid w:val="567C07A2"/>
    <w:rsid w:val="5683552C"/>
    <w:rsid w:val="568E1F75"/>
    <w:rsid w:val="56934061"/>
    <w:rsid w:val="569E38BC"/>
    <w:rsid w:val="56A67859"/>
    <w:rsid w:val="56AB6CE7"/>
    <w:rsid w:val="56CE5CDD"/>
    <w:rsid w:val="56D166C6"/>
    <w:rsid w:val="56D30415"/>
    <w:rsid w:val="56D90A1C"/>
    <w:rsid w:val="56F63737"/>
    <w:rsid w:val="56FB0C90"/>
    <w:rsid w:val="570715D3"/>
    <w:rsid w:val="57091BA0"/>
    <w:rsid w:val="570A0786"/>
    <w:rsid w:val="57113508"/>
    <w:rsid w:val="57195E4E"/>
    <w:rsid w:val="571E672C"/>
    <w:rsid w:val="572B6A33"/>
    <w:rsid w:val="572D6739"/>
    <w:rsid w:val="572F3396"/>
    <w:rsid w:val="573539BC"/>
    <w:rsid w:val="573E41A1"/>
    <w:rsid w:val="57420CB1"/>
    <w:rsid w:val="57422C03"/>
    <w:rsid w:val="574E2899"/>
    <w:rsid w:val="575F569B"/>
    <w:rsid w:val="576601E8"/>
    <w:rsid w:val="577730E6"/>
    <w:rsid w:val="57800635"/>
    <w:rsid w:val="57824DD9"/>
    <w:rsid w:val="578F0FF5"/>
    <w:rsid w:val="579A7467"/>
    <w:rsid w:val="57A3766E"/>
    <w:rsid w:val="57A56228"/>
    <w:rsid w:val="57AB2255"/>
    <w:rsid w:val="57B26DB8"/>
    <w:rsid w:val="57BF711C"/>
    <w:rsid w:val="57C1149D"/>
    <w:rsid w:val="57D0394B"/>
    <w:rsid w:val="57D04C48"/>
    <w:rsid w:val="57D637F4"/>
    <w:rsid w:val="57DA09E5"/>
    <w:rsid w:val="57E205DF"/>
    <w:rsid w:val="57EA2CD5"/>
    <w:rsid w:val="57F27BD1"/>
    <w:rsid w:val="581069B0"/>
    <w:rsid w:val="58160F11"/>
    <w:rsid w:val="58203538"/>
    <w:rsid w:val="582673BB"/>
    <w:rsid w:val="58286ACC"/>
    <w:rsid w:val="582B382E"/>
    <w:rsid w:val="584078BF"/>
    <w:rsid w:val="584132E2"/>
    <w:rsid w:val="58486C8A"/>
    <w:rsid w:val="585404B6"/>
    <w:rsid w:val="585846F7"/>
    <w:rsid w:val="58714D0C"/>
    <w:rsid w:val="58735A72"/>
    <w:rsid w:val="58790811"/>
    <w:rsid w:val="587D2A70"/>
    <w:rsid w:val="587F1506"/>
    <w:rsid w:val="58974DAF"/>
    <w:rsid w:val="58980101"/>
    <w:rsid w:val="589F0979"/>
    <w:rsid w:val="58B23A18"/>
    <w:rsid w:val="58B60599"/>
    <w:rsid w:val="58B9446F"/>
    <w:rsid w:val="58C1740E"/>
    <w:rsid w:val="58CA58DB"/>
    <w:rsid w:val="58CC28C6"/>
    <w:rsid w:val="58D318CE"/>
    <w:rsid w:val="58D4378A"/>
    <w:rsid w:val="58DB496E"/>
    <w:rsid w:val="58E10F5B"/>
    <w:rsid w:val="58E15131"/>
    <w:rsid w:val="58ED389D"/>
    <w:rsid w:val="58F854CF"/>
    <w:rsid w:val="590B6EA3"/>
    <w:rsid w:val="590E7108"/>
    <w:rsid w:val="591E71F3"/>
    <w:rsid w:val="59234493"/>
    <w:rsid w:val="59326FEE"/>
    <w:rsid w:val="5934056F"/>
    <w:rsid w:val="593B549E"/>
    <w:rsid w:val="593F6ED8"/>
    <w:rsid w:val="59403FCA"/>
    <w:rsid w:val="59443166"/>
    <w:rsid w:val="59456ACA"/>
    <w:rsid w:val="594C4E95"/>
    <w:rsid w:val="594F61F2"/>
    <w:rsid w:val="595A13EA"/>
    <w:rsid w:val="596360E9"/>
    <w:rsid w:val="5966599C"/>
    <w:rsid w:val="59674838"/>
    <w:rsid w:val="596B4DF3"/>
    <w:rsid w:val="59850197"/>
    <w:rsid w:val="598D733D"/>
    <w:rsid w:val="59983264"/>
    <w:rsid w:val="599D6CAE"/>
    <w:rsid w:val="599E126A"/>
    <w:rsid w:val="599E3F51"/>
    <w:rsid w:val="59A624EE"/>
    <w:rsid w:val="59AD3D41"/>
    <w:rsid w:val="59B21091"/>
    <w:rsid w:val="59B43A6D"/>
    <w:rsid w:val="59B77E53"/>
    <w:rsid w:val="59BE0C4D"/>
    <w:rsid w:val="59C036EB"/>
    <w:rsid w:val="59C2663D"/>
    <w:rsid w:val="59C40D50"/>
    <w:rsid w:val="59C83E39"/>
    <w:rsid w:val="59CB12E1"/>
    <w:rsid w:val="59CE5EE3"/>
    <w:rsid w:val="59E40810"/>
    <w:rsid w:val="59E61E83"/>
    <w:rsid w:val="59ED069E"/>
    <w:rsid w:val="5A02136F"/>
    <w:rsid w:val="5A091F29"/>
    <w:rsid w:val="5A0A78CC"/>
    <w:rsid w:val="5A140085"/>
    <w:rsid w:val="5A1A3A36"/>
    <w:rsid w:val="5A244EBC"/>
    <w:rsid w:val="5A295926"/>
    <w:rsid w:val="5A2D4BBE"/>
    <w:rsid w:val="5A351CBF"/>
    <w:rsid w:val="5A3B1E37"/>
    <w:rsid w:val="5A3D6F53"/>
    <w:rsid w:val="5A4243E1"/>
    <w:rsid w:val="5A57791D"/>
    <w:rsid w:val="5A5F4B40"/>
    <w:rsid w:val="5A656D3A"/>
    <w:rsid w:val="5A7279BE"/>
    <w:rsid w:val="5A730650"/>
    <w:rsid w:val="5A7866EC"/>
    <w:rsid w:val="5A7D2384"/>
    <w:rsid w:val="5A860FFF"/>
    <w:rsid w:val="5A992DA6"/>
    <w:rsid w:val="5A9A4E1F"/>
    <w:rsid w:val="5A9D5BD0"/>
    <w:rsid w:val="5AA0544C"/>
    <w:rsid w:val="5AA20697"/>
    <w:rsid w:val="5AA610E0"/>
    <w:rsid w:val="5AAC68A2"/>
    <w:rsid w:val="5AAE5738"/>
    <w:rsid w:val="5AAF6137"/>
    <w:rsid w:val="5ABC4BD3"/>
    <w:rsid w:val="5AC441D8"/>
    <w:rsid w:val="5ACA47EA"/>
    <w:rsid w:val="5ACA66AB"/>
    <w:rsid w:val="5AD62E54"/>
    <w:rsid w:val="5AD847ED"/>
    <w:rsid w:val="5ADE746F"/>
    <w:rsid w:val="5AEF4800"/>
    <w:rsid w:val="5AF357FC"/>
    <w:rsid w:val="5AFF1940"/>
    <w:rsid w:val="5AFF1BCC"/>
    <w:rsid w:val="5B0E6E96"/>
    <w:rsid w:val="5B1A3272"/>
    <w:rsid w:val="5B1E65E4"/>
    <w:rsid w:val="5B203151"/>
    <w:rsid w:val="5B2566E8"/>
    <w:rsid w:val="5B273110"/>
    <w:rsid w:val="5B2C31A6"/>
    <w:rsid w:val="5B3055CC"/>
    <w:rsid w:val="5B4851B9"/>
    <w:rsid w:val="5B520175"/>
    <w:rsid w:val="5B5D69D1"/>
    <w:rsid w:val="5B767FEE"/>
    <w:rsid w:val="5B7F5E9B"/>
    <w:rsid w:val="5B8C1028"/>
    <w:rsid w:val="5B90545F"/>
    <w:rsid w:val="5B927A12"/>
    <w:rsid w:val="5BA32ED6"/>
    <w:rsid w:val="5BA368C5"/>
    <w:rsid w:val="5BA57638"/>
    <w:rsid w:val="5BAF6589"/>
    <w:rsid w:val="5BB14F47"/>
    <w:rsid w:val="5BB64929"/>
    <w:rsid w:val="5BBD1EE9"/>
    <w:rsid w:val="5BBE4B00"/>
    <w:rsid w:val="5BC551A3"/>
    <w:rsid w:val="5BD64FE2"/>
    <w:rsid w:val="5BD74E9E"/>
    <w:rsid w:val="5BE9125F"/>
    <w:rsid w:val="5BE92103"/>
    <w:rsid w:val="5BF03202"/>
    <w:rsid w:val="5BF62A83"/>
    <w:rsid w:val="5BF7437E"/>
    <w:rsid w:val="5BF77482"/>
    <w:rsid w:val="5BFB1034"/>
    <w:rsid w:val="5C066DCD"/>
    <w:rsid w:val="5C0C24BB"/>
    <w:rsid w:val="5C1C4A79"/>
    <w:rsid w:val="5C257D12"/>
    <w:rsid w:val="5C2609B8"/>
    <w:rsid w:val="5C2A4177"/>
    <w:rsid w:val="5C3D115F"/>
    <w:rsid w:val="5C416DB1"/>
    <w:rsid w:val="5C466ABF"/>
    <w:rsid w:val="5C491058"/>
    <w:rsid w:val="5C5D40A6"/>
    <w:rsid w:val="5C617961"/>
    <w:rsid w:val="5C6A1525"/>
    <w:rsid w:val="5C7240D3"/>
    <w:rsid w:val="5C7A1CBE"/>
    <w:rsid w:val="5C7C622F"/>
    <w:rsid w:val="5C8658A3"/>
    <w:rsid w:val="5C88180B"/>
    <w:rsid w:val="5C8D2ED7"/>
    <w:rsid w:val="5C987DAA"/>
    <w:rsid w:val="5CA00AE8"/>
    <w:rsid w:val="5CA15992"/>
    <w:rsid w:val="5CA27487"/>
    <w:rsid w:val="5CA84886"/>
    <w:rsid w:val="5CAE2CDD"/>
    <w:rsid w:val="5CB41A93"/>
    <w:rsid w:val="5CB46D9C"/>
    <w:rsid w:val="5CBE1EC0"/>
    <w:rsid w:val="5CC504DF"/>
    <w:rsid w:val="5CCF1BEF"/>
    <w:rsid w:val="5CD12812"/>
    <w:rsid w:val="5CD12CFF"/>
    <w:rsid w:val="5CD20D32"/>
    <w:rsid w:val="5CD33087"/>
    <w:rsid w:val="5CD33634"/>
    <w:rsid w:val="5CD56993"/>
    <w:rsid w:val="5CD71364"/>
    <w:rsid w:val="5CE12A7F"/>
    <w:rsid w:val="5CEA4137"/>
    <w:rsid w:val="5CEA73AD"/>
    <w:rsid w:val="5CF13A64"/>
    <w:rsid w:val="5CF703FC"/>
    <w:rsid w:val="5D06414C"/>
    <w:rsid w:val="5D073273"/>
    <w:rsid w:val="5D0911D4"/>
    <w:rsid w:val="5D0F291B"/>
    <w:rsid w:val="5D1643BE"/>
    <w:rsid w:val="5D1828ED"/>
    <w:rsid w:val="5D204E0B"/>
    <w:rsid w:val="5D305B0B"/>
    <w:rsid w:val="5D3523AF"/>
    <w:rsid w:val="5D376BA4"/>
    <w:rsid w:val="5D436B1B"/>
    <w:rsid w:val="5D4854BC"/>
    <w:rsid w:val="5D546386"/>
    <w:rsid w:val="5D5E6EF8"/>
    <w:rsid w:val="5D633429"/>
    <w:rsid w:val="5D6337D0"/>
    <w:rsid w:val="5D686B7E"/>
    <w:rsid w:val="5D6971A7"/>
    <w:rsid w:val="5D6C4251"/>
    <w:rsid w:val="5D707517"/>
    <w:rsid w:val="5D7D7F42"/>
    <w:rsid w:val="5D836A1F"/>
    <w:rsid w:val="5D9D2CED"/>
    <w:rsid w:val="5D9D5EC0"/>
    <w:rsid w:val="5DA40594"/>
    <w:rsid w:val="5DAD16E6"/>
    <w:rsid w:val="5DB721C8"/>
    <w:rsid w:val="5DCF02F1"/>
    <w:rsid w:val="5DCF1038"/>
    <w:rsid w:val="5DD96319"/>
    <w:rsid w:val="5DEA3ED1"/>
    <w:rsid w:val="5DED0234"/>
    <w:rsid w:val="5E0D1EDD"/>
    <w:rsid w:val="5E196403"/>
    <w:rsid w:val="5E22638A"/>
    <w:rsid w:val="5E3930E1"/>
    <w:rsid w:val="5E3D4216"/>
    <w:rsid w:val="5E3F687B"/>
    <w:rsid w:val="5E473551"/>
    <w:rsid w:val="5E5F48E4"/>
    <w:rsid w:val="5E6441C6"/>
    <w:rsid w:val="5E6F3C66"/>
    <w:rsid w:val="5E771F8F"/>
    <w:rsid w:val="5E787040"/>
    <w:rsid w:val="5E841535"/>
    <w:rsid w:val="5E84199E"/>
    <w:rsid w:val="5E911564"/>
    <w:rsid w:val="5E9B739E"/>
    <w:rsid w:val="5EA016F4"/>
    <w:rsid w:val="5EA25514"/>
    <w:rsid w:val="5EA40376"/>
    <w:rsid w:val="5EA55DC2"/>
    <w:rsid w:val="5EA75CB0"/>
    <w:rsid w:val="5EB9218A"/>
    <w:rsid w:val="5EBB4658"/>
    <w:rsid w:val="5EC34D24"/>
    <w:rsid w:val="5EC91DE1"/>
    <w:rsid w:val="5EC93EB2"/>
    <w:rsid w:val="5ECF6516"/>
    <w:rsid w:val="5EE85A29"/>
    <w:rsid w:val="5F147213"/>
    <w:rsid w:val="5F1976D8"/>
    <w:rsid w:val="5F1B02D5"/>
    <w:rsid w:val="5F1E783B"/>
    <w:rsid w:val="5F33093E"/>
    <w:rsid w:val="5F361F01"/>
    <w:rsid w:val="5F410C69"/>
    <w:rsid w:val="5F4536E4"/>
    <w:rsid w:val="5F520240"/>
    <w:rsid w:val="5F5D14C3"/>
    <w:rsid w:val="5F6434DB"/>
    <w:rsid w:val="5F6C445C"/>
    <w:rsid w:val="5F6D2A51"/>
    <w:rsid w:val="5F6F3C8D"/>
    <w:rsid w:val="5F870DB9"/>
    <w:rsid w:val="5F8804AC"/>
    <w:rsid w:val="5F8B6623"/>
    <w:rsid w:val="5F9A0ABA"/>
    <w:rsid w:val="5FAC2728"/>
    <w:rsid w:val="5FBE2AC7"/>
    <w:rsid w:val="5FBE37C6"/>
    <w:rsid w:val="5FD05DB2"/>
    <w:rsid w:val="5FD17E77"/>
    <w:rsid w:val="5FD621A4"/>
    <w:rsid w:val="5FDB44FB"/>
    <w:rsid w:val="5FDC7142"/>
    <w:rsid w:val="5FE37D4D"/>
    <w:rsid w:val="5FE507F4"/>
    <w:rsid w:val="5FE82089"/>
    <w:rsid w:val="5FE90F01"/>
    <w:rsid w:val="5FEA0642"/>
    <w:rsid w:val="5FFD16AB"/>
    <w:rsid w:val="5FFE7D67"/>
    <w:rsid w:val="5FFF7C83"/>
    <w:rsid w:val="600226C8"/>
    <w:rsid w:val="600379C5"/>
    <w:rsid w:val="60063206"/>
    <w:rsid w:val="6007120F"/>
    <w:rsid w:val="60077CC5"/>
    <w:rsid w:val="600F0F88"/>
    <w:rsid w:val="60260263"/>
    <w:rsid w:val="60301AB6"/>
    <w:rsid w:val="603240D2"/>
    <w:rsid w:val="603D3DE9"/>
    <w:rsid w:val="60476284"/>
    <w:rsid w:val="60575B21"/>
    <w:rsid w:val="605A0C66"/>
    <w:rsid w:val="60616855"/>
    <w:rsid w:val="606247CA"/>
    <w:rsid w:val="606302F9"/>
    <w:rsid w:val="60745756"/>
    <w:rsid w:val="60780B96"/>
    <w:rsid w:val="608A6CA0"/>
    <w:rsid w:val="608B1E61"/>
    <w:rsid w:val="608C0F26"/>
    <w:rsid w:val="609043A9"/>
    <w:rsid w:val="609D4888"/>
    <w:rsid w:val="60A36939"/>
    <w:rsid w:val="60A549D4"/>
    <w:rsid w:val="60AF6D3D"/>
    <w:rsid w:val="60B4114A"/>
    <w:rsid w:val="60C45895"/>
    <w:rsid w:val="60C51F02"/>
    <w:rsid w:val="60CF0211"/>
    <w:rsid w:val="60D539BC"/>
    <w:rsid w:val="60D87A48"/>
    <w:rsid w:val="60DB093A"/>
    <w:rsid w:val="60DB65DA"/>
    <w:rsid w:val="60DE3D8C"/>
    <w:rsid w:val="60E13908"/>
    <w:rsid w:val="60EC641D"/>
    <w:rsid w:val="60F846B1"/>
    <w:rsid w:val="60FD2FE2"/>
    <w:rsid w:val="610760B7"/>
    <w:rsid w:val="61105A85"/>
    <w:rsid w:val="61306DF0"/>
    <w:rsid w:val="61351C9A"/>
    <w:rsid w:val="613C0BFE"/>
    <w:rsid w:val="613F5903"/>
    <w:rsid w:val="61505601"/>
    <w:rsid w:val="61524ACB"/>
    <w:rsid w:val="61593CAF"/>
    <w:rsid w:val="6159456C"/>
    <w:rsid w:val="616A3728"/>
    <w:rsid w:val="617624A9"/>
    <w:rsid w:val="6179438F"/>
    <w:rsid w:val="617B0C2F"/>
    <w:rsid w:val="617F4CA3"/>
    <w:rsid w:val="61800525"/>
    <w:rsid w:val="619419A8"/>
    <w:rsid w:val="6197057A"/>
    <w:rsid w:val="619A625E"/>
    <w:rsid w:val="61A043A7"/>
    <w:rsid w:val="61A12736"/>
    <w:rsid w:val="61B17C19"/>
    <w:rsid w:val="61C17C93"/>
    <w:rsid w:val="61D031B9"/>
    <w:rsid w:val="61D20071"/>
    <w:rsid w:val="61E111F8"/>
    <w:rsid w:val="61E479F6"/>
    <w:rsid w:val="61EC04B0"/>
    <w:rsid w:val="61EF7A65"/>
    <w:rsid w:val="61F46858"/>
    <w:rsid w:val="61F83DDA"/>
    <w:rsid w:val="61FD24E3"/>
    <w:rsid w:val="61FE0178"/>
    <w:rsid w:val="6200764E"/>
    <w:rsid w:val="620409E8"/>
    <w:rsid w:val="6205211F"/>
    <w:rsid w:val="6213714C"/>
    <w:rsid w:val="62182FEB"/>
    <w:rsid w:val="621921D2"/>
    <w:rsid w:val="621E29B6"/>
    <w:rsid w:val="62211E07"/>
    <w:rsid w:val="622F3D56"/>
    <w:rsid w:val="62494F4E"/>
    <w:rsid w:val="624F5230"/>
    <w:rsid w:val="625161A2"/>
    <w:rsid w:val="625C13BD"/>
    <w:rsid w:val="625D154C"/>
    <w:rsid w:val="62725461"/>
    <w:rsid w:val="627B3CF7"/>
    <w:rsid w:val="627F1B82"/>
    <w:rsid w:val="629761CF"/>
    <w:rsid w:val="62A10079"/>
    <w:rsid w:val="62AF7631"/>
    <w:rsid w:val="62B178B8"/>
    <w:rsid w:val="62B229AC"/>
    <w:rsid w:val="62B31604"/>
    <w:rsid w:val="62BA3D24"/>
    <w:rsid w:val="62C834F0"/>
    <w:rsid w:val="62D521FE"/>
    <w:rsid w:val="62D9648A"/>
    <w:rsid w:val="62F2544C"/>
    <w:rsid w:val="62F34586"/>
    <w:rsid w:val="62F35F1D"/>
    <w:rsid w:val="62F46AFB"/>
    <w:rsid w:val="62F90D38"/>
    <w:rsid w:val="62FB09DA"/>
    <w:rsid w:val="62FF2C70"/>
    <w:rsid w:val="63086047"/>
    <w:rsid w:val="63173335"/>
    <w:rsid w:val="631B7E5E"/>
    <w:rsid w:val="63234528"/>
    <w:rsid w:val="632A19A2"/>
    <w:rsid w:val="632C2F9D"/>
    <w:rsid w:val="633B10F0"/>
    <w:rsid w:val="634339F5"/>
    <w:rsid w:val="63445820"/>
    <w:rsid w:val="63467E25"/>
    <w:rsid w:val="634D145E"/>
    <w:rsid w:val="63503EE4"/>
    <w:rsid w:val="635C7176"/>
    <w:rsid w:val="6360241E"/>
    <w:rsid w:val="636E5626"/>
    <w:rsid w:val="637E3421"/>
    <w:rsid w:val="63813AF6"/>
    <w:rsid w:val="63835BE3"/>
    <w:rsid w:val="63843A6B"/>
    <w:rsid w:val="63852AF5"/>
    <w:rsid w:val="63860B2A"/>
    <w:rsid w:val="638A52B0"/>
    <w:rsid w:val="638D3D3C"/>
    <w:rsid w:val="639304F7"/>
    <w:rsid w:val="639B7529"/>
    <w:rsid w:val="63A03243"/>
    <w:rsid w:val="63A45CB2"/>
    <w:rsid w:val="63A45F3F"/>
    <w:rsid w:val="63A904A7"/>
    <w:rsid w:val="63A917FA"/>
    <w:rsid w:val="63AB25E6"/>
    <w:rsid w:val="63B67FAC"/>
    <w:rsid w:val="63C03081"/>
    <w:rsid w:val="63CB2950"/>
    <w:rsid w:val="63D11741"/>
    <w:rsid w:val="63D31EFD"/>
    <w:rsid w:val="63D61C5F"/>
    <w:rsid w:val="63DF084E"/>
    <w:rsid w:val="63DF2851"/>
    <w:rsid w:val="63ED7248"/>
    <w:rsid w:val="63F2612C"/>
    <w:rsid w:val="63F43D64"/>
    <w:rsid w:val="63FB2539"/>
    <w:rsid w:val="640275CF"/>
    <w:rsid w:val="64060C1E"/>
    <w:rsid w:val="64127B0E"/>
    <w:rsid w:val="6420094B"/>
    <w:rsid w:val="642B7C8F"/>
    <w:rsid w:val="643614AA"/>
    <w:rsid w:val="64393B1D"/>
    <w:rsid w:val="6440304C"/>
    <w:rsid w:val="64496ED6"/>
    <w:rsid w:val="644F6609"/>
    <w:rsid w:val="645237C1"/>
    <w:rsid w:val="645B72C4"/>
    <w:rsid w:val="64624721"/>
    <w:rsid w:val="64786C6E"/>
    <w:rsid w:val="647B0E18"/>
    <w:rsid w:val="64800A38"/>
    <w:rsid w:val="64800E7D"/>
    <w:rsid w:val="64873B9B"/>
    <w:rsid w:val="648B405B"/>
    <w:rsid w:val="64913310"/>
    <w:rsid w:val="649856BD"/>
    <w:rsid w:val="64996D28"/>
    <w:rsid w:val="64A04D13"/>
    <w:rsid w:val="64A804B7"/>
    <w:rsid w:val="64BA65D2"/>
    <w:rsid w:val="64C56E7F"/>
    <w:rsid w:val="64C6410B"/>
    <w:rsid w:val="64C95CA3"/>
    <w:rsid w:val="64D2609A"/>
    <w:rsid w:val="64D37A43"/>
    <w:rsid w:val="64DE53D1"/>
    <w:rsid w:val="64E27519"/>
    <w:rsid w:val="64FA2FE8"/>
    <w:rsid w:val="64FB591F"/>
    <w:rsid w:val="64FF004B"/>
    <w:rsid w:val="651A3112"/>
    <w:rsid w:val="652E5FD9"/>
    <w:rsid w:val="65350AA8"/>
    <w:rsid w:val="653715BB"/>
    <w:rsid w:val="6538283B"/>
    <w:rsid w:val="653D6DE8"/>
    <w:rsid w:val="654247D4"/>
    <w:rsid w:val="65444A55"/>
    <w:rsid w:val="65545021"/>
    <w:rsid w:val="656624F6"/>
    <w:rsid w:val="65682970"/>
    <w:rsid w:val="656B1438"/>
    <w:rsid w:val="656E3788"/>
    <w:rsid w:val="656E7DF2"/>
    <w:rsid w:val="65727A8A"/>
    <w:rsid w:val="65730A2D"/>
    <w:rsid w:val="657D53BB"/>
    <w:rsid w:val="65887B87"/>
    <w:rsid w:val="658F41AA"/>
    <w:rsid w:val="659679A8"/>
    <w:rsid w:val="659B66DC"/>
    <w:rsid w:val="65A52BD2"/>
    <w:rsid w:val="65A664C9"/>
    <w:rsid w:val="65B203F2"/>
    <w:rsid w:val="65B40E5D"/>
    <w:rsid w:val="65C06D2A"/>
    <w:rsid w:val="65C127F9"/>
    <w:rsid w:val="65C25B7B"/>
    <w:rsid w:val="65CB7162"/>
    <w:rsid w:val="65CD1C39"/>
    <w:rsid w:val="65D47740"/>
    <w:rsid w:val="65D845C5"/>
    <w:rsid w:val="65E47ADC"/>
    <w:rsid w:val="65E53F3A"/>
    <w:rsid w:val="65E54D83"/>
    <w:rsid w:val="65FF1908"/>
    <w:rsid w:val="660F78DB"/>
    <w:rsid w:val="66113F7D"/>
    <w:rsid w:val="661504E0"/>
    <w:rsid w:val="6615488F"/>
    <w:rsid w:val="66196469"/>
    <w:rsid w:val="66220F0D"/>
    <w:rsid w:val="662446E2"/>
    <w:rsid w:val="6638786B"/>
    <w:rsid w:val="66484076"/>
    <w:rsid w:val="664F0D9A"/>
    <w:rsid w:val="665234A6"/>
    <w:rsid w:val="666929BA"/>
    <w:rsid w:val="666A2B1C"/>
    <w:rsid w:val="667231EC"/>
    <w:rsid w:val="66816C04"/>
    <w:rsid w:val="66870377"/>
    <w:rsid w:val="66884514"/>
    <w:rsid w:val="6689561B"/>
    <w:rsid w:val="668F0A3B"/>
    <w:rsid w:val="66917422"/>
    <w:rsid w:val="669E67BA"/>
    <w:rsid w:val="66AB2D65"/>
    <w:rsid w:val="66B67D71"/>
    <w:rsid w:val="66BE7EC7"/>
    <w:rsid w:val="66C018BB"/>
    <w:rsid w:val="66C34B3A"/>
    <w:rsid w:val="66C461D6"/>
    <w:rsid w:val="66CC5A50"/>
    <w:rsid w:val="66CF2390"/>
    <w:rsid w:val="66D96A08"/>
    <w:rsid w:val="66E22784"/>
    <w:rsid w:val="66E54664"/>
    <w:rsid w:val="66E94DB8"/>
    <w:rsid w:val="66EA4627"/>
    <w:rsid w:val="66EF614F"/>
    <w:rsid w:val="670068BA"/>
    <w:rsid w:val="670676FA"/>
    <w:rsid w:val="67087E50"/>
    <w:rsid w:val="670D5F7B"/>
    <w:rsid w:val="672447DF"/>
    <w:rsid w:val="6728031E"/>
    <w:rsid w:val="67347F0F"/>
    <w:rsid w:val="67400753"/>
    <w:rsid w:val="67534A38"/>
    <w:rsid w:val="675840FA"/>
    <w:rsid w:val="675A2421"/>
    <w:rsid w:val="67677E2A"/>
    <w:rsid w:val="676835D5"/>
    <w:rsid w:val="6772554F"/>
    <w:rsid w:val="67795540"/>
    <w:rsid w:val="67796505"/>
    <w:rsid w:val="677B479B"/>
    <w:rsid w:val="67811A27"/>
    <w:rsid w:val="67847534"/>
    <w:rsid w:val="678849E4"/>
    <w:rsid w:val="678C11D2"/>
    <w:rsid w:val="67935D65"/>
    <w:rsid w:val="6794336C"/>
    <w:rsid w:val="67A13325"/>
    <w:rsid w:val="67A45B82"/>
    <w:rsid w:val="67A50164"/>
    <w:rsid w:val="67A6363F"/>
    <w:rsid w:val="67CA40DB"/>
    <w:rsid w:val="67CA6980"/>
    <w:rsid w:val="67CB6A09"/>
    <w:rsid w:val="67CC0903"/>
    <w:rsid w:val="67D14B0D"/>
    <w:rsid w:val="67D22A5B"/>
    <w:rsid w:val="67D47D4B"/>
    <w:rsid w:val="67D838E1"/>
    <w:rsid w:val="67E2020D"/>
    <w:rsid w:val="67E8268A"/>
    <w:rsid w:val="67EB4064"/>
    <w:rsid w:val="67F22523"/>
    <w:rsid w:val="67F22B8E"/>
    <w:rsid w:val="67F91FFF"/>
    <w:rsid w:val="67FC1BB1"/>
    <w:rsid w:val="680F3D7D"/>
    <w:rsid w:val="682A37BC"/>
    <w:rsid w:val="683565FD"/>
    <w:rsid w:val="68383CD1"/>
    <w:rsid w:val="683864F0"/>
    <w:rsid w:val="68472133"/>
    <w:rsid w:val="685804A5"/>
    <w:rsid w:val="68602179"/>
    <w:rsid w:val="686E12C1"/>
    <w:rsid w:val="68705E0E"/>
    <w:rsid w:val="68757CDC"/>
    <w:rsid w:val="687A3E4F"/>
    <w:rsid w:val="687B0E2A"/>
    <w:rsid w:val="687E7E6F"/>
    <w:rsid w:val="687F66D1"/>
    <w:rsid w:val="688064E3"/>
    <w:rsid w:val="68840C68"/>
    <w:rsid w:val="6885568C"/>
    <w:rsid w:val="68966F46"/>
    <w:rsid w:val="68A15639"/>
    <w:rsid w:val="68A21A7A"/>
    <w:rsid w:val="68A32934"/>
    <w:rsid w:val="68A4112B"/>
    <w:rsid w:val="68AA7BF7"/>
    <w:rsid w:val="68B603CC"/>
    <w:rsid w:val="68B95B09"/>
    <w:rsid w:val="68B9713A"/>
    <w:rsid w:val="68BB536E"/>
    <w:rsid w:val="68BE3A63"/>
    <w:rsid w:val="68C758FA"/>
    <w:rsid w:val="68CD39AE"/>
    <w:rsid w:val="68CE14DC"/>
    <w:rsid w:val="68DA057D"/>
    <w:rsid w:val="68DC3040"/>
    <w:rsid w:val="68E50EAD"/>
    <w:rsid w:val="68E97C3F"/>
    <w:rsid w:val="68F20564"/>
    <w:rsid w:val="68F300B8"/>
    <w:rsid w:val="68F342EA"/>
    <w:rsid w:val="68FC0451"/>
    <w:rsid w:val="690216D8"/>
    <w:rsid w:val="69034814"/>
    <w:rsid w:val="6905532A"/>
    <w:rsid w:val="690565AF"/>
    <w:rsid w:val="69114F33"/>
    <w:rsid w:val="6914653F"/>
    <w:rsid w:val="69223B64"/>
    <w:rsid w:val="6925039E"/>
    <w:rsid w:val="69351D74"/>
    <w:rsid w:val="693A2B34"/>
    <w:rsid w:val="693D0545"/>
    <w:rsid w:val="69425C82"/>
    <w:rsid w:val="694C2ED1"/>
    <w:rsid w:val="69513380"/>
    <w:rsid w:val="695B73AE"/>
    <w:rsid w:val="695C7075"/>
    <w:rsid w:val="695D15BC"/>
    <w:rsid w:val="695F4AD3"/>
    <w:rsid w:val="6973225B"/>
    <w:rsid w:val="698042D3"/>
    <w:rsid w:val="699606DF"/>
    <w:rsid w:val="69A431ED"/>
    <w:rsid w:val="69AE6E80"/>
    <w:rsid w:val="69B932D0"/>
    <w:rsid w:val="69BB7014"/>
    <w:rsid w:val="69C06D4B"/>
    <w:rsid w:val="69C13081"/>
    <w:rsid w:val="69C5593D"/>
    <w:rsid w:val="69C8096C"/>
    <w:rsid w:val="69C87F8C"/>
    <w:rsid w:val="69DC72D7"/>
    <w:rsid w:val="69E53F39"/>
    <w:rsid w:val="69E666A2"/>
    <w:rsid w:val="69FB37EF"/>
    <w:rsid w:val="6A0A7BB1"/>
    <w:rsid w:val="6A0E1BAA"/>
    <w:rsid w:val="6A155081"/>
    <w:rsid w:val="6A166B1A"/>
    <w:rsid w:val="6A1A689E"/>
    <w:rsid w:val="6A1B1B92"/>
    <w:rsid w:val="6A1D56E9"/>
    <w:rsid w:val="6A1E6F6E"/>
    <w:rsid w:val="6A202D1D"/>
    <w:rsid w:val="6A302399"/>
    <w:rsid w:val="6A3D7B09"/>
    <w:rsid w:val="6A3F767F"/>
    <w:rsid w:val="6A407A08"/>
    <w:rsid w:val="6A444A84"/>
    <w:rsid w:val="6A49722E"/>
    <w:rsid w:val="6A4A43CB"/>
    <w:rsid w:val="6A4B2FC2"/>
    <w:rsid w:val="6A530E2F"/>
    <w:rsid w:val="6A553A08"/>
    <w:rsid w:val="6A560198"/>
    <w:rsid w:val="6A573ACE"/>
    <w:rsid w:val="6A5C2DE8"/>
    <w:rsid w:val="6A734307"/>
    <w:rsid w:val="6A8960F2"/>
    <w:rsid w:val="6A92659D"/>
    <w:rsid w:val="6A9912A0"/>
    <w:rsid w:val="6A9C645D"/>
    <w:rsid w:val="6AA0095B"/>
    <w:rsid w:val="6AB42F9C"/>
    <w:rsid w:val="6ABA5440"/>
    <w:rsid w:val="6AC51CD0"/>
    <w:rsid w:val="6AD7114A"/>
    <w:rsid w:val="6AE1059C"/>
    <w:rsid w:val="6AE87756"/>
    <w:rsid w:val="6B023C61"/>
    <w:rsid w:val="6B073273"/>
    <w:rsid w:val="6B0872A0"/>
    <w:rsid w:val="6B097A92"/>
    <w:rsid w:val="6B0F7A6B"/>
    <w:rsid w:val="6B1539A2"/>
    <w:rsid w:val="6B1B52E4"/>
    <w:rsid w:val="6B1E7186"/>
    <w:rsid w:val="6B270DD6"/>
    <w:rsid w:val="6B300B47"/>
    <w:rsid w:val="6B30192B"/>
    <w:rsid w:val="6B3B1133"/>
    <w:rsid w:val="6B3F11F7"/>
    <w:rsid w:val="6B443FA0"/>
    <w:rsid w:val="6B4C31BF"/>
    <w:rsid w:val="6B4C3AE9"/>
    <w:rsid w:val="6B4E2458"/>
    <w:rsid w:val="6B500C42"/>
    <w:rsid w:val="6B533340"/>
    <w:rsid w:val="6B596E21"/>
    <w:rsid w:val="6B5E228B"/>
    <w:rsid w:val="6B5F2A83"/>
    <w:rsid w:val="6B60290F"/>
    <w:rsid w:val="6B66012B"/>
    <w:rsid w:val="6B662EB1"/>
    <w:rsid w:val="6B6755DD"/>
    <w:rsid w:val="6B6A65EB"/>
    <w:rsid w:val="6B737827"/>
    <w:rsid w:val="6B76419A"/>
    <w:rsid w:val="6B7923E3"/>
    <w:rsid w:val="6B7938CC"/>
    <w:rsid w:val="6B7A401A"/>
    <w:rsid w:val="6B7D348E"/>
    <w:rsid w:val="6B7F3E8A"/>
    <w:rsid w:val="6B8A17D1"/>
    <w:rsid w:val="6B8D0757"/>
    <w:rsid w:val="6B8E3753"/>
    <w:rsid w:val="6B901EE7"/>
    <w:rsid w:val="6B964A8A"/>
    <w:rsid w:val="6BA35628"/>
    <w:rsid w:val="6BA8311C"/>
    <w:rsid w:val="6BAF6D49"/>
    <w:rsid w:val="6BBA0F52"/>
    <w:rsid w:val="6BBE6551"/>
    <w:rsid w:val="6BBF141B"/>
    <w:rsid w:val="6BCE6A3C"/>
    <w:rsid w:val="6BD27F04"/>
    <w:rsid w:val="6BE72F8F"/>
    <w:rsid w:val="6BEE084D"/>
    <w:rsid w:val="6BF17D39"/>
    <w:rsid w:val="6C0239F3"/>
    <w:rsid w:val="6C025AF2"/>
    <w:rsid w:val="6C132FE6"/>
    <w:rsid w:val="6C1668FD"/>
    <w:rsid w:val="6C191372"/>
    <w:rsid w:val="6C1D7FAC"/>
    <w:rsid w:val="6C2F059B"/>
    <w:rsid w:val="6C322756"/>
    <w:rsid w:val="6C34323F"/>
    <w:rsid w:val="6C3A123B"/>
    <w:rsid w:val="6C3A1515"/>
    <w:rsid w:val="6C4A72B2"/>
    <w:rsid w:val="6C4D4EAA"/>
    <w:rsid w:val="6C614AD3"/>
    <w:rsid w:val="6C6339A4"/>
    <w:rsid w:val="6C6645FD"/>
    <w:rsid w:val="6C6A2648"/>
    <w:rsid w:val="6C6E5DE1"/>
    <w:rsid w:val="6C74163E"/>
    <w:rsid w:val="6C772C6E"/>
    <w:rsid w:val="6C7824A4"/>
    <w:rsid w:val="6C7B1B55"/>
    <w:rsid w:val="6C825A36"/>
    <w:rsid w:val="6C8454C5"/>
    <w:rsid w:val="6C8F6F50"/>
    <w:rsid w:val="6C9A7A27"/>
    <w:rsid w:val="6CA40527"/>
    <w:rsid w:val="6CA43325"/>
    <w:rsid w:val="6CA6153F"/>
    <w:rsid w:val="6CA72915"/>
    <w:rsid w:val="6CA8505C"/>
    <w:rsid w:val="6CA924AF"/>
    <w:rsid w:val="6CB93806"/>
    <w:rsid w:val="6CBD280F"/>
    <w:rsid w:val="6CBE6FB1"/>
    <w:rsid w:val="6CCA4806"/>
    <w:rsid w:val="6CDE5BCA"/>
    <w:rsid w:val="6CE00BC7"/>
    <w:rsid w:val="6CE34847"/>
    <w:rsid w:val="6CF10BA2"/>
    <w:rsid w:val="6CF85CE9"/>
    <w:rsid w:val="6D082F71"/>
    <w:rsid w:val="6D0D4319"/>
    <w:rsid w:val="6D164E05"/>
    <w:rsid w:val="6D19273D"/>
    <w:rsid w:val="6D233FB8"/>
    <w:rsid w:val="6D2912F8"/>
    <w:rsid w:val="6D371A44"/>
    <w:rsid w:val="6D4265E0"/>
    <w:rsid w:val="6D4457E1"/>
    <w:rsid w:val="6D465CE0"/>
    <w:rsid w:val="6D4B7B8E"/>
    <w:rsid w:val="6D4F1E03"/>
    <w:rsid w:val="6D502495"/>
    <w:rsid w:val="6D5A7144"/>
    <w:rsid w:val="6D5D0227"/>
    <w:rsid w:val="6D5E32B0"/>
    <w:rsid w:val="6D626A9A"/>
    <w:rsid w:val="6D663675"/>
    <w:rsid w:val="6D683D68"/>
    <w:rsid w:val="6D6C299F"/>
    <w:rsid w:val="6D7505CB"/>
    <w:rsid w:val="6D7B02E9"/>
    <w:rsid w:val="6D8C4CE9"/>
    <w:rsid w:val="6D9C10BE"/>
    <w:rsid w:val="6D9E2710"/>
    <w:rsid w:val="6DA73FD4"/>
    <w:rsid w:val="6DB51DCD"/>
    <w:rsid w:val="6DBF1B21"/>
    <w:rsid w:val="6DC4397A"/>
    <w:rsid w:val="6DCE29D6"/>
    <w:rsid w:val="6DD01DBD"/>
    <w:rsid w:val="6DD724B0"/>
    <w:rsid w:val="6DDA3C23"/>
    <w:rsid w:val="6DE401C0"/>
    <w:rsid w:val="6DE765F6"/>
    <w:rsid w:val="6DF17AA8"/>
    <w:rsid w:val="6E0710AD"/>
    <w:rsid w:val="6E0C1662"/>
    <w:rsid w:val="6E0E2611"/>
    <w:rsid w:val="6E2249E0"/>
    <w:rsid w:val="6E2B1EDA"/>
    <w:rsid w:val="6E2B4F8C"/>
    <w:rsid w:val="6E2F52EB"/>
    <w:rsid w:val="6E334835"/>
    <w:rsid w:val="6E3D60AF"/>
    <w:rsid w:val="6E442927"/>
    <w:rsid w:val="6E5145BB"/>
    <w:rsid w:val="6E53705E"/>
    <w:rsid w:val="6E6324B2"/>
    <w:rsid w:val="6E7F1EC4"/>
    <w:rsid w:val="6E844FC2"/>
    <w:rsid w:val="6E8550FA"/>
    <w:rsid w:val="6E867CE5"/>
    <w:rsid w:val="6E8A362D"/>
    <w:rsid w:val="6E8A49DE"/>
    <w:rsid w:val="6E8B1350"/>
    <w:rsid w:val="6E930CAB"/>
    <w:rsid w:val="6E96104E"/>
    <w:rsid w:val="6E9E3ED6"/>
    <w:rsid w:val="6E9E4358"/>
    <w:rsid w:val="6EAD63FE"/>
    <w:rsid w:val="6EB11873"/>
    <w:rsid w:val="6EB67AE7"/>
    <w:rsid w:val="6EB74166"/>
    <w:rsid w:val="6EBB6A1F"/>
    <w:rsid w:val="6EBD40A7"/>
    <w:rsid w:val="6EC73924"/>
    <w:rsid w:val="6ED35DAD"/>
    <w:rsid w:val="6EDA2ACB"/>
    <w:rsid w:val="6EDB160C"/>
    <w:rsid w:val="6EDE33E8"/>
    <w:rsid w:val="6EE15554"/>
    <w:rsid w:val="6EF04498"/>
    <w:rsid w:val="6EF42B09"/>
    <w:rsid w:val="6EF72AFA"/>
    <w:rsid w:val="6EFB66E4"/>
    <w:rsid w:val="6EFF218C"/>
    <w:rsid w:val="6F016213"/>
    <w:rsid w:val="6F0532DE"/>
    <w:rsid w:val="6F0E64E8"/>
    <w:rsid w:val="6F116ADE"/>
    <w:rsid w:val="6F196D1B"/>
    <w:rsid w:val="6F1D2CB0"/>
    <w:rsid w:val="6F220978"/>
    <w:rsid w:val="6F2757F2"/>
    <w:rsid w:val="6F6248A5"/>
    <w:rsid w:val="6F636301"/>
    <w:rsid w:val="6F7567DD"/>
    <w:rsid w:val="6F7778C3"/>
    <w:rsid w:val="6F822D2D"/>
    <w:rsid w:val="6F846547"/>
    <w:rsid w:val="6F896785"/>
    <w:rsid w:val="6F941C5A"/>
    <w:rsid w:val="6FA70C07"/>
    <w:rsid w:val="6FAA7484"/>
    <w:rsid w:val="6FB751FD"/>
    <w:rsid w:val="6FBD0480"/>
    <w:rsid w:val="6FC0397E"/>
    <w:rsid w:val="6FC45B02"/>
    <w:rsid w:val="6FC93633"/>
    <w:rsid w:val="6FD4792B"/>
    <w:rsid w:val="6FD75796"/>
    <w:rsid w:val="6FE248BB"/>
    <w:rsid w:val="6FE900D4"/>
    <w:rsid w:val="6FEF2243"/>
    <w:rsid w:val="6FF23A21"/>
    <w:rsid w:val="700318AE"/>
    <w:rsid w:val="700614F9"/>
    <w:rsid w:val="700A69A5"/>
    <w:rsid w:val="70130F47"/>
    <w:rsid w:val="701B5C4E"/>
    <w:rsid w:val="70264F98"/>
    <w:rsid w:val="702B727C"/>
    <w:rsid w:val="70312AA1"/>
    <w:rsid w:val="70360167"/>
    <w:rsid w:val="703604AA"/>
    <w:rsid w:val="703A617E"/>
    <w:rsid w:val="70406FB1"/>
    <w:rsid w:val="704A7190"/>
    <w:rsid w:val="704D106E"/>
    <w:rsid w:val="705C04CE"/>
    <w:rsid w:val="7063612F"/>
    <w:rsid w:val="70747100"/>
    <w:rsid w:val="70775DC5"/>
    <w:rsid w:val="707D50E8"/>
    <w:rsid w:val="707E76F2"/>
    <w:rsid w:val="7092752C"/>
    <w:rsid w:val="70931B2C"/>
    <w:rsid w:val="709E26C4"/>
    <w:rsid w:val="70A1711C"/>
    <w:rsid w:val="70AC081A"/>
    <w:rsid w:val="70B80D8F"/>
    <w:rsid w:val="70B93EB7"/>
    <w:rsid w:val="70B965AD"/>
    <w:rsid w:val="70BB57A9"/>
    <w:rsid w:val="70C50F4C"/>
    <w:rsid w:val="70D347BD"/>
    <w:rsid w:val="70D54C95"/>
    <w:rsid w:val="70EF5D16"/>
    <w:rsid w:val="70F24C64"/>
    <w:rsid w:val="71000BAC"/>
    <w:rsid w:val="710524B6"/>
    <w:rsid w:val="711E625A"/>
    <w:rsid w:val="711F4620"/>
    <w:rsid w:val="7122515B"/>
    <w:rsid w:val="71274F9D"/>
    <w:rsid w:val="712A5FCB"/>
    <w:rsid w:val="71327B6D"/>
    <w:rsid w:val="713365EC"/>
    <w:rsid w:val="714262A5"/>
    <w:rsid w:val="714B1153"/>
    <w:rsid w:val="71583E79"/>
    <w:rsid w:val="715C3DED"/>
    <w:rsid w:val="71792D10"/>
    <w:rsid w:val="718647FC"/>
    <w:rsid w:val="71873719"/>
    <w:rsid w:val="71911A1E"/>
    <w:rsid w:val="71960211"/>
    <w:rsid w:val="719B276D"/>
    <w:rsid w:val="719F14F4"/>
    <w:rsid w:val="71A21802"/>
    <w:rsid w:val="71A52B1F"/>
    <w:rsid w:val="71AB0F7A"/>
    <w:rsid w:val="71B47370"/>
    <w:rsid w:val="71B50E67"/>
    <w:rsid w:val="71C21512"/>
    <w:rsid w:val="71C25966"/>
    <w:rsid w:val="71CB68C2"/>
    <w:rsid w:val="71CC2FC1"/>
    <w:rsid w:val="71D1699E"/>
    <w:rsid w:val="71DF4A4D"/>
    <w:rsid w:val="71E23754"/>
    <w:rsid w:val="71EE178F"/>
    <w:rsid w:val="71F57D86"/>
    <w:rsid w:val="71F82FEB"/>
    <w:rsid w:val="72015E09"/>
    <w:rsid w:val="72044BD8"/>
    <w:rsid w:val="720E1517"/>
    <w:rsid w:val="720E478E"/>
    <w:rsid w:val="72115BAA"/>
    <w:rsid w:val="721609CC"/>
    <w:rsid w:val="723E3B08"/>
    <w:rsid w:val="725565BF"/>
    <w:rsid w:val="72586C8D"/>
    <w:rsid w:val="725C7493"/>
    <w:rsid w:val="725E5157"/>
    <w:rsid w:val="726840C6"/>
    <w:rsid w:val="726F1F6E"/>
    <w:rsid w:val="7279767C"/>
    <w:rsid w:val="728728F7"/>
    <w:rsid w:val="72873AD7"/>
    <w:rsid w:val="72915274"/>
    <w:rsid w:val="72A61A7B"/>
    <w:rsid w:val="72A87200"/>
    <w:rsid w:val="72AA5763"/>
    <w:rsid w:val="72AD0771"/>
    <w:rsid w:val="72B433A6"/>
    <w:rsid w:val="72B77AA3"/>
    <w:rsid w:val="72BB68F4"/>
    <w:rsid w:val="72BE7968"/>
    <w:rsid w:val="72C16127"/>
    <w:rsid w:val="72C62878"/>
    <w:rsid w:val="72D75592"/>
    <w:rsid w:val="72DF5F61"/>
    <w:rsid w:val="72FD189A"/>
    <w:rsid w:val="73096498"/>
    <w:rsid w:val="730B3B4E"/>
    <w:rsid w:val="73171A37"/>
    <w:rsid w:val="73183E24"/>
    <w:rsid w:val="73193C05"/>
    <w:rsid w:val="73221D6D"/>
    <w:rsid w:val="73295D72"/>
    <w:rsid w:val="73332ABB"/>
    <w:rsid w:val="7335463A"/>
    <w:rsid w:val="734B1779"/>
    <w:rsid w:val="734F5377"/>
    <w:rsid w:val="735E3FF0"/>
    <w:rsid w:val="736F0B5F"/>
    <w:rsid w:val="73727B71"/>
    <w:rsid w:val="73802D1B"/>
    <w:rsid w:val="738D000D"/>
    <w:rsid w:val="73986E7C"/>
    <w:rsid w:val="739877BB"/>
    <w:rsid w:val="739E1A08"/>
    <w:rsid w:val="739E34FE"/>
    <w:rsid w:val="739E3C45"/>
    <w:rsid w:val="73A64B51"/>
    <w:rsid w:val="73AD34A2"/>
    <w:rsid w:val="73B26A84"/>
    <w:rsid w:val="73B3090C"/>
    <w:rsid w:val="73B566BF"/>
    <w:rsid w:val="73C023AA"/>
    <w:rsid w:val="73C02820"/>
    <w:rsid w:val="73C661F3"/>
    <w:rsid w:val="73CD5DB1"/>
    <w:rsid w:val="73D32A82"/>
    <w:rsid w:val="73D732A9"/>
    <w:rsid w:val="73E220E7"/>
    <w:rsid w:val="73EC69B7"/>
    <w:rsid w:val="73EF50C4"/>
    <w:rsid w:val="73FC03E5"/>
    <w:rsid w:val="74066A43"/>
    <w:rsid w:val="740A0140"/>
    <w:rsid w:val="740F3F7D"/>
    <w:rsid w:val="74141D72"/>
    <w:rsid w:val="74232956"/>
    <w:rsid w:val="74323CCD"/>
    <w:rsid w:val="744009DC"/>
    <w:rsid w:val="74434153"/>
    <w:rsid w:val="744B6C60"/>
    <w:rsid w:val="744B7C95"/>
    <w:rsid w:val="744E0F97"/>
    <w:rsid w:val="74512931"/>
    <w:rsid w:val="74572605"/>
    <w:rsid w:val="745F14A8"/>
    <w:rsid w:val="7462210F"/>
    <w:rsid w:val="74665B17"/>
    <w:rsid w:val="74696FDD"/>
    <w:rsid w:val="74751D22"/>
    <w:rsid w:val="74770188"/>
    <w:rsid w:val="74790E1B"/>
    <w:rsid w:val="7479475A"/>
    <w:rsid w:val="74840EBC"/>
    <w:rsid w:val="748A6DE2"/>
    <w:rsid w:val="74947BF4"/>
    <w:rsid w:val="749E238C"/>
    <w:rsid w:val="74A07641"/>
    <w:rsid w:val="74A82EDE"/>
    <w:rsid w:val="74AC064D"/>
    <w:rsid w:val="74BD7AA7"/>
    <w:rsid w:val="74CB2AF6"/>
    <w:rsid w:val="74CE4254"/>
    <w:rsid w:val="74D66A13"/>
    <w:rsid w:val="74DC789B"/>
    <w:rsid w:val="74DE1419"/>
    <w:rsid w:val="74E8322E"/>
    <w:rsid w:val="74F67823"/>
    <w:rsid w:val="74FB58D6"/>
    <w:rsid w:val="75107330"/>
    <w:rsid w:val="75395767"/>
    <w:rsid w:val="753D22F5"/>
    <w:rsid w:val="753D4A0D"/>
    <w:rsid w:val="75437DC7"/>
    <w:rsid w:val="75580138"/>
    <w:rsid w:val="755B785F"/>
    <w:rsid w:val="755C6EB3"/>
    <w:rsid w:val="7563189E"/>
    <w:rsid w:val="756C0301"/>
    <w:rsid w:val="75751C4F"/>
    <w:rsid w:val="75793B8B"/>
    <w:rsid w:val="757E2D17"/>
    <w:rsid w:val="757F3EBB"/>
    <w:rsid w:val="75802627"/>
    <w:rsid w:val="75896EF3"/>
    <w:rsid w:val="758D68DD"/>
    <w:rsid w:val="75924BB1"/>
    <w:rsid w:val="759267AF"/>
    <w:rsid w:val="759A592E"/>
    <w:rsid w:val="75AC25F2"/>
    <w:rsid w:val="75AD6CC1"/>
    <w:rsid w:val="75AE51FC"/>
    <w:rsid w:val="75B508C1"/>
    <w:rsid w:val="75B64CDF"/>
    <w:rsid w:val="75BB6B9A"/>
    <w:rsid w:val="75C649F8"/>
    <w:rsid w:val="75CD6896"/>
    <w:rsid w:val="75D770C9"/>
    <w:rsid w:val="75DF6CAA"/>
    <w:rsid w:val="75E722D0"/>
    <w:rsid w:val="75EA3778"/>
    <w:rsid w:val="76031213"/>
    <w:rsid w:val="76127D3C"/>
    <w:rsid w:val="76131BB8"/>
    <w:rsid w:val="76146570"/>
    <w:rsid w:val="761B14F7"/>
    <w:rsid w:val="7624264E"/>
    <w:rsid w:val="76263DFD"/>
    <w:rsid w:val="763323DF"/>
    <w:rsid w:val="76356EC8"/>
    <w:rsid w:val="764F553D"/>
    <w:rsid w:val="7655770F"/>
    <w:rsid w:val="76581EF3"/>
    <w:rsid w:val="765B46EE"/>
    <w:rsid w:val="765D1A08"/>
    <w:rsid w:val="765F5A43"/>
    <w:rsid w:val="7696744A"/>
    <w:rsid w:val="76990445"/>
    <w:rsid w:val="76A21E2A"/>
    <w:rsid w:val="76B661D8"/>
    <w:rsid w:val="76B75B7D"/>
    <w:rsid w:val="76BE5D92"/>
    <w:rsid w:val="76C24062"/>
    <w:rsid w:val="76D73143"/>
    <w:rsid w:val="76D7455C"/>
    <w:rsid w:val="76DE5773"/>
    <w:rsid w:val="76E077F2"/>
    <w:rsid w:val="76E338CF"/>
    <w:rsid w:val="76E66A53"/>
    <w:rsid w:val="76E82F71"/>
    <w:rsid w:val="76F57999"/>
    <w:rsid w:val="77000421"/>
    <w:rsid w:val="770E3456"/>
    <w:rsid w:val="770F060F"/>
    <w:rsid w:val="771349B7"/>
    <w:rsid w:val="771763C0"/>
    <w:rsid w:val="77267FAD"/>
    <w:rsid w:val="772B7960"/>
    <w:rsid w:val="773128C1"/>
    <w:rsid w:val="77317722"/>
    <w:rsid w:val="7734689D"/>
    <w:rsid w:val="77350ABB"/>
    <w:rsid w:val="77353BB0"/>
    <w:rsid w:val="773874CD"/>
    <w:rsid w:val="7742069F"/>
    <w:rsid w:val="77422B77"/>
    <w:rsid w:val="77667120"/>
    <w:rsid w:val="77725F78"/>
    <w:rsid w:val="778B2BD6"/>
    <w:rsid w:val="778C70EA"/>
    <w:rsid w:val="77910850"/>
    <w:rsid w:val="77A02CCB"/>
    <w:rsid w:val="77AE1E46"/>
    <w:rsid w:val="77AE6466"/>
    <w:rsid w:val="77B0556B"/>
    <w:rsid w:val="77B65BA7"/>
    <w:rsid w:val="77BB69EB"/>
    <w:rsid w:val="77C63DBC"/>
    <w:rsid w:val="77D64FF5"/>
    <w:rsid w:val="77E12F89"/>
    <w:rsid w:val="77ED6081"/>
    <w:rsid w:val="78032CA0"/>
    <w:rsid w:val="78052171"/>
    <w:rsid w:val="78364E7A"/>
    <w:rsid w:val="78411F37"/>
    <w:rsid w:val="784C2AAC"/>
    <w:rsid w:val="784F01BC"/>
    <w:rsid w:val="78533B6B"/>
    <w:rsid w:val="786D0045"/>
    <w:rsid w:val="787550A9"/>
    <w:rsid w:val="78810F8D"/>
    <w:rsid w:val="788D4CF3"/>
    <w:rsid w:val="7890190A"/>
    <w:rsid w:val="7891567A"/>
    <w:rsid w:val="78975512"/>
    <w:rsid w:val="789B185C"/>
    <w:rsid w:val="78AC5F93"/>
    <w:rsid w:val="78B10645"/>
    <w:rsid w:val="78CA0296"/>
    <w:rsid w:val="78DD2EDD"/>
    <w:rsid w:val="78F970E4"/>
    <w:rsid w:val="78FA0A2F"/>
    <w:rsid w:val="78FA0F79"/>
    <w:rsid w:val="79026F34"/>
    <w:rsid w:val="790716E7"/>
    <w:rsid w:val="79094251"/>
    <w:rsid w:val="790F5416"/>
    <w:rsid w:val="79116834"/>
    <w:rsid w:val="79141BA4"/>
    <w:rsid w:val="791B4066"/>
    <w:rsid w:val="791E704F"/>
    <w:rsid w:val="79235345"/>
    <w:rsid w:val="79282296"/>
    <w:rsid w:val="7942170D"/>
    <w:rsid w:val="794637C2"/>
    <w:rsid w:val="794D338F"/>
    <w:rsid w:val="795135CA"/>
    <w:rsid w:val="79526176"/>
    <w:rsid w:val="795716E0"/>
    <w:rsid w:val="796D1764"/>
    <w:rsid w:val="796E3EA4"/>
    <w:rsid w:val="796E5657"/>
    <w:rsid w:val="79757D30"/>
    <w:rsid w:val="79767402"/>
    <w:rsid w:val="797861EC"/>
    <w:rsid w:val="797A1D8C"/>
    <w:rsid w:val="797D4E6E"/>
    <w:rsid w:val="79817AFD"/>
    <w:rsid w:val="79840635"/>
    <w:rsid w:val="799D3F71"/>
    <w:rsid w:val="799E29F4"/>
    <w:rsid w:val="79A874A6"/>
    <w:rsid w:val="79A968A6"/>
    <w:rsid w:val="79AB62FC"/>
    <w:rsid w:val="79AC1D98"/>
    <w:rsid w:val="79B42B32"/>
    <w:rsid w:val="79B7269D"/>
    <w:rsid w:val="79BE44FA"/>
    <w:rsid w:val="79C10BF5"/>
    <w:rsid w:val="79C353DB"/>
    <w:rsid w:val="79C9759A"/>
    <w:rsid w:val="79DA167B"/>
    <w:rsid w:val="79E2337A"/>
    <w:rsid w:val="79E354A9"/>
    <w:rsid w:val="7A055C28"/>
    <w:rsid w:val="7A1059AA"/>
    <w:rsid w:val="7A195B31"/>
    <w:rsid w:val="7A1D4BD9"/>
    <w:rsid w:val="7A1E2B23"/>
    <w:rsid w:val="7A217D95"/>
    <w:rsid w:val="7A2B544C"/>
    <w:rsid w:val="7A380976"/>
    <w:rsid w:val="7A403436"/>
    <w:rsid w:val="7A446B89"/>
    <w:rsid w:val="7A4652A6"/>
    <w:rsid w:val="7A4771B7"/>
    <w:rsid w:val="7A4B328B"/>
    <w:rsid w:val="7A4F01EA"/>
    <w:rsid w:val="7A5148AC"/>
    <w:rsid w:val="7A773C8D"/>
    <w:rsid w:val="7A8C1253"/>
    <w:rsid w:val="7A9F3A94"/>
    <w:rsid w:val="7AA530BC"/>
    <w:rsid w:val="7AA86EC7"/>
    <w:rsid w:val="7AB27670"/>
    <w:rsid w:val="7ABF3E2A"/>
    <w:rsid w:val="7ACA39BB"/>
    <w:rsid w:val="7ACD1580"/>
    <w:rsid w:val="7AD012D7"/>
    <w:rsid w:val="7AD125F8"/>
    <w:rsid w:val="7AD953FD"/>
    <w:rsid w:val="7ADE6419"/>
    <w:rsid w:val="7AE40B01"/>
    <w:rsid w:val="7AE72D4B"/>
    <w:rsid w:val="7AED57EC"/>
    <w:rsid w:val="7AF2351A"/>
    <w:rsid w:val="7AFA51F3"/>
    <w:rsid w:val="7AFB7EEB"/>
    <w:rsid w:val="7B12230D"/>
    <w:rsid w:val="7B1530AF"/>
    <w:rsid w:val="7B1E5118"/>
    <w:rsid w:val="7B1F6271"/>
    <w:rsid w:val="7B2106DF"/>
    <w:rsid w:val="7B225863"/>
    <w:rsid w:val="7B2D75C3"/>
    <w:rsid w:val="7B2F2881"/>
    <w:rsid w:val="7B362957"/>
    <w:rsid w:val="7B3D243E"/>
    <w:rsid w:val="7B3F67F2"/>
    <w:rsid w:val="7B4A6A24"/>
    <w:rsid w:val="7B5C6878"/>
    <w:rsid w:val="7B6373F9"/>
    <w:rsid w:val="7B6401E5"/>
    <w:rsid w:val="7B665DDD"/>
    <w:rsid w:val="7B73558E"/>
    <w:rsid w:val="7B7518E5"/>
    <w:rsid w:val="7B7C06DA"/>
    <w:rsid w:val="7B863371"/>
    <w:rsid w:val="7B8E7573"/>
    <w:rsid w:val="7B900AC9"/>
    <w:rsid w:val="7B9E3CE2"/>
    <w:rsid w:val="7BA211DF"/>
    <w:rsid w:val="7BA572B0"/>
    <w:rsid w:val="7BA62420"/>
    <w:rsid w:val="7BA734E1"/>
    <w:rsid w:val="7BAA34C0"/>
    <w:rsid w:val="7BAB30F3"/>
    <w:rsid w:val="7BB504F0"/>
    <w:rsid w:val="7BB64BB0"/>
    <w:rsid w:val="7BC55489"/>
    <w:rsid w:val="7BCE606E"/>
    <w:rsid w:val="7BD44183"/>
    <w:rsid w:val="7BE139E3"/>
    <w:rsid w:val="7BE20B18"/>
    <w:rsid w:val="7BF01992"/>
    <w:rsid w:val="7BFA0377"/>
    <w:rsid w:val="7C137F09"/>
    <w:rsid w:val="7C296A0F"/>
    <w:rsid w:val="7C306801"/>
    <w:rsid w:val="7C377E12"/>
    <w:rsid w:val="7C49264A"/>
    <w:rsid w:val="7C4B7BB0"/>
    <w:rsid w:val="7C4D7544"/>
    <w:rsid w:val="7C4F3E6E"/>
    <w:rsid w:val="7C684A4E"/>
    <w:rsid w:val="7C68754C"/>
    <w:rsid w:val="7C6D4A72"/>
    <w:rsid w:val="7C7C171E"/>
    <w:rsid w:val="7C872E59"/>
    <w:rsid w:val="7C9C1C28"/>
    <w:rsid w:val="7CA54C2B"/>
    <w:rsid w:val="7CAE701D"/>
    <w:rsid w:val="7CBA49A7"/>
    <w:rsid w:val="7CC722FC"/>
    <w:rsid w:val="7CCB3C20"/>
    <w:rsid w:val="7CCE0181"/>
    <w:rsid w:val="7CDB2A51"/>
    <w:rsid w:val="7CE01742"/>
    <w:rsid w:val="7CE307C9"/>
    <w:rsid w:val="7CE54237"/>
    <w:rsid w:val="7CE81E99"/>
    <w:rsid w:val="7CEA32FE"/>
    <w:rsid w:val="7CEB2EAC"/>
    <w:rsid w:val="7CF13EEF"/>
    <w:rsid w:val="7CF41B3D"/>
    <w:rsid w:val="7CF56960"/>
    <w:rsid w:val="7D0E4F43"/>
    <w:rsid w:val="7D13207E"/>
    <w:rsid w:val="7D162F43"/>
    <w:rsid w:val="7D317257"/>
    <w:rsid w:val="7D3828D0"/>
    <w:rsid w:val="7D4E68D1"/>
    <w:rsid w:val="7D556464"/>
    <w:rsid w:val="7D59210C"/>
    <w:rsid w:val="7D59732F"/>
    <w:rsid w:val="7D5D2FF6"/>
    <w:rsid w:val="7D67566B"/>
    <w:rsid w:val="7D7C4395"/>
    <w:rsid w:val="7D832BC0"/>
    <w:rsid w:val="7D8F7BF3"/>
    <w:rsid w:val="7D99557F"/>
    <w:rsid w:val="7DA67B89"/>
    <w:rsid w:val="7DB242A3"/>
    <w:rsid w:val="7DC42566"/>
    <w:rsid w:val="7DE92990"/>
    <w:rsid w:val="7DF779D4"/>
    <w:rsid w:val="7DFA1EC7"/>
    <w:rsid w:val="7DFD76B4"/>
    <w:rsid w:val="7DFF7E1F"/>
    <w:rsid w:val="7E0703F7"/>
    <w:rsid w:val="7E133F18"/>
    <w:rsid w:val="7E17670F"/>
    <w:rsid w:val="7E2417C6"/>
    <w:rsid w:val="7E2B64A4"/>
    <w:rsid w:val="7E38534E"/>
    <w:rsid w:val="7E4208E1"/>
    <w:rsid w:val="7E475AE9"/>
    <w:rsid w:val="7E4E48A7"/>
    <w:rsid w:val="7E526F3F"/>
    <w:rsid w:val="7E531466"/>
    <w:rsid w:val="7E5573EF"/>
    <w:rsid w:val="7E603997"/>
    <w:rsid w:val="7E6C2CC0"/>
    <w:rsid w:val="7E752AAC"/>
    <w:rsid w:val="7E7861FE"/>
    <w:rsid w:val="7E7F1613"/>
    <w:rsid w:val="7E840E77"/>
    <w:rsid w:val="7E9022ED"/>
    <w:rsid w:val="7E960365"/>
    <w:rsid w:val="7EA83607"/>
    <w:rsid w:val="7EB17240"/>
    <w:rsid w:val="7EC43904"/>
    <w:rsid w:val="7ED60BFE"/>
    <w:rsid w:val="7ED97F96"/>
    <w:rsid w:val="7EE10256"/>
    <w:rsid w:val="7EF55FF8"/>
    <w:rsid w:val="7F0245A7"/>
    <w:rsid w:val="7F057708"/>
    <w:rsid w:val="7F077624"/>
    <w:rsid w:val="7F086388"/>
    <w:rsid w:val="7F0F0CBC"/>
    <w:rsid w:val="7F1013DB"/>
    <w:rsid w:val="7F102BC9"/>
    <w:rsid w:val="7F1A32D8"/>
    <w:rsid w:val="7F1B3E76"/>
    <w:rsid w:val="7F245B8B"/>
    <w:rsid w:val="7F2664B8"/>
    <w:rsid w:val="7F332A7D"/>
    <w:rsid w:val="7F341EB3"/>
    <w:rsid w:val="7F3D13E2"/>
    <w:rsid w:val="7F403345"/>
    <w:rsid w:val="7F457219"/>
    <w:rsid w:val="7F5245AD"/>
    <w:rsid w:val="7F571B1F"/>
    <w:rsid w:val="7F6B6A89"/>
    <w:rsid w:val="7F6C4D2C"/>
    <w:rsid w:val="7F7C654D"/>
    <w:rsid w:val="7F7D5458"/>
    <w:rsid w:val="7F8753BD"/>
    <w:rsid w:val="7F97487F"/>
    <w:rsid w:val="7FD23EF4"/>
    <w:rsid w:val="7FD824F2"/>
    <w:rsid w:val="7FD82B8B"/>
    <w:rsid w:val="7FDA7AFC"/>
    <w:rsid w:val="7FDE044F"/>
    <w:rsid w:val="7FE653A0"/>
    <w:rsid w:val="7FEA2076"/>
    <w:rsid w:val="7FF700D2"/>
    <w:rsid w:val="7FF8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Times New Roman" w:hAnsi="Times New Roman" w:eastAsia="宋体" w:cstheme="minorBidi"/>
      <w:kern w:val="2"/>
      <w:sz w:val="21"/>
      <w:szCs w:val="21"/>
      <w:lang w:val="en-US" w:eastAsia="zh-CN" w:bidi="ar-SA"/>
    </w:rPr>
  </w:style>
  <w:style w:type="paragraph" w:styleId="2">
    <w:name w:val="heading 2"/>
    <w:basedOn w:val="1"/>
    <w:next w:val="1"/>
    <w:unhideWhenUsed/>
    <w:qFormat/>
    <w:uiPriority w:val="0"/>
    <w:pPr>
      <w:keepNext/>
      <w:keepLines/>
      <w:spacing w:before="120" w:after="110"/>
      <w:jc w:val="left"/>
      <w:outlineLvl w:val="1"/>
    </w:pPr>
    <w:rPr>
      <w:rFonts w:ascii="宋体" w:hAnsi="宋体" w:eastAsia="仿宋_GB2312"/>
      <w:b/>
      <w:bCs/>
      <w:sz w:val="32"/>
      <w:szCs w:val="32"/>
    </w:rPr>
  </w:style>
  <w:style w:type="paragraph" w:styleId="3">
    <w:name w:val="heading 3"/>
    <w:basedOn w:val="1"/>
    <w:next w:val="1"/>
    <w:unhideWhenUsed/>
    <w:qFormat/>
    <w:uiPriority w:val="0"/>
    <w:pPr>
      <w:keepNext/>
      <w:keepLines/>
      <w:numPr>
        <w:ilvl w:val="2"/>
        <w:numId w:val="1"/>
      </w:numPr>
      <w:spacing w:before="260" w:after="260"/>
      <w:outlineLvl w:val="2"/>
    </w:pPr>
    <w:rPr>
      <w:rFonts w:ascii="方正美黑简体" w:eastAsia="方正美黑简体"/>
      <w:bCs/>
      <w:sz w:val="28"/>
      <w:szCs w:val="32"/>
    </w:rPr>
  </w:style>
  <w:style w:type="paragraph" w:styleId="4">
    <w:name w:val="heading 4"/>
    <w:basedOn w:val="1"/>
    <w:next w:val="1"/>
    <w:link w:val="18"/>
    <w:unhideWhenUsed/>
    <w:qFormat/>
    <w:uiPriority w:val="0"/>
    <w:pPr>
      <w:keepNext/>
      <w:keepLines/>
      <w:spacing w:line="240" w:lineRule="auto"/>
      <w:jc w:val="center"/>
      <w:outlineLvl w:val="3"/>
    </w:pPr>
    <w:rPr>
      <w:b/>
      <w:kern w:val="0"/>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line="480" w:lineRule="auto"/>
    </w:pPr>
    <w:rPr>
      <w:rFonts w:eastAsia="仿宋_GB231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表格内容"/>
    <w:basedOn w:val="1"/>
    <w:next w:val="1"/>
    <w:link w:val="17"/>
    <w:qFormat/>
    <w:uiPriority w:val="0"/>
    <w:pPr>
      <w:spacing w:line="240" w:lineRule="auto"/>
      <w:ind w:firstLine="0" w:firstLineChars="0"/>
      <w:jc w:val="center"/>
    </w:pPr>
    <w:rPr>
      <w:kern w:val="0"/>
    </w:rPr>
  </w:style>
  <w:style w:type="paragraph" w:customStyle="1" w:styleId="16">
    <w:name w:val="表格标题"/>
    <w:basedOn w:val="1"/>
    <w:next w:val="1"/>
    <w:qFormat/>
    <w:uiPriority w:val="0"/>
    <w:pPr>
      <w:spacing w:line="240" w:lineRule="auto"/>
    </w:pPr>
    <w:rPr>
      <w:rFonts w:cs="Times New Roman"/>
      <w:b/>
      <w:bCs/>
      <w:color w:val="000000"/>
    </w:rPr>
  </w:style>
  <w:style w:type="character" w:customStyle="1" w:styleId="17">
    <w:name w:val="表格内容 Char"/>
    <w:link w:val="15"/>
    <w:qFormat/>
    <w:uiPriority w:val="0"/>
    <w:rPr>
      <w:kern w:val="0"/>
    </w:rPr>
  </w:style>
  <w:style w:type="character" w:customStyle="1" w:styleId="18">
    <w:name w:val="标题 4 字符"/>
    <w:link w:val="4"/>
    <w:qFormat/>
    <w:uiPriority w:val="0"/>
    <w:rPr>
      <w:rFonts w:ascii="Times New Roman" w:hAnsi="Times New Roman" w:eastAsia="宋体"/>
      <w:b/>
      <w:kern w:val="0"/>
    </w:rPr>
  </w:style>
  <w:style w:type="paragraph" w:customStyle="1" w:styleId="19">
    <w:name w:val="表格样式"/>
    <w:basedOn w:val="1"/>
    <w:link w:val="20"/>
    <w:qFormat/>
    <w:uiPriority w:val="0"/>
    <w:pPr>
      <w:widowControl/>
      <w:jc w:val="center"/>
    </w:pPr>
    <w:rPr>
      <w:kern w:val="0"/>
      <w:sz w:val="20"/>
    </w:rPr>
  </w:style>
  <w:style w:type="character" w:customStyle="1" w:styleId="20">
    <w:name w:val="表格样式 Char"/>
    <w:link w:val="19"/>
    <w:qFormat/>
    <w:uiPriority w:val="0"/>
    <w:rPr>
      <w:kern w:val="0"/>
      <w:sz w:val="20"/>
      <w:szCs w:val="21"/>
    </w:rPr>
  </w:style>
  <w:style w:type="paragraph" w:customStyle="1" w:styleId="21">
    <w:name w:val="表格"/>
    <w:basedOn w:val="1"/>
    <w:next w:val="1"/>
    <w:qFormat/>
    <w:uiPriority w:val="0"/>
    <w:pPr>
      <w:spacing w:line="240" w:lineRule="auto"/>
      <w:ind w:firstLine="0" w:firstLineChars="0"/>
      <w:jc w:val="center"/>
    </w:pPr>
    <w:rPr>
      <w:color w:val="000000"/>
    </w:rPr>
  </w:style>
  <w:style w:type="paragraph" w:customStyle="1" w:styleId="22">
    <w:name w:val="纯文本1"/>
    <w:basedOn w:val="1"/>
    <w:qFormat/>
    <w:uiPriority w:val="0"/>
    <w:pPr>
      <w:tabs>
        <w:tab w:val="left" w:pos="2760"/>
      </w:tabs>
      <w:adjustRightInd w:val="0"/>
    </w:pPr>
    <w:rPr>
      <w:rFonts w:ascii="宋体" w:hAnsi="Courier New"/>
      <w:szCs w:val="20"/>
    </w:rPr>
  </w:style>
  <w:style w:type="paragraph" w:customStyle="1" w:styleId="23">
    <w:name w:val="默认段落"/>
    <w:basedOn w:val="1"/>
    <w:qFormat/>
    <w:uiPriority w:val="0"/>
    <w:rPr>
      <w:rFonts w:ascii="Calibri" w:hAnsi="Calibri" w:eastAsia="宋体" w:cs="Times New Roman"/>
    </w:rPr>
  </w:style>
  <w:style w:type="paragraph" w:customStyle="1" w:styleId="24">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5023</Words>
  <Characters>28634</Characters>
  <Lines>238</Lines>
  <Paragraphs>67</Paragraphs>
  <TotalTime>21</TotalTime>
  <ScaleCrop>false</ScaleCrop>
  <LinksUpToDate>false</LinksUpToDate>
  <CharactersWithSpaces>33590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2021-03-24T03:35:00Z</dcterms:created>
  <dc:creator>Administrator</dc:creator>
  <cp:lastModifiedBy>Administrator</cp:lastModifiedBy>
  <cp:lastPrinted>2021-11-12T02:51:00Z</cp:lastPrinted>
  <dcterms:modified xsi:type="dcterms:W3CDTF">2024-05-09T03:12:17Z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EE41AA853BA34D6BAAE3D8287A132761</vt:lpwstr>
  </property>
</Properties>
</file>