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31</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关于胡杨河龙铭浩新材料科技有限公司生产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工程陶瓷材料碳化硼及陶瓷制品建设项目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胡杨河龙铭浩新材料科技有限公司：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你公司《关于审批&lt;胡杨河龙铭浩新材料科技有限公司生产工程陶瓷材料碳化硼及陶瓷制品建设项目环境影响报告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一、该项目位于胡杨河经济技术开发区南区精细化工产业、新材料产业、新型建材产业区，项目区中心地理坐标为东经84°51′27.786″，北纬44°49′13.419″。项目</w:t>
      </w:r>
      <w:r>
        <w:rPr>
          <w:rFonts w:hint="default" w:ascii="Times New Roman" w:hAnsi="Times New Roman" w:eastAsia="仿宋_GB2312" w:cs="Times New Roman"/>
          <w:sz w:val="32"/>
          <w:szCs w:val="32"/>
          <w:highlight w:val="none"/>
          <w:lang w:val="en-US" w:eastAsia="zh-CN"/>
        </w:rPr>
        <w:t>建设规模为</w:t>
      </w:r>
      <w:r>
        <w:rPr>
          <w:rFonts w:hint="eastAsia" w:ascii="Times New Roman" w:hAnsi="Times New Roman" w:eastAsia="仿宋_GB2312" w:cs="Times New Roman"/>
          <w:sz w:val="32"/>
          <w:szCs w:val="32"/>
          <w:highlight w:val="none"/>
          <w:lang w:val="en-US" w:eastAsia="zh-CN"/>
        </w:rPr>
        <w:t>年产陶瓷碳化硼2000吨/年（一期），建设生产车间、石墨及备品库件库房、综合楼、库房等，同时配套循环水池、变配电室等公用工程设施</w:t>
      </w:r>
      <w:r>
        <w:rPr>
          <w:rFonts w:hint="default" w:ascii="Times New Roman" w:hAnsi="Times New Roman" w:eastAsia="仿宋_GB2312" w:cs="Times New Roman"/>
          <w:sz w:val="32"/>
          <w:szCs w:val="32"/>
        </w:rPr>
        <w:t>。项目总投资8500万元，其中环保投资168万元，占总投资1.98%。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3"/>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原料投料、粉碎及混料废气经“集气罩+布袋除尘器”处理后，由15米高排气筒排放；碳化硼冶炼废气经“集气管道密闭负压收集+风冷+布袋除尘器”处理后，由15米高排气筒排放；冶炼炉开炉烟气、碳化硼成品破碎粉尘通过“集气罩”收集引入冶炼废气除尘系统处理后</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由15米高排气筒排放。原料投料、粉碎及混料废气中颗粒物排放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《大气污染物综合排放标准》（GB16297-1996）表2新污染源大气污染物排放二级标准限值要求，冶炼烟气中颗粒物、二氧化硫、氮氧化物排放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《兵团工业炉窑大气污染综合治理实施方案》（兵环发〔2019〕139号）重点区域排放限值要求。</w:t>
      </w:r>
    </w:p>
    <w:p>
      <w:pPr>
        <w:pStyle w:val="23"/>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生产车间密闭，定期洒水降尘；加强生产管理，提高设备的密封性能，严格控制系统的负压指标，避免废气外逸；加强厂区绿化，设置绿化隔离带，以减少无组织废气对周围环境的影响。厂界颗粒物无组织排放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《大气污染物综合排放标准》（GB16297-1996）中表2新污染源大气污染物排放限值要求。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项</w:t>
      </w:r>
      <w:r>
        <w:rPr>
          <w:rFonts w:hint="eastAsia" w:eastAsia="仿宋_GB2312" w:cs="Times New Roman"/>
          <w:spacing w:val="-6"/>
          <w:sz w:val="32"/>
          <w:szCs w:val="32"/>
          <w:lang w:val="en-US" w:eastAsia="zh-CN"/>
        </w:rPr>
        <w:t>目二氧化硫、氮氧化物排放总量分别不超过11.94t/a、18.20t/a。</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（二）严格落实水污染防治措施。本项目无生产废水排放，项目主要排水为生活污水。生活污水经地埋</w:t>
      </w:r>
      <w:bookmarkStart w:id="0" w:name="_GoBack"/>
      <w:bookmarkEnd w:id="0"/>
      <w:r>
        <w:rPr>
          <w:rFonts w:hint="default" w:ascii="Times New Roman" w:hAnsi="Times New Roman" w:eastAsia="仿宋_GB2312" w:cs="Times New Roman"/>
          <w:sz w:val="32"/>
          <w:szCs w:val="32"/>
        </w:rPr>
        <w:t>式防渗化粪池预处理后满足《污水综合排放标准》（GB8978-1996）表4中三级排放标准，经园区管网最终进入胡杨河经济技术开发区南园区污水处理厂。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布袋除尘器收集的粉尘、不合格品作为原料回用于生产、废包装袋外售。废机油属于危险废物，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运输技术规范》（HJ2025-2012）和《危险废物转移管理办法》要求进行。生活垃圾集中收集后由环卫部门统一清运至胡杨河经济技术开发区南区生活垃圾填埋场处理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地下水环境》（HJ610-2016）要求，将厂区划分为重点防渗区、一般防渗区。</w:t>
      </w:r>
      <w:r>
        <w:rPr>
          <w:rFonts w:hint="eastAsia" w:ascii="Times New Roman" w:hAnsi="Times New Roman" w:eastAsia="仿宋_GB2312" w:cs="Times New Roman"/>
          <w:bCs/>
          <w:iCs/>
          <w:kern w:val="2"/>
          <w:sz w:val="32"/>
          <w:szCs w:val="21"/>
          <w:highlight w:val="none"/>
          <w:lang w:val="en-US" w:eastAsia="zh-CN" w:bidi="ar-SA"/>
        </w:rPr>
        <w:t>危</w:t>
      </w:r>
      <w:r>
        <w:rPr>
          <w:rFonts w:hint="eastAsia" w:eastAsia="仿宋_GB2312" w:cs="Times New Roman"/>
          <w:bCs/>
          <w:iCs/>
          <w:kern w:val="2"/>
          <w:sz w:val="32"/>
          <w:szCs w:val="21"/>
          <w:highlight w:val="none"/>
          <w:lang w:val="en-US" w:eastAsia="zh-CN" w:bidi="ar-SA"/>
        </w:rPr>
        <w:t>险</w:t>
      </w:r>
      <w:r>
        <w:rPr>
          <w:rFonts w:hint="eastAsia" w:ascii="Times New Roman" w:hAnsi="Times New Roman" w:eastAsia="仿宋_GB2312" w:cs="Times New Roman"/>
          <w:bCs/>
          <w:iCs/>
          <w:kern w:val="2"/>
          <w:sz w:val="32"/>
          <w:szCs w:val="21"/>
          <w:highlight w:val="none"/>
          <w:lang w:val="en-US" w:eastAsia="zh-CN" w:bidi="ar-SA"/>
        </w:rPr>
        <w:t>废</w:t>
      </w:r>
      <w:r>
        <w:rPr>
          <w:rFonts w:hint="eastAsia" w:eastAsia="仿宋_GB2312" w:cs="Times New Roman"/>
          <w:bCs/>
          <w:iCs/>
          <w:kern w:val="2"/>
          <w:sz w:val="32"/>
          <w:szCs w:val="21"/>
          <w:highlight w:val="none"/>
          <w:lang w:val="en-US" w:eastAsia="zh-CN" w:bidi="ar-SA"/>
        </w:rPr>
        <w:t>物</w:t>
      </w:r>
      <w:r>
        <w:rPr>
          <w:rFonts w:hint="eastAsia" w:ascii="Times New Roman" w:hAnsi="Times New Roman" w:eastAsia="仿宋_GB2312" w:cs="Times New Roman"/>
          <w:bCs/>
          <w:iCs/>
          <w:kern w:val="2"/>
          <w:sz w:val="32"/>
          <w:szCs w:val="21"/>
          <w:highlight w:val="none"/>
          <w:lang w:val="en-US" w:eastAsia="zh-CN" w:bidi="ar-SA"/>
        </w:rPr>
        <w:t>暂存间、化粪池为重点污染防治区</w:t>
      </w:r>
      <w:r>
        <w:rPr>
          <w:rFonts w:hint="default" w:ascii="Times New Roman" w:hAnsi="Times New Roman" w:eastAsia="仿宋_GB2312" w:cs="Times New Roman"/>
          <w:bCs/>
          <w:sz w:val="32"/>
          <w:szCs w:val="32"/>
        </w:rPr>
        <w:t>，冶炼车间、硼酸库、原料库为一般污染防治区</w:t>
      </w:r>
      <w:r>
        <w:rPr>
          <w:rFonts w:hint="eastAsia" w:eastAsia="仿宋_GB2312" w:cs="Times New Roman"/>
          <w:bCs/>
          <w:sz w:val="32"/>
          <w:szCs w:val="32"/>
          <w:lang w:eastAsia="zh-CN"/>
        </w:rPr>
        <w:t>，</w:t>
      </w:r>
      <w:r>
        <w:rPr>
          <w:rFonts w:hint="eastAsia" w:ascii="Times New Roman" w:hAnsi="Times New Roman" w:eastAsia="仿宋_GB2312" w:cs="Times New Roman"/>
          <w:bCs/>
          <w:iCs/>
          <w:kern w:val="2"/>
          <w:sz w:val="32"/>
          <w:szCs w:val="21"/>
          <w:highlight w:val="none"/>
          <w:lang w:val="en-US" w:eastAsia="zh-CN" w:bidi="ar-SA"/>
        </w:rPr>
        <w:t>综合楼、辅助用房、除尘设施区域、低压室、厂区道路为简单防渗区</w:t>
      </w:r>
      <w:r>
        <w:rPr>
          <w:rFonts w:hint="default" w:ascii="Times New Roman" w:hAnsi="Times New Roman" w:eastAsia="仿宋_GB2312" w:cs="Times New Roman"/>
          <w:bCs/>
          <w:sz w:val="32"/>
          <w:szCs w:val="32"/>
        </w:rPr>
        <w:t>。生产运行过程中强化监控手段，定期检查，杜绝厂区内有事故性排放点源的存在，保护项目区地下水资源；落实地下水污染风险防范措施，避免对地下水环境造成污染。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59264;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5</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5">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unhideWhenUsed/>
    <w:qFormat/>
    <w:uiPriority w:val="99"/>
    <w:pPr>
      <w:snapToGrid w:val="0"/>
      <w:jc w:val="left"/>
    </w:pPr>
    <w:rPr>
      <w:rFonts w:ascii="Calibri" w:hAnsi="Calibri" w:eastAsia="仿宋" w:cs="Times New Roman"/>
      <w:sz w:val="18"/>
      <w:szCs w:val="18"/>
    </w:rPr>
  </w:style>
  <w:style w:type="paragraph" w:styleId="3">
    <w:name w:val="index 5"/>
    <w:basedOn w:val="1"/>
    <w:next w:val="1"/>
    <w:autoRedefine/>
    <w:qFormat/>
    <w:uiPriority w:val="0"/>
    <w:pPr>
      <w:ind w:left="800" w:leftChars="800"/>
    </w:pPr>
  </w:style>
  <w:style w:type="paragraph" w:styleId="6">
    <w:name w:val="Normal Indent"/>
    <w:basedOn w:val="1"/>
    <w:autoRedefine/>
    <w:semiHidden/>
    <w:unhideWhenUsed/>
    <w:qFormat/>
    <w:uiPriority w:val="99"/>
    <w:pPr>
      <w:ind w:firstLine="420" w:firstLineChars="200"/>
    </w:pPr>
    <w:rPr>
      <w:sz w:val="32"/>
    </w:r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7"/>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纯文本1"/>
    <w:basedOn w:val="1"/>
    <w:autoRedefine/>
    <w:qFormat/>
    <w:uiPriority w:val="0"/>
    <w:pPr>
      <w:adjustRightInd w:val="0"/>
      <w:textAlignment w:val="baseline"/>
    </w:pPr>
    <w:rPr>
      <w:rFonts w:ascii="宋体" w:hAnsi="Courier New"/>
      <w:szCs w:val="20"/>
    </w:rPr>
  </w:style>
  <w:style w:type="character" w:customStyle="1" w:styleId="25">
    <w:name w:val="页眉 字符"/>
    <w:basedOn w:val="19"/>
    <w:link w:val="13"/>
    <w:autoRedefine/>
    <w:qFormat/>
    <w:uiPriority w:val="99"/>
    <w:rPr>
      <w:sz w:val="18"/>
      <w:szCs w:val="18"/>
    </w:rPr>
  </w:style>
  <w:style w:type="character" w:customStyle="1" w:styleId="26">
    <w:name w:val="页脚 字符"/>
    <w:basedOn w:val="19"/>
    <w:link w:val="12"/>
    <w:autoRedefine/>
    <w:qFormat/>
    <w:uiPriority w:val="99"/>
    <w:rPr>
      <w:sz w:val="18"/>
      <w:szCs w:val="18"/>
    </w:rPr>
  </w:style>
  <w:style w:type="character" w:customStyle="1" w:styleId="27">
    <w:name w:val="正文文本缩进 字符"/>
    <w:basedOn w:val="19"/>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12</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2024-05-08T11:59:10Z</cp:lastPrinted>
  <dcterms:modified xsi:type="dcterms:W3CDTF">2024-05-08T12:09:46Z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69CA22FA826C42048BF9E46873F3CDD4_13</vt:lpwstr>
  </property>
</Properties>
</file>