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snapToGrid w:val="0"/>
          <w:color w:val="auto"/>
          <w:kern w:val="0"/>
          <w:szCs w:val="32"/>
          <w:highlight w:val="none"/>
          <w:lang w:val="en-US" w:eastAsia="zh-CN"/>
        </w:rPr>
        <w:t>2</w:t>
      </w:r>
      <w:r>
        <w:rPr>
          <w:rFonts w:hint="eastAsia" w:eastAsia="仿宋_GB2312" w:cs="Times New Roman"/>
          <w:snapToGrid w:val="0"/>
          <w:color w:val="auto"/>
          <w:kern w:val="0"/>
          <w:szCs w:val="32"/>
          <w:highlight w:val="none"/>
          <w:lang w:val="en-US" w:eastAsia="zh-CN"/>
        </w:rPr>
        <w:t>8</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于排761-斜1等两口探井项目环境影响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中石化新疆新春石油有限责任公司：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你单位《关于审批排761-斜</w:t>
      </w:r>
      <w:bookmarkStart w:id="0" w:name="_GoBack"/>
      <w:bookmarkEnd w:id="0"/>
      <w:r>
        <w:rPr>
          <w:rFonts w:hint="default" w:ascii="Times New Roman" w:hAnsi="Times New Roman" w:eastAsia="仿宋_GB2312" w:cs="Times New Roman"/>
          <w:bCs/>
          <w:color w:val="auto"/>
          <w:szCs w:val="32"/>
          <w:highlight w:val="none"/>
        </w:rPr>
        <w:t>1等两口探井项目环境影响报告表的请示》收悉。经研究，批复如下：</w:t>
      </w:r>
    </w:p>
    <w:p>
      <w:pPr>
        <w:pStyle w:val="12"/>
        <w:keepNext w:val="0"/>
        <w:keepLines w:val="0"/>
        <w:pageBreakBefore w:val="0"/>
        <w:widowControl w:val="0"/>
        <w:kinsoku/>
        <w:wordWrap/>
        <w:overflowPunct/>
        <w:topLinePunct w:val="0"/>
        <w:autoSpaceDE/>
        <w:autoSpaceDN/>
        <w:bidi w:val="0"/>
        <w:spacing w:after="0" w:line="54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位于第七师128团4连东侧2.75公里处</w:t>
      </w:r>
      <w:r>
        <w:rPr>
          <w:rFonts w:hint="default" w:ascii="Times New Roman" w:hAnsi="Times New Roman" w:eastAsia="仿宋_GB2312" w:cs="Times New Roman"/>
          <w:szCs w:val="32"/>
        </w:rPr>
        <w:t>，项目区中心</w:t>
      </w:r>
      <w:r>
        <w:rPr>
          <w:rFonts w:hint="default" w:ascii="Times New Roman" w:hAnsi="Times New Roman" w:eastAsia="仿宋_GB2312" w:cs="Times New Roman"/>
          <w:bCs/>
          <w:szCs w:val="32"/>
        </w:rPr>
        <w:t>地理坐标为：东经84°40′17.350″，北纬45°3′32.910″</w:t>
      </w:r>
      <w:r>
        <w:rPr>
          <w:rFonts w:hint="default" w:ascii="Times New Roman" w:hAnsi="Times New Roman" w:eastAsia="仿宋_GB2312" w:cs="Times New Roman"/>
          <w:bCs/>
          <w:color w:val="000000" w:themeColor="text1"/>
          <w:szCs w:val="32"/>
          <w14:textFill>
            <w14:solidFill>
              <w14:schemeClr w14:val="tx1"/>
            </w14:solidFill>
          </w14:textFill>
        </w:rPr>
        <w:t>。项目部署开发准备井2口（排761-斜1井、斜2井），采用二开井身结构</w:t>
      </w:r>
      <w:r>
        <w:rPr>
          <w:rFonts w:hint="eastAsia"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14:textFill>
            <w14:solidFill>
              <w14:schemeClr w14:val="tx1"/>
            </w14:solidFill>
          </w14:textFill>
        </w:rPr>
        <w:t>建设钻井及试油工程相关设施。项目主要包括主体工程、辅助工程、储运工程、公用工程、环保工程和依托工程</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项目为油气勘探工程，分钻前工程、钻井工程、试油、完井及封井四个阶段。在钻井施工完毕后，对目的层进行试油作业，试油作业结束后，如该油井具备商业开采价值，则对油井进行关井，后期根据油田开发要求转入开采井（转开采井另进行评价）；如该油井不具备开采价值，</w:t>
      </w:r>
      <w:r>
        <w:rPr>
          <w:rFonts w:hint="default" w:ascii="Times New Roman" w:hAnsi="Times New Roman" w:eastAsia="仿宋_GB2312" w:cs="Times New Roman"/>
          <w:bCs/>
          <w:color w:val="000000" w:themeColor="text1"/>
          <w:szCs w:val="32"/>
          <w14:textFill>
            <w14:solidFill>
              <w14:schemeClr w14:val="tx1"/>
            </w14:solidFill>
          </w14:textFill>
        </w:rPr>
        <w:t>则按照《废弃井及长停井处置指南》（SY/T 6646-2017）中封井规范进行退役封井处置，并将临时占地恢复原貌，拆除所有地面生产设施、平整井场。项目总投资1245万元，其中环保投资229.8万元，占总投资的18.46%。</w:t>
      </w:r>
    </w:p>
    <w:p>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划定施工区域，施工作业时最大程度地保护农田的生态环境；强化施工管理，增强施工人员的环境保护意识，严格控制施工机械、施工作业带的范围，严禁随意扩大扰动范围；缩小施工作业面和减少扰动面积；做好土石方平衡，降低工程开挖造成的水土流失；合理安排施工时间及工序，避开大风天气，弃土及时处置；施工中合理组织材料的拉运，合理安排施工进度，砂石料及时拉入现场，并尽快施工，避免在堆放过程中，沙土飞扬，影响区域环境质量；施工作业结束后，及时平整各类施工迹地，恢复原有地貌，防止新增水土流失；提高施工效率，缩短施工时间，以保持耕作层肥力，缩短农业生产季节的损失。项目区临时总占地面积为4000平方米，占地类型为林地，占地及补偿应按照有关工程征地及补偿要求进行，由相关部门许可后方可开工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合理安排工期，避免在大风天气施工作业，规范施工营地，施工区域设置围栏；施工器械、建筑材料按固定场分类停放和堆存；加强路面养护，控制车速，施工场地、道路定期洒水，运输车辆必须加盖篷布，合理规划运输道路线路，施工车辆严格按照规定线路行驶，严禁乱碾乱压；定期对钻机、柴油发电机等设备进行维护，钻井过程中选用高性能柴油发电机，使用优质柴油，提高效率，减少燃烧废气的无组织排放；伴生气经过液气分离后通过放喷池点火排放。试油期井场的厂界非甲烷总烃排放浓度执行《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进入泥浆不落地系统处理，分离出液相回用，钻井作业前井场铺设防渗膜；洗井废水、试油废水经罐车收集拉运至春风一号联合站处理达到《碎屑岩油藏注水水质指标技术要求及分析方法》（SY/T5329－2022）相关要求后回注地层；转移车辆安装GPS全程定位，并保存相关影像资料；生活污水依托周边民房现有处理设施处理。井场油罐、发电机、材料堆场等关键部位均采用防渗膜防渗，井筒采用下套管注水泥固井完井方式，对含水层进行固封处理，避免钻井液渗漏污染地下水</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《建筑施工场界环境噪声排放标准》（GB12523-2011）中限值要求</w:t>
      </w:r>
      <w:r>
        <w:rPr>
          <w:rFonts w:hint="default" w:ascii="Times New Roman" w:hAnsi="Times New Roman" w:eastAsia="仿宋_GB2312" w:cs="Times New Roman"/>
          <w:bCs/>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项目钻井采用泥浆不落地系统，钻井岩屑随泥浆一同进入泥浆不落地系统处理，在井场进行固液分离，分离后的液相回用于钻井液配备，固相进入岩屑储存罐，委托有相关资质单位进行处理。各钻井队在完钻及钻机搬迁后，及时清理井场及其周围使用过的物料，恢复原地貌，做到“工完、料尽、场地清”</w:t>
      </w:r>
      <w:r>
        <w:rPr>
          <w:rFonts w:hint="default" w:ascii="Times New Roman" w:hAnsi="Times New Roman" w:eastAsia="仿宋_GB2312" w:cs="Times New Roman"/>
          <w:bCs/>
          <w:szCs w:val="32"/>
        </w:rPr>
        <w:t>。试油期产生的废弃防渗膜、机械设备废油和事故状态可能会产生的落地油</w:t>
      </w:r>
      <w:r>
        <w:rPr>
          <w:rFonts w:hint="eastAsia" w:eastAsia="仿宋_GB2312" w:cs="Times New Roman"/>
          <w:bCs/>
          <w:szCs w:val="32"/>
          <w:lang w:val="en-US" w:eastAsia="zh-CN"/>
        </w:rPr>
        <w:t>属于危险废物，</w:t>
      </w:r>
      <w:r>
        <w:rPr>
          <w:rFonts w:hint="default" w:ascii="Times New Roman" w:hAnsi="Times New Roman" w:eastAsia="仿宋_GB2312" w:cs="Times New Roman"/>
          <w:bCs/>
          <w:color w:val="auto"/>
          <w:kern w:val="0"/>
          <w:sz w:val="32"/>
          <w:szCs w:val="32"/>
          <w:highlight w:val="none"/>
          <w:lang w:val="en-US" w:eastAsia="zh-CN" w:bidi="ar-SA"/>
        </w:rPr>
        <w:t>危险废物收集、运输</w:t>
      </w:r>
      <w:r>
        <w:rPr>
          <w:rFonts w:hint="default" w:ascii="Times New Roman" w:hAnsi="Times New Roman" w:eastAsia="仿宋_GB2312" w:cs="Times New Roman"/>
          <w:bCs/>
          <w:color w:val="000000" w:themeColor="text1"/>
          <w:szCs w:val="32"/>
          <w14:textFill>
            <w14:solidFill>
              <w14:schemeClr w14:val="tx1"/>
            </w14:solidFill>
          </w14:textFill>
        </w:rPr>
        <w:t>、储存</w:t>
      </w:r>
      <w:r>
        <w:rPr>
          <w:rFonts w:hint="eastAsia" w:eastAsia="仿宋_GB2312" w:cs="Times New Roman"/>
          <w:bCs/>
          <w:color w:val="000000" w:themeColor="text1"/>
          <w:szCs w:val="32"/>
          <w:lang w:val="en-US" w:eastAsia="zh-CN"/>
          <w14:textFill>
            <w14:solidFill>
              <w14:schemeClr w14:val="tx1"/>
            </w14:solidFill>
          </w14:textFill>
        </w:rPr>
        <w:t>须</w:t>
      </w:r>
      <w:r>
        <w:rPr>
          <w:rFonts w:hint="default" w:ascii="Times New Roman" w:hAnsi="Times New Roman" w:eastAsia="仿宋_GB2312" w:cs="Times New Roman"/>
          <w:bCs/>
          <w:color w:val="000000" w:themeColor="text1"/>
          <w:szCs w:val="32"/>
          <w14:textFill>
            <w14:solidFill>
              <w14:schemeClr w14:val="tx1"/>
            </w14:solidFill>
          </w14:textFill>
        </w:rPr>
        <w:t>严格按照《危险废物贮存污染控制标准》（GB18597-20</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23</w:t>
      </w:r>
      <w:r>
        <w:rPr>
          <w:rFonts w:hint="default" w:ascii="Times New Roman" w:hAnsi="Times New Roman" w:eastAsia="仿宋_GB2312" w:cs="Times New Roman"/>
          <w:bCs/>
          <w:color w:val="000000" w:themeColor="text1"/>
          <w:szCs w:val="32"/>
          <w14:textFill>
            <w14:solidFill>
              <w14:schemeClr w14:val="tx1"/>
            </w14:solidFill>
          </w14:textFill>
        </w:rPr>
        <w:t>）、《危险废物收集、贮存、运输技术规范》（HJ2025-2012）和《危险废物转移管理办法》等相关要求，委托有危险废物处置资质的单位处置。</w:t>
      </w:r>
      <w:r>
        <w:rPr>
          <w:rFonts w:hint="default" w:ascii="Times New Roman" w:hAnsi="Times New Roman" w:eastAsia="仿宋_GB2312" w:cs="Times New Roman"/>
          <w:bCs/>
          <w:szCs w:val="32"/>
        </w:rPr>
        <w:t>生活垃圾依托连队现有设施集中收集后，定期交由环卫部门统一清运</w:t>
      </w:r>
      <w:r>
        <w:rPr>
          <w:rFonts w:hint="default" w:ascii="Times New Roman" w:hAnsi="Times New Roman" w:eastAsia="仿宋_GB2312" w:cs="Times New Roman"/>
          <w:bCs/>
          <w:szCs w:val="32"/>
          <w:lang w:val="en-US" w:eastAsia="zh-CN"/>
        </w:rPr>
        <w:t>处理</w:t>
      </w:r>
      <w:r>
        <w:rPr>
          <w:rFonts w:hint="default" w:ascii="Times New Roman" w:hAnsi="Times New Roman" w:eastAsia="仿宋_GB2312" w:cs="Times New Roman"/>
          <w:bCs/>
          <w:szCs w:val="32"/>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（六）严格落实土壤污染防治措施。根据《环境影响评价技术导则 地下水环境》（HJ610-2016）要求，将厂区划分为重点防渗区、一般防渗区和简单防渗区。</w:t>
      </w:r>
      <w:r>
        <w:rPr>
          <w:rFonts w:hint="eastAsia" w:ascii="Times New Roman" w:hAnsi="Times New Roman" w:eastAsia="仿宋_GB2312"/>
          <w:bCs/>
          <w:sz w:val="32"/>
          <w:szCs w:val="32"/>
        </w:rPr>
        <w:t>项目柴油罐区、泥浆储罐、废水储罐、钻井液循环系统、应急池区域、发电机房及危险废物暂存间等属于重点防渗区</w:t>
      </w:r>
      <w:r>
        <w:rPr>
          <w:rFonts w:hint="default" w:ascii="Times New Roman" w:hAnsi="Times New Roman" w:eastAsia="仿宋_GB2312" w:cs="Times New Roman"/>
          <w:bCs/>
          <w:color w:val="auto"/>
          <w:szCs w:val="32"/>
          <w:highlight w:val="none"/>
        </w:rPr>
        <w:t>；</w:t>
      </w:r>
      <w:r>
        <w:rPr>
          <w:rFonts w:hint="eastAsia" w:ascii="Times New Roman" w:hAnsi="Times New Roman" w:eastAsia="仿宋_GB2312"/>
          <w:bCs/>
          <w:sz w:val="32"/>
          <w:szCs w:val="32"/>
        </w:rPr>
        <w:t>除重点防渗区的井场部分为一般防渗区</w:t>
      </w:r>
      <w:r>
        <w:rPr>
          <w:rFonts w:hint="default" w:ascii="Times New Roman" w:hAnsi="Times New Roman" w:eastAsia="仿宋_GB2312" w:cs="Times New Roman"/>
          <w:bCs/>
          <w:color w:val="auto"/>
          <w:szCs w:val="32"/>
          <w:highlight w:val="none"/>
        </w:rPr>
        <w:t>。严格落实土壤污染防治措施，避免对</w:t>
      </w:r>
      <w:r>
        <w:rPr>
          <w:rFonts w:hint="eastAsia" w:eastAsia="仿宋_GB2312" w:cs="Times New Roman"/>
          <w:bCs/>
          <w:color w:val="auto"/>
          <w:szCs w:val="32"/>
          <w:highlight w:val="none"/>
          <w:lang w:val="en-US" w:eastAsia="zh-CN"/>
        </w:rPr>
        <w:t>土壤</w:t>
      </w:r>
      <w:r>
        <w:rPr>
          <w:rFonts w:hint="default" w:ascii="Times New Roman" w:hAnsi="Times New Roman" w:eastAsia="仿宋_GB2312" w:cs="Times New Roman"/>
          <w:bCs/>
          <w:color w:val="auto"/>
          <w:szCs w:val="32"/>
          <w:highlight w:val="none"/>
        </w:rPr>
        <w:t>环境造成污染。</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（八）在工程运营过程中，应建立畅通的公众参与平台，加强宣传与沟通工作，及时解决公众提出的合理环境诉求。定期发布企业环境信息，并主动接受社会监督。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ascii="Times New Roman" w:hAnsi="Times New Roman" w:eastAsia="仿宋_GB2312" w:cs="Times New Roman"/>
          <w:bCs/>
          <w:color w:val="auto"/>
          <w:szCs w:val="32"/>
          <w:highlight w:val="none"/>
          <w:lang w:val="en-US" w:eastAsia="zh-CN"/>
        </w:rPr>
        <w:t>128团经济发展办公室</w:t>
      </w:r>
      <w:r>
        <w:rPr>
          <w:rFonts w:hint="default" w:ascii="Times New Roman" w:hAnsi="Times New Roman" w:eastAsia="仿宋_GB2312" w:cs="Times New Roman"/>
          <w:bCs/>
          <w:color w:val="auto"/>
          <w:szCs w:val="32"/>
          <w:highlight w:val="none"/>
        </w:rPr>
        <w:t>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128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23</w:t>
      </w:r>
      <w:r>
        <w:rPr>
          <w:rFonts w:hint="default" w:ascii="Times New Roman" w:hAnsi="Times New Roman" w:eastAsia="仿宋_GB2312" w:cs="Times New Roman"/>
          <w:bCs/>
          <w:color w:val="auto"/>
          <w:szCs w:val="32"/>
          <w:highlight w:val="none"/>
        </w:rPr>
        <w:t>日</w:t>
      </w:r>
    </w:p>
    <w:p>
      <w:pPr>
        <w:pStyle w:val="18"/>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18"/>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抄送：师市生态环境保护综合行政执法支队、生态环境监测站、128团经济发展办公室。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7E14CFA"/>
    <w:rsid w:val="08EC6D80"/>
    <w:rsid w:val="0994708F"/>
    <w:rsid w:val="128F6BA3"/>
    <w:rsid w:val="16B800EE"/>
    <w:rsid w:val="177121A0"/>
    <w:rsid w:val="20783D41"/>
    <w:rsid w:val="21162F81"/>
    <w:rsid w:val="21DD6837"/>
    <w:rsid w:val="24057B5F"/>
    <w:rsid w:val="24696853"/>
    <w:rsid w:val="247C78BD"/>
    <w:rsid w:val="260C6FC7"/>
    <w:rsid w:val="291034DE"/>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50CD705E"/>
    <w:rsid w:val="54231BA0"/>
    <w:rsid w:val="5A605F4A"/>
    <w:rsid w:val="609006D2"/>
    <w:rsid w:val="66BE66CF"/>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autoRedefine/>
    <w:qFormat/>
    <w:uiPriority w:val="0"/>
    <w:pPr>
      <w:keepNext/>
      <w:keepLines/>
      <w:spacing w:line="360" w:lineRule="auto"/>
      <w:ind w:firstLine="200" w:firstLineChars="200"/>
      <w:outlineLvl w:val="2"/>
    </w:pPr>
    <w:rPr>
      <w:bCs/>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rFonts w:ascii="Calibri" w:hAnsi="Calibri" w:eastAsia="仿宋" w:cs="Times New Roman"/>
      <w:sz w:val="18"/>
      <w:szCs w:val="18"/>
    </w:rPr>
  </w:style>
  <w:style w:type="paragraph" w:styleId="3">
    <w:name w:val="index 5"/>
    <w:basedOn w:val="1"/>
    <w:next w:val="1"/>
    <w:autoRedefine/>
    <w:qFormat/>
    <w:uiPriority w:val="0"/>
    <w:pPr>
      <w:ind w:left="800" w:leftChars="800"/>
    </w:pPr>
  </w:style>
  <w:style w:type="paragraph" w:styleId="7">
    <w:name w:val="Normal Indent"/>
    <w:basedOn w:val="1"/>
    <w:autoRedefine/>
    <w:qFormat/>
    <w:uiPriority w:val="0"/>
    <w:pPr>
      <w:ind w:firstLine="420" w:firstLineChars="200"/>
    </w:pPr>
    <w:rPr>
      <w:rFonts w:ascii="宋体" w:hAnsi="宋体"/>
    </w:rPr>
  </w:style>
  <w:style w:type="paragraph" w:styleId="8">
    <w:name w:val="Body Text"/>
    <w:basedOn w:val="1"/>
    <w:autoRedefine/>
    <w:qFormat/>
    <w:uiPriority w:val="0"/>
    <w:rPr>
      <w:rFonts w:eastAsia="华文中宋"/>
      <w:b/>
      <w:bCs/>
      <w:w w:val="90"/>
      <w:sz w:val="44"/>
    </w:rPr>
  </w:style>
  <w:style w:type="paragraph" w:styleId="9">
    <w:name w:val="Block Text"/>
    <w:basedOn w:val="1"/>
    <w:autoRedefine/>
    <w:qFormat/>
    <w:uiPriority w:val="99"/>
    <w:pPr>
      <w:spacing w:line="480" w:lineRule="exact"/>
      <w:ind w:left="-125" w:right="-56" w:firstLine="570"/>
    </w:pPr>
    <w:rPr>
      <w:sz w:val="28"/>
      <w:szCs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autoRedefine/>
    <w:unhideWhenUsed/>
    <w:qFormat/>
    <w:uiPriority w:val="99"/>
    <w:pPr>
      <w:spacing w:after="120" w:line="480" w:lineRule="auto"/>
    </w:pPr>
  </w:style>
  <w:style w:type="character" w:styleId="15">
    <w:name w:val="page number"/>
    <w:basedOn w:val="14"/>
    <w:autoRedefine/>
    <w:qFormat/>
    <w:uiPriority w:val="0"/>
  </w:style>
  <w:style w:type="paragraph" w:customStyle="1" w:styleId="16">
    <w:name w:val="Default"/>
    <w:basedOn w:val="17"/>
    <w:next w:val="1"/>
    <w:autoRedefine/>
    <w:unhideWhenUsed/>
    <w:qFormat/>
    <w:uiPriority w:val="0"/>
    <w:pPr>
      <w:tabs>
        <w:tab w:val="left" w:pos="2760"/>
      </w:tabs>
      <w:autoSpaceDE w:val="0"/>
      <w:autoSpaceDN w:val="0"/>
    </w:pPr>
    <w:rPr>
      <w:rFonts w:hAnsi="宋体" w:eastAsia="宋体"/>
      <w:color w:val="000000"/>
      <w:sz w:val="24"/>
    </w:rPr>
  </w:style>
  <w:style w:type="paragraph" w:customStyle="1" w:styleId="17">
    <w:name w:val="纯文本1"/>
    <w:basedOn w:val="1"/>
    <w:autoRedefine/>
    <w:qFormat/>
    <w:uiPriority w:val="0"/>
    <w:pPr>
      <w:tabs>
        <w:tab w:val="left" w:pos="2760"/>
      </w:tabs>
      <w:adjustRightInd w:val="0"/>
    </w:pPr>
    <w:rPr>
      <w:rFonts w:ascii="宋体" w:hAnsi="Courier New"/>
    </w:rPr>
  </w:style>
  <w:style w:type="paragraph" w:customStyle="1" w:styleId="18">
    <w:name w:val="Char"/>
    <w:basedOn w:val="1"/>
    <w:autoRedefine/>
    <w:qFormat/>
    <w:uiPriority w:val="0"/>
    <w:rPr>
      <w:rFonts w:cs="宋体"/>
      <w:sz w:val="28"/>
    </w:rPr>
  </w:style>
  <w:style w:type="paragraph" w:customStyle="1" w:styleId="19">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0">
    <w:name w:val="表字-书"/>
    <w:basedOn w:val="1"/>
    <w:autoRedefine/>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1922</Words>
  <Characters>2039</Characters>
  <Lines>11</Lines>
  <Paragraphs>3</Paragraphs>
  <TotalTime>16</TotalTime>
  <ScaleCrop>false</ScaleCrop>
  <LinksUpToDate>false</LinksUpToDate>
  <CharactersWithSpaces>2076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2024-04-19T03:29:15Z</cp:lastPrinted>
  <dcterms:modified xsi:type="dcterms:W3CDTF">2024-04-19T07:50:21Z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3817DDBF281E4DDBAF351950BEF8BD0F_13</vt:lpwstr>
  </property>
</Properties>
</file>