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w:t>
      </w:r>
      <w:r>
        <w:rPr>
          <w:rFonts w:hint="eastAsia" w:ascii="仿宋_GB2312" w:hAnsi="仿宋_GB2312" w:eastAsia="仿宋_GB2312" w:cs="仿宋_GB2312"/>
          <w:snapToGrid w:val="0"/>
          <w:color w:val="auto"/>
          <w:kern w:val="0"/>
          <w:szCs w:val="32"/>
          <w:highlight w:val="none"/>
        </w:rPr>
        <w:t>环审〔202</w:t>
      </w:r>
      <w:r>
        <w:rPr>
          <w:rFonts w:hint="eastAsia" w:ascii="仿宋_GB2312" w:hAnsi="仿宋_GB2312" w:eastAsia="仿宋_GB2312" w:cs="仿宋_GB2312"/>
          <w:snapToGrid w:val="0"/>
          <w:color w:val="auto"/>
          <w:kern w:val="0"/>
          <w:szCs w:val="32"/>
          <w:highlight w:val="none"/>
          <w:lang w:val="en-US" w:eastAsia="zh-CN"/>
        </w:rPr>
        <w:t>4</w:t>
      </w:r>
      <w:r>
        <w:rPr>
          <w:rFonts w:hint="eastAsia" w:ascii="仿宋_GB2312" w:hAnsi="仿宋_GB2312" w:eastAsia="仿宋_GB2312" w:cs="仿宋_GB2312"/>
          <w:snapToGrid w:val="0"/>
          <w:color w:val="auto"/>
          <w:kern w:val="0"/>
          <w:szCs w:val="32"/>
          <w:highlight w:val="none"/>
        </w:rPr>
        <w:t>〕</w:t>
      </w:r>
      <w:r>
        <w:rPr>
          <w:rFonts w:hint="eastAsia" w:ascii="仿宋_GB2312" w:hAnsi="仿宋_GB2312" w:eastAsia="仿宋_GB2312" w:cs="仿宋_GB2312"/>
          <w:snapToGrid w:val="0"/>
          <w:color w:val="auto"/>
          <w:kern w:val="0"/>
          <w:szCs w:val="32"/>
          <w:highlight w:val="none"/>
          <w:lang w:val="en-US" w:eastAsia="zh-CN"/>
        </w:rPr>
        <w:t>27</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default" w:ascii="Times New Roman" w:hAnsi="Times New Roman" w:eastAsia="方正小标宋简体" w:cs="Times New Roman"/>
          <w:color w:val="auto"/>
          <w:sz w:val="44"/>
          <w:szCs w:val="44"/>
          <w:highlight w:val="none"/>
          <w:lang w:val="zh-CN"/>
        </w:rPr>
        <w:t>关于新疆江浩电容科技有限公司铝电解电容器建设项目环境影响报告表</w:t>
      </w:r>
      <w:r>
        <w:rPr>
          <w:rFonts w:hint="eastAsia" w:ascii="方正小标宋简体" w:hAnsi="方正小标宋简体" w:eastAsia="方正小标宋简体" w:cs="方正小标宋简体"/>
          <w:color w:val="auto"/>
          <w:sz w:val="44"/>
          <w:szCs w:val="44"/>
          <w:highlight w:val="none"/>
          <w:lang w:val="en-US" w:eastAsia="zh-CN"/>
        </w:rPr>
        <w:t>的</w:t>
      </w:r>
      <w:r>
        <w:rPr>
          <w:rFonts w:hint="default" w:ascii="Times New Roman" w:hAnsi="Times New Roman" w:eastAsia="方正小标宋简体" w:cs="Times New Roman"/>
          <w:color w:val="auto"/>
          <w:sz w:val="44"/>
          <w:szCs w:val="44"/>
          <w:highlight w:val="none"/>
          <w:lang w:val="en-US" w:eastAsia="zh-CN"/>
        </w:rPr>
        <w:t>批复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新疆江浩电容科技有限公司：</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你单位《关于审批新疆江浩电容科技有限公司铝电解电容器建设项目环境影响报告表的请示》收悉。经研究，批复如下：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该项目位于第七师胡杨河经济技术开发区南区装备制造及新材料产业区内</w:t>
      </w:r>
      <w:r>
        <w:rPr>
          <w:rFonts w:hint="eastAsia" w:eastAsia="仿宋_GB2312" w:cs="Times New Roman"/>
          <w:color w:val="auto"/>
          <w:szCs w:val="32"/>
          <w:highlight w:val="none"/>
          <w:lang w:val="en-US" w:eastAsia="zh-CN"/>
        </w:rPr>
        <w:t>，</w:t>
      </w:r>
      <w:r>
        <w:rPr>
          <w:rFonts w:hint="eastAsia" w:ascii="仿宋_GB2312" w:hAnsi="仿宋_GB2312" w:eastAsia="仿宋_GB2312" w:cs="仿宋_GB2312"/>
          <w:bCs/>
          <w:szCs w:val="32"/>
          <w:lang w:val="en-US" w:eastAsia="zh-CN"/>
        </w:rPr>
        <w:t>项目区</w:t>
      </w:r>
      <w:r>
        <w:rPr>
          <w:rFonts w:hint="eastAsia" w:eastAsia="仿宋_GB2312" w:cs="Times New Roman"/>
          <w:color w:val="auto"/>
          <w:szCs w:val="32"/>
          <w:highlight w:val="none"/>
          <w:lang w:val="en-US" w:eastAsia="zh-CN"/>
        </w:rPr>
        <w:t>中心地理坐标为东经84°55′50.153″，北纬44°44′12.178″</w:t>
      </w:r>
      <w:r>
        <w:rPr>
          <w:rFonts w:hint="default" w:ascii="Times New Roman" w:hAnsi="Times New Roman" w:eastAsia="仿宋_GB2312" w:cs="Times New Roman"/>
          <w:color w:val="auto"/>
          <w:szCs w:val="32"/>
          <w:highlight w:val="none"/>
          <w:lang w:eastAsia="zh-CN"/>
        </w:rPr>
        <w:t>。项目新建4条全自动焊片铝电解电容器生产线。项目由主体工程、储运工程、公用工程、环保工程组成</w:t>
      </w:r>
      <w:r>
        <w:rPr>
          <w:rFonts w:hint="default" w:ascii="Times New Roman" w:hAnsi="Times New Roman" w:eastAsia="仿宋_GB2312" w:cs="Times New Roman"/>
          <w:color w:val="auto"/>
          <w:szCs w:val="32"/>
          <w:highlight w:val="none"/>
          <w:lang w:val="en-US" w:eastAsia="zh-CN"/>
        </w:rPr>
        <w:t>。项目年产1200万只铝电解电容器</w:t>
      </w:r>
      <w:r>
        <w:rPr>
          <w:rFonts w:hint="eastAsia" w:eastAsia="仿宋_GB2312" w:cs="Times New Roman"/>
          <w:color w:val="auto"/>
          <w:szCs w:val="32"/>
          <w:highlight w:val="none"/>
          <w:lang w:val="en-US" w:eastAsia="zh-CN"/>
        </w:rPr>
        <w:t>。项目总投资6000万元，其中环保投资21万元，占总投资的0.35%</w:t>
      </w:r>
      <w:r>
        <w:rPr>
          <w:rFonts w:hint="default" w:ascii="Times New Roman" w:hAnsi="Times New Roman" w:eastAsia="仿宋_GB2312" w:cs="Times New Roman"/>
          <w:color w:val="auto"/>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color w:val="000000" w:themeColor="text1"/>
          <w:kern w:val="0"/>
          <w:szCs w:val="32"/>
          <w14:textFill>
            <w14:solidFill>
              <w14:schemeClr w14:val="tx1"/>
            </w14:solidFill>
          </w14:textFill>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严格落实大气污染防治措施。含浸、装配/套管、老化过程工序产生的有机废气经活性炭吸附处理后，由15米高的排气筒排放；分切、铆卷工序产生的粉尘经布袋除尘器处理后，由15米高的排气筒排放。废气中非甲烷总烃、颗粒物排放</w:t>
      </w:r>
      <w:r>
        <w:rPr>
          <w:rFonts w:hint="eastAsia" w:eastAsia="仿宋_GB2312" w:cs="Times New Roman"/>
          <w:color w:val="000000" w:themeColor="text1"/>
          <w:kern w:val="0"/>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《大气污染物综合排放标准》（GB16297-1996）表2限值要求</w:t>
      </w:r>
      <w:r>
        <w:rPr>
          <w:rFonts w:hint="default" w:ascii="Times New Roman" w:hAnsi="Times New Roman" w:eastAsia="仿宋_GB2312" w:cs="Times New Roman"/>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szCs w:val="32"/>
          <w:lang w:val="en-US" w:eastAsia="zh-CN"/>
        </w:rPr>
        <w:t>加强对废气收集装置的维护，确保其气密性，增加活性炭更换频率；在车间顶部设置换气扇，加强车间通风换气；</w:t>
      </w:r>
      <w:r>
        <w:rPr>
          <w:rFonts w:hint="eastAsia" w:eastAsia="仿宋_GB2312" w:cs="Times New Roman"/>
          <w:bCs/>
          <w:szCs w:val="32"/>
          <w:lang w:val="en-US" w:eastAsia="zh-CN"/>
        </w:rPr>
        <w:t>定期对厂区洒水降尘，</w:t>
      </w:r>
      <w:r>
        <w:rPr>
          <w:rFonts w:hint="default" w:ascii="Times New Roman" w:hAnsi="Times New Roman" w:eastAsia="仿宋_GB2312" w:cs="Times New Roman"/>
          <w:bCs/>
          <w:szCs w:val="32"/>
          <w:lang w:val="en-US" w:eastAsia="zh-CN"/>
        </w:rPr>
        <w:t>大风天气停止装卸作业，厂区进行绿化。厂界非甲烷总烃</w:t>
      </w:r>
      <w:r>
        <w:rPr>
          <w:rFonts w:hint="eastAsia" w:eastAsia="仿宋_GB2312" w:cs="Times New Roman"/>
          <w:bCs/>
          <w:szCs w:val="32"/>
          <w:lang w:val="en-US" w:eastAsia="zh-CN"/>
        </w:rPr>
        <w:t>、颗粒物</w:t>
      </w:r>
      <w:r>
        <w:rPr>
          <w:rFonts w:hint="default" w:ascii="Times New Roman" w:hAnsi="Times New Roman" w:eastAsia="仿宋_GB2312" w:cs="Times New Roman"/>
          <w:bCs/>
          <w:szCs w:val="32"/>
          <w:lang w:val="en-US" w:eastAsia="zh-CN"/>
        </w:rPr>
        <w:t>无组织排放</w:t>
      </w:r>
      <w:r>
        <w:rPr>
          <w:rFonts w:hint="eastAsia" w:ascii="Times New Roman" w:hAnsi="Times New Roman" w:eastAsia="仿宋_GB2312" w:cs="Times New Roman"/>
          <w:bCs/>
          <w:szCs w:val="32"/>
          <w:lang w:val="en-US" w:eastAsia="zh-CN"/>
        </w:rPr>
        <w:t>执行</w:t>
      </w:r>
      <w:r>
        <w:rPr>
          <w:rFonts w:hint="default" w:ascii="Times New Roman" w:hAnsi="Times New Roman" w:eastAsia="仿宋_GB2312" w:cs="Times New Roman"/>
          <w:bCs/>
          <w:szCs w:val="32"/>
          <w:lang w:val="en-US" w:eastAsia="zh-CN"/>
        </w:rPr>
        <w:t>《大气污染物综合排放标准》（GB16297-1996）表2限值要求，厂内非甲烷总烃无组织排放</w:t>
      </w:r>
      <w:r>
        <w:rPr>
          <w:rFonts w:hint="eastAsia" w:ascii="Times New Roman" w:hAnsi="Times New Roman" w:eastAsia="仿宋_GB2312" w:cs="Times New Roman"/>
          <w:bCs/>
          <w:szCs w:val="32"/>
          <w:lang w:val="en-US" w:eastAsia="zh-CN"/>
        </w:rPr>
        <w:t>执行</w:t>
      </w:r>
      <w:r>
        <w:rPr>
          <w:rFonts w:hint="default" w:ascii="Times New Roman" w:hAnsi="Times New Roman" w:eastAsia="仿宋_GB2312" w:cs="Times New Roman"/>
          <w:bCs/>
          <w:szCs w:val="32"/>
          <w:lang w:val="en-US" w:eastAsia="zh-CN"/>
        </w:rPr>
        <w:t>《挥发性有机物无组织排放控制标准》（GB37822-2019）中表A.1厂区内VOCs限值要求</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（二）严格落实水污染防治措施。</w:t>
      </w:r>
      <w:r>
        <w:rPr>
          <w:rFonts w:hint="eastAsia" w:ascii="仿宋_GB2312" w:eastAsia="仿宋_GB2312"/>
          <w:bCs/>
          <w:szCs w:val="32"/>
          <w:lang w:val="en-US" w:eastAsia="zh-CN"/>
        </w:rPr>
        <w:t>清洗废水、制纯水反洗水经沉淀池沉淀后排入园区污水管网；生活污水经化粪池处理达到《污水综合排放标准》（GB8978-1996）中三级标准后，最终排入园区污水管网</w:t>
      </w:r>
      <w:r>
        <w:rPr>
          <w:rFonts w:hint="default" w:ascii="Times New Roman" w:hAnsi="Times New Roman" w:eastAsia="仿宋_GB2312" w:cs="Times New Roman"/>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严格落实噪声污染防治措施。选择先进可靠的低噪声设备，对高噪声设备采取安装减振垫、用弹性连接代替设备与地面刚性连接、在噪声源强较大的设备处设置围护等措施；定期维护设备，确保设备运行状态良好；厂区种植绿化隔离带。厂界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《工业企业厂界环境噪声排放标准》（GB12348-2008）中3类标准要求</w:t>
      </w:r>
      <w:r>
        <w:rPr>
          <w:rFonts w:hint="default" w:ascii="Times New Roman" w:hAnsi="Times New Roman" w:eastAsia="仿宋_GB2312" w:cs="Times New Roman"/>
          <w:szCs w:val="32"/>
          <w:highlight w:val="none"/>
          <w:lang w:val="en-US" w:eastAsia="zh-CN"/>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）固体废物实施分类管理并妥善处理处置。不合格品、沉淀池固废集中收集后暂存于一般固废暂存间，定期外售废品回收站</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废活性炭由厂家定期更换。废电容</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废电解液桶</w:t>
      </w:r>
      <w:r>
        <w:rPr>
          <w:rFonts w:hint="eastAsia" w:eastAsia="仿宋_GB2312" w:cs="Times New Roman"/>
          <w:bCs/>
          <w:color w:val="auto"/>
          <w:szCs w:val="32"/>
          <w:highlight w:val="none"/>
          <w:lang w:eastAsia="zh-CN"/>
        </w:rPr>
        <w:t>、废润滑油、废活性炭</w:t>
      </w:r>
      <w:r>
        <w:rPr>
          <w:rFonts w:hint="eastAsia" w:ascii="仿宋_GB2312" w:hAnsi="仿宋_GB2312" w:eastAsia="仿宋_GB2312" w:cs="仿宋_GB2312"/>
          <w:bCs/>
          <w:sz w:val="32"/>
          <w:szCs w:val="32"/>
          <w:lang w:val="en-US" w:eastAsia="zh-CN"/>
        </w:rPr>
        <w:t>属于危险废物，</w:t>
      </w:r>
      <w:r>
        <w:rPr>
          <w:rFonts w:hint="default" w:ascii="Times New Roman" w:hAnsi="Times New Roman" w:eastAsia="仿宋_GB2312" w:cs="Times New Roman"/>
          <w:bCs/>
          <w:color w:val="auto"/>
          <w:kern w:val="0"/>
          <w:sz w:val="32"/>
          <w:szCs w:val="32"/>
          <w:highlight w:val="none"/>
          <w:lang w:val="en-US" w:eastAsia="zh-CN" w:bidi="ar-SA"/>
        </w:rPr>
        <w:t>暂存于危险废物暂存间内，定期委托有危险废物处置资质的单位进行处置。危险废物收集、运输须按照《危险废物收集 贮存 运输技术规范》（HJ2025-2012）和《危险废物转移管理办法》要求进行。生活垃圾集中收集后由环卫部门统一清运至垃圾填埋场处理。</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）严格落实地下水污染防治措施。根据《环境影响评价技术导则 地下水环境》（HJ610-2016）要求，将厂区划分为重点防渗区、一般防渗区和简单防渗区。危险废物暂存间为重点防渗区；生产车间、仓库、一般固废暂存间为一般防渗区，其他区域为简单防渗区。严格落实地下水污染防范措施，避免对地下水环境造成污染。</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八</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w:t>
      </w:r>
      <w:r>
        <w:rPr>
          <w:rFonts w:hint="eastAsia" w:eastAsia="仿宋_GB2312" w:cs="Times New Roman"/>
          <w:bCs/>
          <w:color w:val="auto"/>
          <w:szCs w:val="32"/>
          <w:highlight w:val="none"/>
          <w:lang w:val="en-US" w:eastAsia="zh-CN"/>
        </w:rPr>
        <w:t>表</w:t>
      </w:r>
      <w:r>
        <w:rPr>
          <w:rFonts w:hint="default" w:ascii="Times New Roman" w:hAnsi="Times New Roman" w:eastAsia="仿宋_GB2312" w:cs="Times New Roman"/>
          <w:bCs/>
          <w:color w:val="auto"/>
          <w:szCs w:val="32"/>
          <w:highlight w:val="none"/>
        </w:rPr>
        <w:t>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六、在启动生产设施或者在实际排污之前，按照经批准的环境影响评价文件认真梳理并确认各项环境保护措施落实后，依法申领排污许可证。</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w:t>
      </w:r>
      <w:r>
        <w:rPr>
          <w:rFonts w:hint="eastAsia" w:eastAsia="仿宋_GB2312" w:cs="Times New Roman"/>
          <w:bCs/>
          <w:color w:val="auto"/>
          <w:szCs w:val="32"/>
          <w:highlight w:val="none"/>
          <w:lang w:val="en-US" w:eastAsia="zh-CN"/>
        </w:rPr>
        <w:t>表</w:t>
      </w:r>
      <w:r>
        <w:rPr>
          <w:rFonts w:hint="default" w:ascii="Times New Roman" w:hAnsi="Times New Roman" w:eastAsia="仿宋_GB2312" w:cs="Times New Roman"/>
          <w:bCs/>
          <w:color w:val="auto"/>
          <w:szCs w:val="32"/>
          <w:highlight w:val="none"/>
        </w:rPr>
        <w:t>送师市生态环境保护综合行政执法支队、生态环境监测站、胡杨河经济技术开发区应急管理和环境保护局，并按规定接受各级生态环境主管部门的监督检查。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108" w:firstLineChars="13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12</w:t>
      </w:r>
      <w:r>
        <w:rPr>
          <w:rFonts w:hint="default" w:ascii="Times New Roman" w:hAnsi="Times New Roman" w:eastAsia="仿宋_GB2312" w:cs="Times New Roman"/>
          <w:bCs/>
          <w:color w:val="auto"/>
          <w:szCs w:val="32"/>
          <w:highlight w:val="none"/>
        </w:rPr>
        <w:t>日</w:t>
      </w:r>
    </w:p>
    <w:p>
      <w:pPr>
        <w:pStyle w:val="24"/>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59264;mso-width-relative:page;mso-height-relative:page;" filled="f" stroked="t" coordsize="21600,21600" o:gfxdata="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t0AAAAAIBAAAPAAAAAAAAAAEAIAAAACIAAABkcnMvZG93bnJldi54bWxQSwECFAAU&#10;AAAACACHTuJA56pq1PkBAADzAwAADgAAAAAAAAABACAAAAAf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抄送：师市生态环境保护综合行政执法支队、生态环境监测站、胡杨河经济技术开发区应急管理和环境保护局。</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320" w:leftChars="100" w:right="320" w:rightChars="100"/>
      <w:rPr>
        <w:rStyle w:val="20"/>
        <w:rFonts w:hint="eastAsia" w:ascii="仿宋_GB2312" w:eastAsia="仿宋_GB2312"/>
        <w:b/>
        <w:bCs/>
        <w:sz w:val="28"/>
        <w:szCs w:val="28"/>
      </w:rPr>
    </w:pPr>
    <w:r>
      <w:rPr>
        <w:rStyle w:val="20"/>
        <w:rFonts w:hint="eastAsia" w:ascii="仿宋_GB2312" w:eastAsia="仿宋_GB2312"/>
        <w:sz w:val="28"/>
        <w:szCs w:val="28"/>
      </w:rPr>
      <w:t xml:space="preserve">— </w:t>
    </w: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w:t>
    </w:r>
    <w:r>
      <w:rPr>
        <w:rFonts w:hint="eastAsia" w:ascii="仿宋_GB2312" w:eastAsia="仿宋_GB2312"/>
        <w:sz w:val="28"/>
        <w:szCs w:val="28"/>
      </w:rPr>
      <w:fldChar w:fldCharType="end"/>
    </w:r>
    <w:r>
      <w:rPr>
        <w:rStyle w:val="20"/>
        <w:rFonts w:hint="eastAsia" w:ascii="仿宋_GB2312" w:eastAsia="仿宋_GB2312"/>
        <w:sz w:val="28"/>
        <w:szCs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fldChar w:fldCharType="begin"/>
    </w:r>
    <w:r>
      <w:rPr>
        <w:rStyle w:val="20"/>
      </w:rPr>
      <w:instrText xml:space="preserve">PAGE  </w:instrText>
    </w:r>
    <w:r>
      <w:fldChar w:fldCharType="separate"/>
    </w:r>
    <w:r>
      <w:rPr>
        <w:rStyle w:val="20"/>
      </w:rPr>
      <w:t>1</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7F401AFB"/>
    <w:multiLevelType w:val="multilevel"/>
    <w:tmpl w:val="7F401AFB"/>
    <w:lvl w:ilvl="0" w:tentative="0">
      <w:start w:val="1"/>
      <w:numFmt w:val="decimal"/>
      <w:pStyle w:val="4"/>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2A601AE"/>
    <w:rsid w:val="04B77D73"/>
    <w:rsid w:val="05737345"/>
    <w:rsid w:val="06C71389"/>
    <w:rsid w:val="06CC7B06"/>
    <w:rsid w:val="08EC6D80"/>
    <w:rsid w:val="13C9545A"/>
    <w:rsid w:val="16B800EE"/>
    <w:rsid w:val="177121A0"/>
    <w:rsid w:val="1803154F"/>
    <w:rsid w:val="20783D41"/>
    <w:rsid w:val="21162F81"/>
    <w:rsid w:val="21DD6837"/>
    <w:rsid w:val="24057B5F"/>
    <w:rsid w:val="24696853"/>
    <w:rsid w:val="247C78BD"/>
    <w:rsid w:val="260C6FC7"/>
    <w:rsid w:val="291034DE"/>
    <w:rsid w:val="2B665A9B"/>
    <w:rsid w:val="2BA03F96"/>
    <w:rsid w:val="2D8D3C0A"/>
    <w:rsid w:val="2F130EE6"/>
    <w:rsid w:val="2F2B3664"/>
    <w:rsid w:val="2FEE4162"/>
    <w:rsid w:val="32C5491C"/>
    <w:rsid w:val="34671FB0"/>
    <w:rsid w:val="34994AAE"/>
    <w:rsid w:val="371F1D45"/>
    <w:rsid w:val="38453BBB"/>
    <w:rsid w:val="3BAC6099"/>
    <w:rsid w:val="3C25479F"/>
    <w:rsid w:val="3D7076AF"/>
    <w:rsid w:val="3EC1562C"/>
    <w:rsid w:val="3F0E35AF"/>
    <w:rsid w:val="40A96C24"/>
    <w:rsid w:val="4419237E"/>
    <w:rsid w:val="45D948F4"/>
    <w:rsid w:val="47587B93"/>
    <w:rsid w:val="4CBF17F2"/>
    <w:rsid w:val="4CCA458A"/>
    <w:rsid w:val="4E410396"/>
    <w:rsid w:val="5075710B"/>
    <w:rsid w:val="50CD705E"/>
    <w:rsid w:val="54231BA0"/>
    <w:rsid w:val="600D34CB"/>
    <w:rsid w:val="609006D2"/>
    <w:rsid w:val="66BE66CF"/>
    <w:rsid w:val="68991CEA"/>
    <w:rsid w:val="6B762AC2"/>
    <w:rsid w:val="6D272415"/>
    <w:rsid w:val="6D4318D3"/>
    <w:rsid w:val="721320EC"/>
    <w:rsid w:val="73323C81"/>
    <w:rsid w:val="745A0337"/>
    <w:rsid w:val="76E82012"/>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qFormat/>
    <w:uiPriority w:val="0"/>
    <w:pPr>
      <w:keepNext/>
      <w:keepLines/>
      <w:numPr>
        <w:ilvl w:val="0"/>
        <w:numId w:val="1"/>
      </w:numPr>
      <w:outlineLvl w:val="0"/>
    </w:pPr>
    <w:rPr>
      <w:b/>
      <w:kern w:val="0"/>
      <w:sz w:val="28"/>
      <w:szCs w:val="28"/>
    </w:rPr>
  </w:style>
  <w:style w:type="paragraph" w:styleId="5">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6">
    <w:name w:val="heading 3"/>
    <w:basedOn w:val="1"/>
    <w:next w:val="1"/>
    <w:autoRedefine/>
    <w:qFormat/>
    <w:uiPriority w:val="0"/>
    <w:pPr>
      <w:keepNext/>
      <w:keepLines/>
      <w:spacing w:line="360" w:lineRule="auto"/>
      <w:ind w:firstLine="200" w:firstLineChars="200"/>
      <w:outlineLvl w:val="2"/>
    </w:pPr>
    <w:rPr>
      <w:bCs/>
      <w:szCs w:val="28"/>
    </w:rPr>
  </w:style>
  <w:style w:type="paragraph" w:styleId="7">
    <w:name w:val="heading 4"/>
    <w:basedOn w:val="1"/>
    <w:next w:val="1"/>
    <w:autoRedefine/>
    <w:qFormat/>
    <w:uiPriority w:val="99"/>
    <w:pPr>
      <w:keepNext/>
      <w:keepLines/>
      <w:numPr>
        <w:ilvl w:val="3"/>
        <w:numId w:val="2"/>
      </w:numPr>
      <w:spacing w:line="360" w:lineRule="auto"/>
      <w:outlineLvl w:val="3"/>
    </w:pPr>
    <w:rPr>
      <w:rFonts w:ascii="Arial" w:hAnsi="Arial"/>
      <w:b/>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rPr>
      <w:rFonts w:ascii="Calibri" w:hAnsi="Calibri" w:eastAsia="仿宋" w:cs="Times New Roman"/>
      <w:sz w:val="18"/>
      <w:szCs w:val="18"/>
    </w:rPr>
  </w:style>
  <w:style w:type="paragraph" w:styleId="3">
    <w:name w:val="index 5"/>
    <w:basedOn w:val="1"/>
    <w:next w:val="1"/>
    <w:qFormat/>
    <w:uiPriority w:val="0"/>
    <w:pPr>
      <w:ind w:left="800" w:leftChars="800"/>
    </w:pPr>
  </w:style>
  <w:style w:type="paragraph" w:styleId="8">
    <w:name w:val="Normal Indent"/>
    <w:basedOn w:val="1"/>
    <w:autoRedefine/>
    <w:qFormat/>
    <w:uiPriority w:val="0"/>
    <w:pPr>
      <w:ind w:firstLine="420" w:firstLineChars="200"/>
    </w:pPr>
    <w:rPr>
      <w:rFonts w:ascii="宋体" w:hAnsi="宋体"/>
    </w:rPr>
  </w:style>
  <w:style w:type="paragraph" w:styleId="9">
    <w:name w:val="annotation text"/>
    <w:basedOn w:val="1"/>
    <w:autoRedefine/>
    <w:unhideWhenUsed/>
    <w:qFormat/>
    <w:uiPriority w:val="99"/>
    <w:pPr>
      <w:jc w:val="left"/>
    </w:pPr>
  </w:style>
  <w:style w:type="paragraph" w:styleId="10">
    <w:name w:val="Body Text"/>
    <w:basedOn w:val="1"/>
    <w:autoRedefine/>
    <w:qFormat/>
    <w:uiPriority w:val="0"/>
    <w:rPr>
      <w:rFonts w:eastAsia="华文中宋"/>
      <w:b/>
      <w:bCs/>
      <w:w w:val="90"/>
      <w:sz w:val="44"/>
    </w:rPr>
  </w:style>
  <w:style w:type="paragraph" w:styleId="11">
    <w:name w:val="Block Text"/>
    <w:basedOn w:val="1"/>
    <w:autoRedefine/>
    <w:qFormat/>
    <w:uiPriority w:val="99"/>
    <w:pPr>
      <w:spacing w:line="480" w:lineRule="exact"/>
      <w:ind w:left="-125" w:right="-56" w:firstLine="570"/>
    </w:pPr>
    <w:rPr>
      <w:sz w:val="28"/>
      <w:szCs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index heading"/>
    <w:basedOn w:val="1"/>
    <w:next w:val="15"/>
    <w:autoRedefine/>
    <w:qFormat/>
    <w:uiPriority w:val="0"/>
  </w:style>
  <w:style w:type="paragraph" w:styleId="15">
    <w:name w:val="index 1"/>
    <w:basedOn w:val="1"/>
    <w:next w:val="1"/>
    <w:autoRedefine/>
    <w:qFormat/>
    <w:uiPriority w:val="0"/>
  </w:style>
  <w:style w:type="paragraph" w:styleId="16">
    <w:name w:val="Body Text 2"/>
    <w:basedOn w:val="1"/>
    <w:autoRedefine/>
    <w:unhideWhenUsed/>
    <w:qFormat/>
    <w:uiPriority w:val="99"/>
    <w:pPr>
      <w:spacing w:after="120" w:line="480" w:lineRule="auto"/>
    </w:pPr>
  </w:style>
  <w:style w:type="paragraph" w:styleId="17">
    <w:name w:val="Body Text First Indent 2"/>
    <w:basedOn w:val="1"/>
    <w:next w:val="1"/>
    <w:autoRedefine/>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20">
    <w:name w:val="page number"/>
    <w:basedOn w:val="19"/>
    <w:autoRedefine/>
    <w:qFormat/>
    <w:uiPriority w:val="0"/>
  </w:style>
  <w:style w:type="paragraph" w:customStyle="1" w:styleId="21">
    <w:name w:val="Default"/>
    <w:basedOn w:val="22"/>
    <w:next w:val="23"/>
    <w:autoRedefine/>
    <w:qFormat/>
    <w:uiPriority w:val="0"/>
    <w:pPr>
      <w:autoSpaceDE w:val="0"/>
      <w:autoSpaceDN w:val="0"/>
    </w:pPr>
    <w:rPr>
      <w:rFonts w:ascii="Times New Roman" w:hAnsi="Times New Roman" w:eastAsia="宋体" w:cs="Times New Roman"/>
      <w:color w:val="000000"/>
      <w:sz w:val="24"/>
      <w:szCs w:val="24"/>
    </w:rPr>
  </w:style>
  <w:style w:type="paragraph" w:customStyle="1" w:styleId="22">
    <w:name w:val="纯文本1"/>
    <w:basedOn w:val="1"/>
    <w:autoRedefine/>
    <w:qFormat/>
    <w:uiPriority w:val="0"/>
    <w:pPr>
      <w:adjustRightInd w:val="0"/>
      <w:textAlignment w:val="baseline"/>
    </w:pPr>
    <w:rPr>
      <w:rFonts w:ascii="宋体" w:hAnsi="Courier New"/>
      <w:szCs w:val="20"/>
    </w:rPr>
  </w:style>
  <w:style w:type="paragraph" w:customStyle="1" w:styleId="23">
    <w:name w:val="样式1"/>
    <w:basedOn w:val="14"/>
    <w:next w:val="1"/>
    <w:autoRedefine/>
    <w:qFormat/>
    <w:uiPriority w:val="0"/>
    <w:pPr>
      <w:ind w:firstLine="0"/>
    </w:pPr>
    <w:rPr>
      <w:rFonts w:ascii="Times New Roman"/>
      <w:b/>
      <w:sz w:val="30"/>
    </w:rPr>
  </w:style>
  <w:style w:type="paragraph" w:customStyle="1" w:styleId="24">
    <w:name w:val="Char"/>
    <w:basedOn w:val="1"/>
    <w:autoRedefine/>
    <w:qFormat/>
    <w:uiPriority w:val="0"/>
    <w:rPr>
      <w:rFonts w:cs="宋体"/>
      <w:sz w:val="28"/>
    </w:rPr>
  </w:style>
  <w:style w:type="paragraph" w:customStyle="1" w:styleId="25">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26">
    <w:name w:val="表字-书"/>
    <w:basedOn w:val="1"/>
    <w:autoRedefine/>
    <w:qFormat/>
    <w:uiPriority w:val="0"/>
    <w:pPr>
      <w:spacing w:line="240" w:lineRule="exact"/>
      <w:ind w:firstLine="0" w:firstLineChars="0"/>
      <w:jc w:val="center"/>
    </w:pPr>
    <w:rPr>
      <w:rFonts w:hAnsi="宋体"/>
      <w:sz w:val="21"/>
      <w:szCs w:val="21"/>
    </w:rPr>
  </w:style>
  <w:style w:type="paragraph" w:customStyle="1" w:styleId="27">
    <w:name w:val="表格内"/>
    <w:basedOn w:val="1"/>
    <w:autoRedefine/>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1678</Words>
  <Characters>1777</Characters>
  <Lines>11</Lines>
  <Paragraphs>3</Paragraphs>
  <TotalTime>11</TotalTime>
  <ScaleCrop>false</ScaleCrop>
  <LinksUpToDate>false</LinksUpToDate>
  <CharactersWithSpaces>1816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2024-04-09T11:50:06Z</cp:lastPrinted>
  <dcterms:modified xsi:type="dcterms:W3CDTF">2024-04-09T12:01:06Z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4811EBCD6DCF470ABE489E6CFBF6E8D9_13</vt:lpwstr>
  </property>
</Properties>
</file>