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eastAsia="仿宋_GB2312"/>
          <w:snapToGrid w:val="0"/>
          <w:kern w:val="0"/>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eastAsia="仿宋_GB2312"/>
          <w:snapToGrid w:val="0"/>
          <w:color w:val="000000"/>
          <w:kern w:val="0"/>
          <w:szCs w:val="32"/>
        </w:rPr>
      </w:pPr>
      <w:r>
        <w:rPr>
          <w:rFonts w:hint="eastAsia" w:ascii="仿宋_GB2312" w:eastAsia="仿宋_GB2312"/>
          <w:snapToGrid w:val="0"/>
          <w:color w:val="000000"/>
          <w:kern w:val="0"/>
          <w:szCs w:val="32"/>
        </w:rPr>
        <w:t xml:space="preserve">                               师市环审〔202</w:t>
      </w:r>
      <w:r>
        <w:rPr>
          <w:rFonts w:hint="eastAsia" w:ascii="仿宋_GB2312" w:eastAsia="仿宋_GB2312"/>
          <w:snapToGrid w:val="0"/>
          <w:color w:val="000000"/>
          <w:kern w:val="0"/>
          <w:szCs w:val="32"/>
          <w:lang w:val="en-US" w:eastAsia="zh-CN"/>
        </w:rPr>
        <w:t>4</w:t>
      </w:r>
      <w:r>
        <w:rPr>
          <w:rFonts w:hint="eastAsia" w:ascii="仿宋_GB2312" w:eastAsia="仿宋_GB2312"/>
          <w:snapToGrid w:val="0"/>
          <w:color w:val="000000"/>
          <w:kern w:val="0"/>
          <w:szCs w:val="32"/>
        </w:rPr>
        <w:t>〕</w:t>
      </w:r>
      <w:r>
        <w:rPr>
          <w:rFonts w:hint="eastAsia" w:ascii="仿宋_GB2312" w:eastAsia="仿宋_GB2312"/>
          <w:snapToGrid w:val="0"/>
          <w:color w:val="000000"/>
          <w:kern w:val="0"/>
          <w:szCs w:val="32"/>
          <w:lang w:eastAsia="zh-CN"/>
        </w:rPr>
        <w:t>2</w:t>
      </w:r>
      <w:r>
        <w:rPr>
          <w:rFonts w:hint="eastAsia" w:ascii="仿宋_GB2312" w:eastAsia="仿宋_GB2312"/>
          <w:snapToGrid w:val="0"/>
          <w:color w:val="000000"/>
          <w:kern w:val="0"/>
          <w:szCs w:val="32"/>
          <w:lang w:val="en-US" w:eastAsia="zh-CN"/>
        </w:rPr>
        <w:t>3</w:t>
      </w:r>
      <w:r>
        <w:rPr>
          <w:rFonts w:hint="eastAsia" w:ascii="仿宋_GB2312" w:eastAsia="仿宋_GB2312"/>
          <w:snapToGrid w:val="0"/>
          <w:color w:val="000000"/>
          <w:kern w:val="0"/>
          <w:szCs w:val="32"/>
        </w:rPr>
        <w:t>号</w:t>
      </w:r>
    </w:p>
    <w:p>
      <w:pPr>
        <w:spacing w:line="520" w:lineRule="exact"/>
        <w:rPr>
          <w:rFonts w:hint="eastAsia" w:ascii="仿宋_GB2312" w:eastAsia="仿宋_GB2312"/>
          <w:snapToGrid w:val="0"/>
          <w:color w:val="000000"/>
          <w:kern w:val="0"/>
          <w:sz w:val="30"/>
        </w:rPr>
      </w:pPr>
    </w:p>
    <w:p>
      <w:pPr>
        <w:spacing w:line="520" w:lineRule="exact"/>
        <w:jc w:val="center"/>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关于胡杨河市安顺广合商品混凝土有限责任</w:t>
      </w:r>
    </w:p>
    <w:p>
      <w:pPr>
        <w:spacing w:line="520" w:lineRule="exact"/>
        <w:jc w:val="center"/>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公司128团新建商品混凝土拌合站项目</w:t>
      </w:r>
    </w:p>
    <w:p>
      <w:pPr>
        <w:spacing w:line="520" w:lineRule="exact"/>
        <w:jc w:val="center"/>
        <w:rPr>
          <w:rFonts w:hint="eastAsia" w:ascii="仿宋_GB2312" w:eastAsia="仿宋_GB2312"/>
          <w:color w:val="000000"/>
          <w:kern w:val="0"/>
          <w:szCs w:val="32"/>
        </w:rPr>
      </w:pPr>
      <w:r>
        <w:rPr>
          <w:rFonts w:hint="eastAsia" w:ascii="方正小标宋简体" w:hAnsi="方正小标宋简体" w:eastAsia="方正小标宋简体" w:cs="方正小标宋简体"/>
          <w:snapToGrid w:val="0"/>
          <w:color w:val="000000"/>
          <w:kern w:val="0"/>
          <w:sz w:val="44"/>
          <w:szCs w:val="44"/>
        </w:rPr>
        <w:t>环境影响</w:t>
      </w:r>
      <w:r>
        <w:rPr>
          <w:rFonts w:hint="eastAsia" w:ascii="方正小标宋简体" w:hAnsi="方正小标宋简体" w:eastAsia="方正小标宋简体" w:cs="方正小标宋简体"/>
          <w:snapToGrid w:val="0"/>
          <w:color w:val="000000"/>
          <w:kern w:val="0"/>
          <w:sz w:val="44"/>
          <w:szCs w:val="44"/>
          <w:lang w:eastAsia="zh-CN"/>
        </w:rPr>
        <w:t>报告表</w:t>
      </w:r>
      <w:r>
        <w:rPr>
          <w:rFonts w:hint="eastAsia" w:ascii="方正小标宋简体" w:hAnsi="方正小标宋简体" w:eastAsia="方正小标宋简体" w:cs="方正小标宋简体"/>
          <w:snapToGrid w:val="0"/>
          <w:color w:val="00000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kern w:val="0"/>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胡杨河市安顺广合商品混凝土有限责任公司：</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snapToGrid w:val="0"/>
          <w:color w:val="000000"/>
          <w:kern w:val="0"/>
          <w:szCs w:val="32"/>
        </w:rPr>
      </w:pPr>
      <w:r>
        <w:rPr>
          <w:rFonts w:hint="default" w:ascii="Times New Roman" w:hAnsi="Times New Roman" w:eastAsia="仿宋_GB2312" w:cs="Times New Roman"/>
          <w:bCs/>
          <w:color w:val="000000"/>
          <w:szCs w:val="32"/>
        </w:rPr>
        <w:t>你单位《关于审批</w:t>
      </w:r>
      <w:r>
        <w:rPr>
          <w:rFonts w:hint="default" w:ascii="Times New Roman" w:hAnsi="Times New Roman" w:eastAsia="仿宋" w:cs="Times New Roman"/>
          <w:bCs/>
          <w:color w:val="000000"/>
          <w:szCs w:val="32"/>
        </w:rPr>
        <w:t>〈胡杨河市安顺广合商品混凝土有限责任公司128团新建商品混凝土拌合站项目</w:t>
      </w:r>
      <w:r>
        <w:rPr>
          <w:rFonts w:hint="default" w:ascii="Times New Roman" w:hAnsi="Times New Roman" w:eastAsia="仿宋_GB2312" w:cs="Times New Roman"/>
          <w:bCs/>
          <w:color w:val="000000"/>
          <w:szCs w:val="32"/>
        </w:rPr>
        <w:t>环境影响</w:t>
      </w:r>
      <w:r>
        <w:rPr>
          <w:rFonts w:hint="eastAsia" w:eastAsia="仿宋_GB2312" w:cs="Times New Roman"/>
          <w:bCs/>
          <w:color w:val="000000"/>
          <w:szCs w:val="32"/>
          <w:lang w:eastAsia="zh-CN"/>
        </w:rPr>
        <w:t>报告表</w:t>
      </w:r>
      <w:r>
        <w:rPr>
          <w:rFonts w:hint="default" w:ascii="Times New Roman" w:hAnsi="Times New Roman" w:eastAsia="仿宋" w:cs="Times New Roman"/>
          <w:bCs/>
          <w:color w:val="000000"/>
          <w:szCs w:val="32"/>
        </w:rPr>
        <w:t>〉</w:t>
      </w:r>
      <w:r>
        <w:rPr>
          <w:rFonts w:hint="default" w:ascii="Times New Roman" w:hAnsi="Times New Roman" w:eastAsia="仿宋_GB2312" w:cs="Times New Roman"/>
          <w:bCs/>
          <w:color w:val="000000"/>
          <w:szCs w:val="32"/>
        </w:rPr>
        <w:t>的请示》收悉。经研究，批复如下：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szCs w:val="32"/>
          <w:lang w:val="en-US" w:eastAsia="zh-CN"/>
        </w:rPr>
        <w:t>一、</w:t>
      </w:r>
      <w:r>
        <w:rPr>
          <w:rFonts w:hint="eastAsia" w:ascii="Times New Roman" w:hAnsi="Times New Roman" w:eastAsia="仿宋_GB2312" w:cs="Times New Roman"/>
          <w:szCs w:val="32"/>
          <w:lang w:eastAsia="zh-CN"/>
        </w:rPr>
        <w:t>项目</w:t>
      </w:r>
      <w:r>
        <w:rPr>
          <w:rFonts w:hint="default" w:ascii="Times New Roman" w:hAnsi="Times New Roman" w:eastAsia="仿宋_GB2312" w:cs="Times New Roman"/>
          <w:szCs w:val="32"/>
        </w:rPr>
        <w:t>位于第七师128团</w:t>
      </w:r>
      <w:r>
        <w:rPr>
          <w:rFonts w:hint="eastAsia" w:eastAsia="仿宋_GB2312" w:cs="Times New Roman"/>
          <w:szCs w:val="32"/>
          <w:lang w:val="en-US" w:eastAsia="zh-CN"/>
        </w:rPr>
        <w:t>前高公路以北，217国道以西</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中心地理</w:t>
      </w:r>
      <w:r>
        <w:rPr>
          <w:rFonts w:hint="default" w:ascii="Times New Roman" w:hAnsi="Times New Roman" w:eastAsia="仿宋_GB2312" w:cs="Times New Roman"/>
          <w:szCs w:val="32"/>
          <w:highlight w:val="none"/>
          <w:lang w:val="en-US" w:eastAsia="zh-CN"/>
        </w:rPr>
        <w:t>位置</w:t>
      </w:r>
      <w:r>
        <w:rPr>
          <w:rFonts w:hint="default" w:ascii="Times New Roman" w:hAnsi="Times New Roman" w:eastAsia="仿宋_GB2312" w:cs="Times New Roman"/>
          <w:szCs w:val="32"/>
          <w:highlight w:val="none"/>
        </w:rPr>
        <w:t>坐标为84°42′18.571″，北纬：45°0′56.452″</w:t>
      </w:r>
      <w:r>
        <w:rPr>
          <w:rFonts w:hint="default" w:ascii="Times New Roman" w:hAnsi="Times New Roman" w:eastAsia="仿宋_GB2312" w:cs="Times New Roman"/>
          <w:szCs w:val="32"/>
          <w:lang w:eastAsia="zh-CN"/>
        </w:rPr>
        <w:t>。项目新建2条商品混凝土生产线，新建1条混凝土预制构件生产线。项目由主体工程、辅助工程、储运工程、公用工程、环保工程等组成。</w:t>
      </w:r>
      <w:r>
        <w:rPr>
          <w:rFonts w:hint="eastAsia" w:eastAsia="仿宋_GB2312" w:cs="Times New Roman"/>
          <w:szCs w:val="32"/>
          <w:lang w:val="en-US" w:eastAsia="zh-CN"/>
        </w:rPr>
        <w:t>项目</w:t>
      </w:r>
      <w:r>
        <w:rPr>
          <w:rFonts w:hint="default" w:ascii="Times New Roman" w:hAnsi="Times New Roman" w:eastAsia="仿宋_GB2312" w:cs="Times New Roman"/>
          <w:szCs w:val="32"/>
          <w:lang w:eastAsia="zh-CN"/>
        </w:rPr>
        <w:t>年产商品混凝土60万m</w:t>
      </w:r>
      <w:r>
        <w:rPr>
          <w:rFonts w:hint="default" w:ascii="Times New Roman" w:hAnsi="Times New Roman" w:eastAsia="仿宋_GB2312" w:cs="Times New Roman"/>
          <w:szCs w:val="32"/>
          <w:vertAlign w:val="superscript"/>
          <w:lang w:eastAsia="zh-CN"/>
        </w:rPr>
        <w:t>3</w:t>
      </w:r>
      <w:r>
        <w:rPr>
          <w:rFonts w:hint="eastAsia" w:ascii="Times New Roman" w:hAnsi="Times New Roman" w:eastAsia="仿宋_GB2312" w:cs="Times New Roman"/>
          <w:szCs w:val="32"/>
          <w:lang w:eastAsia="zh-CN"/>
        </w:rPr>
        <w:t>，混凝土预制构件30万m</w:t>
      </w:r>
      <w:r>
        <w:rPr>
          <w:rFonts w:hint="eastAsia" w:ascii="Times New Roman" w:hAnsi="Times New Roman" w:eastAsia="仿宋_GB2312" w:cs="Times New Roman"/>
          <w:szCs w:val="32"/>
          <w:vertAlign w:val="superscript"/>
          <w:lang w:eastAsia="zh-CN"/>
        </w:rPr>
        <w:t>3</w:t>
      </w:r>
      <w:r>
        <w:rPr>
          <w:rFonts w:hint="eastAsia" w:ascii="Times New Roman" w:hAnsi="Times New Roman" w:eastAsia="仿宋_GB2312" w:cs="Times New Roman"/>
          <w:szCs w:val="32"/>
          <w:lang w:eastAsia="zh-CN"/>
        </w:rPr>
        <w:t>。项目总投资10000万元，其中环保投资100万元，占总投资的1%</w:t>
      </w:r>
      <w:r>
        <w:rPr>
          <w:rFonts w:hint="default" w:ascii="Times New Roman" w:hAnsi="Times New Roman" w:eastAsia="仿宋_GB2312" w:cs="Times New Roman"/>
          <w:bCs/>
          <w:color w:val="000000"/>
          <w:szCs w:val="32"/>
        </w:rPr>
        <w:t>。</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Cs/>
          <w:color w:val="000000"/>
          <w:szCs w:val="32"/>
        </w:rPr>
        <w:t>二、项目实施后会对环境造成一定不利影响，必须严格落实各项污染防治和生态环境保护措施，采取严格的环境风险防范措施、环境管理制度、环境监控和应急措施。综合考虑，我局原则同意该项目环境影响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color w:val="000000"/>
          <w:szCs w:val="32"/>
          <w:lang w:eastAsia="zh-CN"/>
        </w:rPr>
        <w:t>报告表</w:t>
      </w:r>
      <w:r>
        <w:rPr>
          <w:rFonts w:hint="default" w:ascii="Times New Roman" w:hAnsi="Times New Roman" w:eastAsia="仿宋_GB2312" w:cs="Times New Roman"/>
          <w:bCs/>
          <w:color w:val="000000"/>
          <w:szCs w:val="32"/>
        </w:rPr>
        <w:t>中所列建设项目的性质、规模、地点、工艺和环境保护对策措施</w:t>
      </w:r>
      <w:r>
        <w:rPr>
          <w:rFonts w:hint="default" w:ascii="Times New Roman" w:hAnsi="Times New Roman" w:eastAsia="仿宋_GB2312" w:cs="Times New Roman"/>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000000"/>
          <w:kern w:val="2"/>
          <w:sz w:val="32"/>
          <w:szCs w:val="32"/>
          <w:lang w:val="en-US" w:eastAsia="zh-CN" w:bidi="ar-SA"/>
        </w:rPr>
      </w:pPr>
      <w:r>
        <w:rPr>
          <w:rFonts w:hint="default" w:ascii="Times New Roman" w:hAnsi="Times New Roman" w:eastAsia="仿宋_GB2312" w:cs="Times New Roman"/>
          <w:szCs w:val="32"/>
        </w:rPr>
        <w:t>三、</w:t>
      </w:r>
      <w:r>
        <w:rPr>
          <w:rFonts w:hint="default" w:ascii="Times New Roman" w:hAnsi="Times New Roman" w:eastAsia="仿宋_GB2312" w:cs="Times New Roman"/>
          <w:bCs/>
          <w:color w:val="000000"/>
          <w:kern w:val="2"/>
          <w:sz w:val="32"/>
          <w:szCs w:val="32"/>
          <w:lang w:val="en-US" w:eastAsia="zh-CN" w:bidi="ar-SA"/>
        </w:rPr>
        <w:t>项目建设和运营中应重点做好的工作：</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（一）严格落实大气污染防治措施。破碎粉尘由集气罩收集经布袋除尘器处理后，由15米高的排气筒排放；食堂油烟通过油烟净化器处理后经专用烟道送至屋顶排放。废气中颗粒物排放</w:t>
      </w:r>
      <w:r>
        <w:rPr>
          <w:rFonts w:hint="eastAsia" w:eastAsia="仿宋_GB2312" w:cs="Times New Roman"/>
          <w:szCs w:val="32"/>
          <w:lang w:val="en-US" w:eastAsia="zh-CN"/>
        </w:rPr>
        <w:t>执行</w:t>
      </w:r>
      <w:r>
        <w:rPr>
          <w:rFonts w:hint="default" w:ascii="Times New Roman" w:hAnsi="Times New Roman" w:eastAsia="仿宋_GB2312" w:cs="Times New Roman"/>
          <w:szCs w:val="32"/>
        </w:rPr>
        <w:t>《水泥工业大气污染物排放标准》（GB4915-2013）表1现有与新建企业大气污染物排放限值要求；食堂油烟排放</w:t>
      </w:r>
      <w:r>
        <w:rPr>
          <w:rFonts w:hint="eastAsia" w:eastAsia="仿宋_GB2312" w:cs="Times New Roman"/>
          <w:szCs w:val="32"/>
          <w:lang w:val="en-US" w:eastAsia="zh-CN"/>
        </w:rPr>
        <w:t>执行</w:t>
      </w:r>
      <w:r>
        <w:rPr>
          <w:rFonts w:hint="default" w:ascii="Times New Roman" w:hAnsi="Times New Roman" w:eastAsia="仿宋_GB2312" w:cs="Times New Roman"/>
          <w:szCs w:val="32"/>
        </w:rPr>
        <w:t>《饮食业油烟排放标准》（GB18483-2001）表2中小型饮食业单位限值要求。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Cs w:val="32"/>
          <w:lang w:val="en-US" w:eastAsia="zh-CN"/>
        </w:rPr>
      </w:pPr>
      <w:r>
        <w:rPr>
          <w:rFonts w:hint="eastAsia" w:eastAsia="仿宋_GB2312" w:cs="Times New Roman"/>
          <w:szCs w:val="32"/>
          <w:lang w:val="en-US" w:eastAsia="zh-CN"/>
        </w:rPr>
        <w:t>装卸及堆存工序均在半封闭厂房进行并洒水降尘；粉料在筒仓内储存，筒仓自带脉冲袋式除尘器处理后无组织排放；搅拌工序采用全封闭搅拌楼经脉冲袋式除尘器处理后无组织排放，骨料输送工序采用密封输送带；对水洗砂及碎石粉尘及时洒水降尘；控制进出厂区车辆速度，加强厂区绿化。厂界颗粒物无组织排放执行《水泥工业大气污染物排放标准》（GB4915-2013）中表3大气污染物无组织排放限值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（二）严格落实水污染防治措施。车辆清洗废水、搅拌机清洗废水经三级沉淀池处理后回用；餐饮废水经隔油池处理与生活污水一同排入化粪池后，</w:t>
      </w:r>
      <w:r>
        <w:rPr>
          <w:rFonts w:hint="default" w:ascii="Times New Roman" w:hAnsi="Times New Roman" w:eastAsia="仿宋_GB2312" w:cs="Times New Roman"/>
          <w:bCs/>
          <w:sz w:val="32"/>
          <w:szCs w:val="32"/>
          <w:lang w:val="en-US" w:eastAsia="zh-CN"/>
        </w:rPr>
        <w:t>由吸污车定期拉运至</w:t>
      </w:r>
      <w:r>
        <w:rPr>
          <w:rFonts w:hint="eastAsia" w:ascii="Times New Roman" w:hAnsi="Times New Roman" w:eastAsia="仿宋_GB2312" w:cs="Times New Roman"/>
          <w:bCs/>
          <w:sz w:val="32"/>
          <w:szCs w:val="32"/>
          <w:lang w:val="en-US" w:eastAsia="zh-CN"/>
        </w:rPr>
        <w:t>胡杨河经开区污水处理厂，待</w:t>
      </w:r>
      <w:r>
        <w:rPr>
          <w:rFonts w:hint="default" w:ascii="Times New Roman" w:hAnsi="Times New Roman" w:eastAsia="仿宋_GB2312" w:cs="Times New Roman"/>
          <w:bCs/>
          <w:sz w:val="32"/>
          <w:szCs w:val="32"/>
          <w:lang w:val="en-US" w:eastAsia="zh-CN"/>
        </w:rPr>
        <w:t>128团污水处理厂</w:t>
      </w:r>
      <w:r>
        <w:rPr>
          <w:rFonts w:hint="eastAsia" w:ascii="Times New Roman" w:hAnsi="Times New Roman" w:eastAsia="仿宋_GB2312" w:cs="Times New Roman"/>
          <w:bCs/>
          <w:sz w:val="32"/>
          <w:szCs w:val="32"/>
          <w:lang w:val="en-US" w:eastAsia="zh-CN"/>
        </w:rPr>
        <w:t>投运后</w:t>
      </w:r>
      <w:r>
        <w:rPr>
          <w:rFonts w:hint="eastAsia" w:eastAsia="仿宋_GB2312" w:cs="Times New Roman"/>
          <w:szCs w:val="32"/>
          <w:lang w:eastAsia="zh-CN"/>
        </w:rPr>
        <w:t>，</w:t>
      </w:r>
      <w:r>
        <w:rPr>
          <w:rFonts w:hint="default" w:ascii="Times New Roman" w:hAnsi="Times New Roman" w:eastAsia="仿宋_GB2312" w:cs="Times New Roman"/>
          <w:szCs w:val="32"/>
        </w:rPr>
        <w:t>由吸污车拉运至128团污水处理厂处理。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三）严格落实噪声污染防治措施。采用低噪声生产工艺；选用质量好、技术性能高、效率高的低噪声设备，定期维护设备，使之处于良好的运行状态；加强运转零部件间润滑程度，降低其间摩擦力，对设备与其基础间及设备各连接部位间加装减振装置，以减少其间振动；将高噪声设备安装在全封闭设备间内，建筑结构以封闭为主，内部墙体采用吸声、消声等材料。厂界噪声排放满足《工业企业厂界环境噪声排放标准》（GB12348-2008）中2类标准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（四）严格落实固体废物分类处置和综合利用措施。布袋除尘器收集的除尘灰回用</w:t>
      </w:r>
      <w:r>
        <w:rPr>
          <w:rFonts w:hint="eastAsia" w:eastAsia="仿宋_GB2312" w:cs="Times New Roman"/>
          <w:szCs w:val="32"/>
          <w:lang w:val="en-US" w:eastAsia="zh-CN"/>
        </w:rPr>
        <w:t>于</w:t>
      </w:r>
      <w:r>
        <w:rPr>
          <w:rFonts w:hint="default" w:ascii="Times New Roman" w:hAnsi="Times New Roman" w:eastAsia="仿宋_GB2312" w:cs="Times New Roman"/>
          <w:szCs w:val="32"/>
        </w:rPr>
        <w:t>生产线</w:t>
      </w:r>
      <w:r>
        <w:rPr>
          <w:rFonts w:hint="eastAsia" w:eastAsia="仿宋_GB2312" w:cs="Times New Roman"/>
          <w:szCs w:val="32"/>
          <w:lang w:eastAsia="zh-CN"/>
        </w:rPr>
        <w:t>；</w:t>
      </w:r>
      <w:r>
        <w:rPr>
          <w:rFonts w:hint="default" w:ascii="Times New Roman" w:hAnsi="Times New Roman" w:eastAsia="仿宋_GB2312" w:cs="Times New Roman"/>
          <w:szCs w:val="32"/>
        </w:rPr>
        <w:t>不合格品破碎后回用生产线</w:t>
      </w:r>
      <w:r>
        <w:rPr>
          <w:rFonts w:hint="eastAsia" w:eastAsia="仿宋_GB2312" w:cs="Times New Roman"/>
          <w:szCs w:val="32"/>
          <w:lang w:eastAsia="zh-CN"/>
        </w:rPr>
        <w:t>；</w:t>
      </w:r>
      <w:r>
        <w:rPr>
          <w:rFonts w:hint="default" w:ascii="Times New Roman" w:hAnsi="Times New Roman" w:eastAsia="仿宋_GB2312" w:cs="Times New Roman"/>
          <w:szCs w:val="32"/>
        </w:rPr>
        <w:t>钢筋切头收集后综合利用不外排。</w:t>
      </w:r>
      <w:r>
        <w:rPr>
          <w:rFonts w:hint="eastAsia" w:ascii="Times New Roman" w:hAnsi="Times New Roman" w:eastAsia="仿宋_GB2312" w:cs="Times New Roman"/>
          <w:bCs/>
          <w:color w:val="auto"/>
          <w:szCs w:val="32"/>
          <w:lang w:val="en-US" w:eastAsia="zh-CN"/>
        </w:rPr>
        <w:t>废机油、</w:t>
      </w:r>
      <w:r>
        <w:rPr>
          <w:rFonts w:hint="default" w:ascii="Times New Roman" w:hAnsi="Times New Roman" w:eastAsia="仿宋_GB2312" w:cs="Times New Roman"/>
          <w:bCs/>
          <w:color w:val="auto"/>
          <w:sz w:val="32"/>
          <w:szCs w:val="32"/>
          <w:lang w:val="en-US" w:eastAsia="zh-CN"/>
        </w:rPr>
        <w:t>废润滑油</w:t>
      </w:r>
      <w:r>
        <w:rPr>
          <w:rFonts w:hint="default" w:ascii="Times New Roman" w:hAnsi="Times New Roman" w:eastAsia="仿宋_GB2312" w:cs="Times New Roman"/>
          <w:szCs w:val="32"/>
          <w:highlight w:val="none"/>
          <w:lang w:val="en-US" w:eastAsia="zh-CN"/>
        </w:rPr>
        <w:t>、废含油抹布及手套</w:t>
      </w:r>
      <w:r>
        <w:rPr>
          <w:rFonts w:hint="eastAsia" w:ascii="Times New Roman" w:hAnsi="Times New Roman" w:eastAsia="仿宋_GB2312" w:cs="Times New Roman"/>
          <w:bCs/>
          <w:color w:val="auto"/>
          <w:szCs w:val="32"/>
          <w:lang w:val="en-US" w:eastAsia="zh-CN"/>
        </w:rPr>
        <w:t>属于危险废物，收集后暂存于危险废物暂存间，定期交由有危险废物处置资质的单位处置，</w:t>
      </w:r>
      <w:r>
        <w:rPr>
          <w:rFonts w:hint="default" w:ascii="Times New Roman" w:hAnsi="Times New Roman" w:eastAsia="仿宋_GB2312" w:cs="Times New Roman"/>
          <w:szCs w:val="32"/>
        </w:rPr>
        <w:t>危险废物收集、运输须按照《危险废物收集 贮存 运输技术规范》（HJ2025-2012）和《危险废物转移管理办法》要求进行。生活垃圾集中收集后由环卫部门统一清运至垃圾填埋场处理。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rPr>
          <w:rFonts w:hint="eastAsia" w:ascii="Times New Roman" w:hAnsi="Times New Roman" w:eastAsia="仿宋_GB2312" w:cs="Times New Roman"/>
          <w:szCs w:val="32"/>
          <w:lang w:eastAsia="zh-CN"/>
        </w:rPr>
      </w:pPr>
      <w:r>
        <w:rPr>
          <w:rFonts w:hint="default" w:ascii="Times New Roman" w:hAnsi="Times New Roman" w:eastAsia="仿宋_GB2312" w:cs="Times New Roman"/>
          <w:szCs w:val="32"/>
        </w:rPr>
        <w:t>（五）严格落实地下水及土壤污染防治措施。根据《环境影响评价技术导则 地下水环境》（HJ610-2016）要求，将厂区划分为重点防渗区、一般防渗区和简单防渗区。危险废物暂存间为重点防渗区</w:t>
      </w:r>
      <w:r>
        <w:rPr>
          <w:rFonts w:hint="eastAsia" w:eastAsia="仿宋_GB2312" w:cs="Times New Roman"/>
          <w:szCs w:val="32"/>
          <w:lang w:eastAsia="zh-CN"/>
        </w:rPr>
        <w:t>，</w:t>
      </w:r>
      <w:r>
        <w:rPr>
          <w:rFonts w:hint="default" w:ascii="Times New Roman" w:hAnsi="Times New Roman" w:eastAsia="仿宋_GB2312" w:cs="Times New Roman"/>
          <w:bCs/>
          <w:sz w:val="32"/>
          <w:szCs w:val="32"/>
          <w:highlight w:val="none"/>
          <w:lang w:eastAsia="zh-CN"/>
        </w:rPr>
        <w:t>一般防渗区为</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化粪池</w:t>
      </w:r>
      <w:r>
        <w:rPr>
          <w:rFonts w:hint="default" w:ascii="Times New Roman" w:hAnsi="Times New Roman" w:eastAsia="仿宋_GB2312" w:cs="Times New Roman"/>
          <w:bCs/>
          <w:sz w:val="32"/>
          <w:szCs w:val="32"/>
          <w:highlight w:val="none"/>
          <w:lang w:eastAsia="zh-CN"/>
        </w:rPr>
        <w:t>，其余部位进行简单防渗</w:t>
      </w:r>
      <w:r>
        <w:rPr>
          <w:rFonts w:hint="default" w:ascii="Times New Roman" w:hAnsi="Times New Roman" w:eastAsia="仿宋_GB2312" w:cs="Times New Roman"/>
          <w:szCs w:val="32"/>
        </w:rPr>
        <w:t>。严格落实地下水</w:t>
      </w:r>
      <w:r>
        <w:rPr>
          <w:rFonts w:hint="default" w:ascii="Times New Roman" w:hAnsi="Times New Roman" w:eastAsia="仿宋_GB2312" w:cs="Times New Roman"/>
          <w:szCs w:val="32"/>
        </w:rPr>
        <w:t>及土壤</w:t>
      </w:r>
      <w:r>
        <w:rPr>
          <w:rFonts w:hint="default" w:ascii="Times New Roman" w:hAnsi="Times New Roman" w:eastAsia="仿宋_GB2312" w:cs="Times New Roman"/>
          <w:szCs w:val="32"/>
        </w:rPr>
        <w:t>污染风险防范措施，避免对地下水及土壤环境造成污染</w:t>
      </w:r>
      <w:r>
        <w:rPr>
          <w:rFonts w:hint="eastAsia" w:eastAsia="仿宋_GB2312" w:cs="Times New Roman"/>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（六）强化各项环境风险防范措施，有效防范环境风险。厂内定期开展环境风险应急培训和演练，落实各项应急环境管理措施以及各项风险防范措施，确保风险事故得到有效控制。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（七）加强施工期环境保护管理工作，落实防沙治沙措施，防止施工废水、扬尘、噪声污染、水土流失和生态破坏。</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（八）在工程运营过程中，应建立畅通的公众参与平台，加强宣传与沟通工作，及时解决公众提出的合理环境诉求。定期发布企业环境信息，并主动接受社会监督。</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000000"/>
          <w:szCs w:val="32"/>
        </w:rPr>
      </w:pPr>
      <w:r>
        <w:rPr>
          <w:rFonts w:hint="eastAsia" w:eastAsia="仿宋_GB2312" w:cs="Times New Roman"/>
          <w:bCs/>
          <w:color w:val="000000"/>
          <w:szCs w:val="32"/>
          <w:lang w:val="en-US" w:eastAsia="zh-CN"/>
        </w:rPr>
        <w:t>四</w:t>
      </w:r>
      <w:r>
        <w:rPr>
          <w:rFonts w:hint="default" w:ascii="Times New Roman" w:hAnsi="Times New Roman" w:eastAsia="仿宋_GB2312" w:cs="Times New Roman"/>
          <w:bCs/>
          <w:color w:val="000000"/>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000000"/>
          <w:szCs w:val="32"/>
        </w:rPr>
      </w:pPr>
      <w:r>
        <w:rPr>
          <w:rFonts w:hint="eastAsia" w:eastAsia="仿宋_GB2312" w:cs="Times New Roman"/>
          <w:bCs/>
          <w:color w:val="000000"/>
          <w:szCs w:val="32"/>
          <w:lang w:val="en-US" w:eastAsia="zh-CN"/>
        </w:rPr>
        <w:t>五</w:t>
      </w:r>
      <w:r>
        <w:rPr>
          <w:rFonts w:hint="default" w:ascii="Times New Roman" w:hAnsi="Times New Roman" w:eastAsia="仿宋_GB2312" w:cs="Times New Roman"/>
          <w:bCs/>
          <w:color w:val="000000"/>
          <w:szCs w:val="32"/>
        </w:rPr>
        <w:t>、环境影响</w:t>
      </w:r>
      <w:r>
        <w:rPr>
          <w:rFonts w:hint="eastAsia" w:eastAsia="仿宋_GB2312" w:cs="Times New Roman"/>
          <w:bCs/>
          <w:color w:val="000000"/>
          <w:szCs w:val="32"/>
          <w:lang w:eastAsia="zh-CN"/>
        </w:rPr>
        <w:t>报告表</w:t>
      </w:r>
      <w:r>
        <w:rPr>
          <w:rFonts w:hint="default" w:ascii="Times New Roman" w:hAnsi="Times New Roman" w:eastAsia="仿宋_GB2312" w:cs="Times New Roman"/>
          <w:bCs/>
          <w:color w:val="000000"/>
          <w:szCs w:val="32"/>
        </w:rPr>
        <w:t>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ascii="仿宋_GB2312" w:eastAsia="仿宋_GB2312"/>
          <w:bCs/>
          <w:sz w:val="32"/>
          <w:szCs w:val="32"/>
          <w:lang w:val="en-US" w:eastAsia="zh-CN"/>
        </w:rPr>
      </w:pPr>
      <w:r>
        <w:rPr>
          <w:rFonts w:hint="eastAsia" w:eastAsia="仿宋_GB2312" w:cs="Times New Roman"/>
          <w:bCs/>
          <w:color w:val="000000"/>
          <w:szCs w:val="32"/>
          <w:lang w:val="en-US" w:eastAsia="zh-CN"/>
        </w:rPr>
        <w:t>六</w:t>
      </w:r>
      <w:r>
        <w:rPr>
          <w:rFonts w:hint="default" w:ascii="Times New Roman" w:hAnsi="Times New Roman" w:eastAsia="仿宋_GB2312" w:cs="Times New Roman"/>
          <w:bCs/>
          <w:color w:val="000000"/>
          <w:szCs w:val="32"/>
        </w:rPr>
        <w:t>、</w:t>
      </w:r>
      <w:r>
        <w:rPr>
          <w:rFonts w:hint="eastAsia" w:ascii="仿宋_GB2312" w:eastAsia="仿宋_GB2312"/>
          <w:bCs/>
          <w:sz w:val="32"/>
          <w:szCs w:val="32"/>
        </w:rPr>
        <w:t>在启动生产设施或者在实际排污之前，按照经批准的环境影响评价文件认真梳理并确认各项环境保护措施落实后，依法</w:t>
      </w:r>
      <w:r>
        <w:rPr>
          <w:rFonts w:hint="eastAsia" w:ascii="仿宋_GB2312" w:eastAsia="仿宋_GB2312"/>
          <w:bCs/>
          <w:sz w:val="32"/>
          <w:szCs w:val="32"/>
          <w:lang w:val="en-US" w:eastAsia="zh-CN"/>
        </w:rPr>
        <w:t>进行排污登记。</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000000"/>
          <w:szCs w:val="32"/>
          <w:lang w:val="en-US" w:eastAsia="zh-CN"/>
        </w:rPr>
      </w:pPr>
      <w:r>
        <w:rPr>
          <w:rFonts w:hint="eastAsia" w:eastAsia="仿宋_GB2312" w:cs="Times New Roman"/>
          <w:bCs/>
          <w:color w:val="000000"/>
          <w:szCs w:val="32"/>
          <w:lang w:val="en-US" w:eastAsia="zh-CN"/>
        </w:rPr>
        <w:t>七、128团经济发展办公室要切实承担事中事后监管主要责任，履行属地监管职责，按照《关于进一步完善建设项目环境保护“三同时”及竣工环境保护自主验收监管工作机制的意见》（环执法</w:t>
      </w:r>
      <w:r>
        <w:rPr>
          <w:rFonts w:hint="eastAsia" w:ascii="仿宋_GB2312" w:eastAsia="仿宋_GB2312"/>
          <w:snapToGrid w:val="0"/>
          <w:color w:val="000000"/>
          <w:kern w:val="0"/>
          <w:szCs w:val="32"/>
        </w:rPr>
        <w:t>〔202</w:t>
      </w:r>
      <w:r>
        <w:rPr>
          <w:rFonts w:hint="eastAsia" w:ascii="仿宋_GB2312" w:eastAsia="仿宋_GB2312"/>
          <w:snapToGrid w:val="0"/>
          <w:color w:val="000000"/>
          <w:kern w:val="0"/>
          <w:szCs w:val="32"/>
          <w:lang w:val="en-US" w:eastAsia="zh-CN"/>
        </w:rPr>
        <w:t>1</w:t>
      </w:r>
      <w:r>
        <w:rPr>
          <w:rFonts w:hint="eastAsia" w:ascii="仿宋_GB2312" w:eastAsia="仿宋_GB2312"/>
          <w:snapToGrid w:val="0"/>
          <w:color w:val="000000"/>
          <w:kern w:val="0"/>
          <w:szCs w:val="32"/>
        </w:rPr>
        <w:t>〕</w:t>
      </w:r>
      <w:r>
        <w:rPr>
          <w:rFonts w:hint="eastAsia" w:ascii="仿宋_GB2312" w:eastAsia="仿宋_GB2312"/>
          <w:snapToGrid w:val="0"/>
          <w:color w:val="000000"/>
          <w:kern w:val="0"/>
          <w:szCs w:val="32"/>
          <w:lang w:val="en-US" w:eastAsia="zh-CN"/>
        </w:rPr>
        <w:t>7</w:t>
      </w:r>
      <w:r>
        <w:rPr>
          <w:rFonts w:hint="eastAsia" w:ascii="仿宋_GB2312" w:eastAsia="仿宋_GB2312"/>
          <w:snapToGrid w:val="0"/>
          <w:color w:val="000000"/>
          <w:kern w:val="0"/>
          <w:szCs w:val="32"/>
          <w:lang w:eastAsia="zh-CN"/>
        </w:rPr>
        <w:t>0</w:t>
      </w:r>
      <w:r>
        <w:rPr>
          <w:rFonts w:hint="eastAsia" w:ascii="仿宋_GB2312" w:eastAsia="仿宋_GB2312"/>
          <w:snapToGrid w:val="0"/>
          <w:color w:val="000000"/>
          <w:kern w:val="0"/>
          <w:szCs w:val="32"/>
        </w:rPr>
        <w:t>号</w:t>
      </w:r>
      <w:r>
        <w:rPr>
          <w:rFonts w:hint="eastAsia" w:eastAsia="仿宋_GB2312" w:cs="Times New Roman"/>
          <w:bCs/>
          <w:color w:val="000000"/>
          <w:szCs w:val="32"/>
          <w:lang w:val="en-US" w:eastAsia="zh-CN"/>
        </w:rPr>
        <w:t>）要求，加强对该项目环境保护“三同时”及自主验收监管。</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ascii="仿宋_GB2312" w:eastAsia="仿宋_GB2312"/>
          <w:bCs/>
          <w:color w:val="000000"/>
          <w:szCs w:val="32"/>
        </w:rPr>
      </w:pPr>
      <w:r>
        <w:rPr>
          <w:rFonts w:hint="eastAsia" w:eastAsia="仿宋_GB2312" w:cs="Times New Roman"/>
          <w:bCs/>
          <w:color w:val="000000"/>
          <w:szCs w:val="32"/>
          <w:lang w:val="en-US" w:eastAsia="zh-CN"/>
        </w:rPr>
        <w:t>八、</w:t>
      </w:r>
      <w:r>
        <w:rPr>
          <w:rFonts w:hint="default" w:ascii="Times New Roman" w:hAnsi="Times New Roman" w:eastAsia="仿宋_GB2312" w:cs="Times New Roman"/>
          <w:bCs/>
          <w:color w:val="000000"/>
          <w:szCs w:val="32"/>
        </w:rPr>
        <w:t>我局委托师市生态环境保护综合行政执法支队</w:t>
      </w:r>
      <w:r>
        <w:rPr>
          <w:rFonts w:hint="default" w:ascii="Times New Roman" w:hAnsi="Times New Roman" w:eastAsia="仿宋_GB2312" w:cs="Times New Roman"/>
          <w:bCs/>
          <w:color w:val="000000"/>
          <w:szCs w:val="32"/>
          <w:lang w:val="en-US" w:eastAsia="zh-CN"/>
        </w:rPr>
        <w:t>负责该项目的事中事后监管，生态环境监测站按职责开展相关监管工作，我局负责对</w:t>
      </w:r>
      <w:r>
        <w:rPr>
          <w:rFonts w:hint="default" w:ascii="Times New Roman" w:hAnsi="Times New Roman" w:eastAsia="仿宋_GB2312" w:cs="Times New Roman"/>
          <w:bCs/>
          <w:color w:val="000000"/>
          <w:szCs w:val="32"/>
        </w:rPr>
        <w:t>“三同时”</w:t>
      </w:r>
      <w:r>
        <w:rPr>
          <w:rFonts w:hint="default" w:ascii="Times New Roman" w:hAnsi="Times New Roman" w:eastAsia="仿宋_GB2312" w:cs="Times New Roman"/>
          <w:bCs/>
          <w:color w:val="000000"/>
          <w:szCs w:val="32"/>
          <w:lang w:val="en-US" w:eastAsia="zh-CN"/>
        </w:rPr>
        <w:t>及自主验收监管工作的监督指导</w:t>
      </w:r>
      <w:r>
        <w:rPr>
          <w:rFonts w:hint="default" w:ascii="Times New Roman" w:hAnsi="Times New Roman" w:eastAsia="仿宋_GB2312" w:cs="Times New Roman"/>
          <w:bCs/>
          <w:color w:val="000000"/>
          <w:szCs w:val="32"/>
        </w:rPr>
        <w:t>。你单位应在接到本批复后20个工作日内，将批准后的环境影响</w:t>
      </w:r>
      <w:r>
        <w:rPr>
          <w:rFonts w:hint="eastAsia" w:eastAsia="仿宋_GB2312" w:cs="Times New Roman"/>
          <w:bCs/>
          <w:color w:val="000000"/>
          <w:szCs w:val="32"/>
          <w:lang w:eastAsia="zh-CN"/>
        </w:rPr>
        <w:t>报告表</w:t>
      </w:r>
      <w:r>
        <w:rPr>
          <w:rFonts w:hint="default" w:ascii="Times New Roman" w:hAnsi="Times New Roman" w:eastAsia="仿宋_GB2312" w:cs="Times New Roman"/>
          <w:bCs/>
          <w:color w:val="000000"/>
          <w:szCs w:val="32"/>
        </w:rPr>
        <w:t>送师市生态环境保护综合行政执法支队</w:t>
      </w:r>
      <w:r>
        <w:rPr>
          <w:rFonts w:hint="eastAsia" w:eastAsia="仿宋_GB2312" w:cs="Times New Roman"/>
          <w:bCs/>
          <w:color w:val="000000"/>
          <w:szCs w:val="32"/>
          <w:lang w:eastAsia="zh-CN"/>
        </w:rPr>
        <w:t>、</w:t>
      </w:r>
      <w:r>
        <w:rPr>
          <w:rFonts w:hint="eastAsia" w:eastAsia="仿宋_GB2312" w:cs="Times New Roman"/>
          <w:bCs/>
          <w:color w:val="000000"/>
          <w:szCs w:val="32"/>
          <w:lang w:val="en-US" w:eastAsia="zh-CN"/>
        </w:rPr>
        <w:t>生态环境监测站、128团经济发展办公室</w:t>
      </w:r>
      <w:r>
        <w:rPr>
          <w:rFonts w:hint="default" w:ascii="Times New Roman" w:hAnsi="Times New Roman" w:eastAsia="仿宋_GB2312" w:cs="Times New Roman"/>
          <w:bCs/>
          <w:color w:val="000000"/>
          <w:szCs w:val="32"/>
        </w:rPr>
        <w:t>，并按规定接受各级生态环境主管部门的监督检查。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eastAsia" w:ascii="仿宋_GB2312" w:eastAsia="仿宋_GB2312"/>
          <w:bCs/>
          <w:color w:val="000000"/>
          <w:szCs w:val="32"/>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eastAsia" w:ascii="仿宋_GB2312" w:eastAsia="仿宋_GB2312"/>
          <w:bCs/>
          <w:color w:val="000000"/>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5372" w:firstLineChars="1700"/>
        <w:textAlignment w:val="auto"/>
        <w:rPr>
          <w:rFonts w:hint="eastAsia" w:ascii="仿宋_GB2312" w:eastAsia="仿宋_GB2312"/>
          <w:bCs/>
          <w:color w:val="000000"/>
          <w:szCs w:val="32"/>
        </w:rPr>
      </w:pPr>
      <w:r>
        <w:rPr>
          <w:rFonts w:hint="eastAsia" w:ascii="仿宋_GB2312" w:eastAsia="仿宋_GB2312"/>
          <w:bCs/>
          <w:color w:val="000000"/>
          <w:szCs w:val="32"/>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6004" w:firstLineChars="1900"/>
        <w:textAlignment w:val="auto"/>
        <w:rPr>
          <w:rFonts w:hint="eastAsia" w:ascii="仿宋_GB2312" w:eastAsia="仿宋_GB2312"/>
          <w:bCs/>
          <w:color w:val="000000"/>
          <w:szCs w:val="32"/>
        </w:rPr>
      </w:pPr>
      <w:r>
        <w:rPr>
          <w:rFonts w:hint="eastAsia" w:ascii="仿宋_GB2312" w:eastAsia="仿宋_GB2312"/>
          <w:bCs/>
          <w:color w:val="000000"/>
          <w:szCs w:val="32"/>
        </w:rPr>
        <w:t>202</w:t>
      </w:r>
      <w:r>
        <w:rPr>
          <w:rFonts w:hint="eastAsia" w:ascii="仿宋_GB2312" w:eastAsia="仿宋_GB2312"/>
          <w:bCs/>
          <w:color w:val="000000"/>
          <w:szCs w:val="32"/>
          <w:lang w:val="en-US" w:eastAsia="zh-CN"/>
        </w:rPr>
        <w:t>4</w:t>
      </w:r>
      <w:r>
        <w:rPr>
          <w:rFonts w:hint="eastAsia" w:ascii="仿宋_GB2312" w:eastAsia="仿宋_GB2312"/>
          <w:bCs/>
          <w:color w:val="000000"/>
          <w:szCs w:val="32"/>
        </w:rPr>
        <w:t>年</w:t>
      </w:r>
      <w:r>
        <w:rPr>
          <w:rFonts w:hint="eastAsia" w:ascii="仿宋_GB2312" w:eastAsia="仿宋_GB2312"/>
          <w:bCs/>
          <w:color w:val="000000"/>
          <w:szCs w:val="32"/>
          <w:lang w:val="en-US" w:eastAsia="zh-CN"/>
        </w:rPr>
        <w:t>4</w:t>
      </w:r>
      <w:r>
        <w:rPr>
          <w:rFonts w:hint="eastAsia" w:ascii="仿宋_GB2312" w:eastAsia="仿宋_GB2312"/>
          <w:bCs/>
          <w:color w:val="000000"/>
          <w:szCs w:val="32"/>
        </w:rPr>
        <w:t>月</w:t>
      </w:r>
      <w:r>
        <w:rPr>
          <w:rFonts w:hint="eastAsia" w:ascii="仿宋_GB2312" w:eastAsia="仿宋_GB2312"/>
          <w:bCs/>
          <w:color w:val="000000"/>
          <w:szCs w:val="32"/>
          <w:lang w:val="en-US" w:eastAsia="zh-CN"/>
        </w:rPr>
        <w:t>8</w:t>
      </w:r>
      <w:r>
        <w:rPr>
          <w:rFonts w:hint="eastAsia" w:ascii="仿宋_GB2312" w:eastAsia="仿宋_GB2312"/>
          <w:bCs/>
          <w:color w:val="000000"/>
          <w:szCs w:val="32"/>
        </w:rPr>
        <w:t>日</w:t>
      </w:r>
    </w:p>
    <w:p>
      <w:pPr>
        <w:keepNext w:val="0"/>
        <w:keepLines w:val="0"/>
        <w:pageBreakBefore w:val="0"/>
        <w:widowControl w:val="0"/>
        <w:kinsoku/>
        <w:wordWrap/>
        <w:overflowPunct/>
        <w:topLinePunct w:val="0"/>
        <w:autoSpaceDE/>
        <w:autoSpaceDN/>
        <w:bidi w:val="0"/>
        <w:adjustRightInd/>
        <w:snapToGrid/>
        <w:spacing w:line="440" w:lineRule="exact"/>
        <w:ind w:firstLine="6004" w:firstLineChars="1900"/>
        <w:textAlignment w:val="auto"/>
        <w:rPr>
          <w:rFonts w:hint="eastAsia" w:ascii="仿宋_GB2312" w:eastAsia="仿宋_GB2312"/>
          <w:bCs/>
          <w:color w:val="000000"/>
          <w:szCs w:val="32"/>
        </w:rPr>
      </w:pPr>
    </w:p>
    <w:p>
      <w:pPr>
        <w:keepNext w:val="0"/>
        <w:keepLines w:val="0"/>
        <w:pageBreakBefore w:val="0"/>
        <w:widowControl w:val="0"/>
        <w:kinsoku/>
        <w:wordWrap/>
        <w:overflowPunct/>
        <w:topLinePunct w:val="0"/>
        <w:autoSpaceDE/>
        <w:autoSpaceDN/>
        <w:bidi w:val="0"/>
        <w:adjustRightInd/>
        <w:snapToGrid/>
        <w:spacing w:line="440" w:lineRule="exact"/>
        <w:ind w:firstLine="5130" w:firstLineChars="1900"/>
        <w:textAlignment w:val="auto"/>
        <w:rPr>
          <w:rFonts w:hint="eastAsia" w:ascii="仿宋_GB2312" w:eastAsia="仿宋_GB2312"/>
          <w:snapToGrid w:val="0"/>
          <w:kern w:val="0"/>
          <w:szCs w:val="32"/>
        </w:rPr>
      </w:pPr>
      <w:r>
        <w:rPr>
          <w:rFonts w:hint="eastAsia" w:ascii="仿宋_GB2312" w:hAnsi="华文仿宋" w:eastAsia="仿宋_GB2312" w:cs="仿宋_GB2312"/>
          <w:w w:val="98"/>
          <w:sz w:val="28"/>
          <w:szCs w:val="28"/>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240030</wp:posOffset>
                </wp:positionV>
                <wp:extent cx="5988685" cy="7620"/>
                <wp:effectExtent l="0" t="0" r="0" b="0"/>
                <wp:wrapNone/>
                <wp:docPr id="1" name="直线 2"/>
                <wp:cNvGraphicFramePr/>
                <a:graphic xmlns:a="http://schemas.openxmlformats.org/drawingml/2006/main">
                  <a:graphicData uri="http://schemas.microsoft.com/office/word/2010/wordprocessingShape">
                    <wps:wsp>
                      <wps:cNvCnPr/>
                      <wps:spPr>
                        <a:xfrm flipV="1">
                          <a:off x="0" y="0"/>
                          <a:ext cx="5988685" cy="76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75pt;margin-top:18.9pt;height:0.6pt;width:471.55pt;z-index:251659264;mso-width-relative:page;mso-height-relative:page;" filled="f" stroked="t" coordsize="21600,21600" o:gfxdata="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ts357VAAAABwEAAA8AAAAAAAAAAQAgAAAAIgAAAGRycy9kb3ducmV2LnhtbFBLAQIUABQA&#10;AAAIAIdO4kBnL0Om8wEAAOkDAAAOAAAAAAAAAAEAIAAAACQBAABkcnMvZTJvRG9jLnhtbFBLBQYA&#10;AAAABgAGAFkBAACJBQAAAAA=&#10;">
                <v:fill on="f" focussize="0,0"/>
                <v:stroke weight="1.5pt" color="#000000" joinstyle="round"/>
                <v:imagedata o:title=""/>
                <o:lock v:ext="edit" aspectratio="f"/>
              </v:line>
            </w:pict>
          </mc:Fallback>
        </mc:AlternateContent>
      </w:r>
    </w:p>
    <w:p>
      <w:pPr>
        <w:spacing w:line="400" w:lineRule="exact"/>
        <w:ind w:left="1084" w:leftChars="87" w:right="316" w:rightChars="100" w:hanging="810" w:hangingChars="300"/>
        <w:rPr>
          <w:rFonts w:hint="eastAsia" w:ascii="仿宋_GB2312" w:hAnsi="华文仿宋" w:eastAsia="仿宋_GB2312" w:cs="仿宋_GB2312"/>
          <w:sz w:val="28"/>
          <w:szCs w:val="28"/>
        </w:rPr>
      </w:pPr>
      <w:r>
        <w:rPr>
          <w:rFonts w:hint="eastAsia" w:ascii="仿宋_GB2312" w:hAnsi="华文仿宋" w:eastAsia="仿宋_GB2312" w:cs="仿宋_GB2312"/>
          <w:w w:val="98"/>
          <w:sz w:val="28"/>
          <w:szCs w:val="28"/>
        </w:rPr>
        <w:t>抄送：师市生态环境保护综合行政执法支队</w:t>
      </w:r>
      <w:r>
        <w:rPr>
          <w:rFonts w:hint="eastAsia" w:ascii="仿宋_GB2312" w:hAnsi="华文仿宋" w:eastAsia="仿宋_GB2312" w:cs="仿宋_GB2312"/>
          <w:w w:val="98"/>
          <w:sz w:val="28"/>
          <w:szCs w:val="28"/>
          <w:lang w:eastAsia="zh-CN"/>
        </w:rPr>
        <w:t>、</w:t>
      </w:r>
      <w:r>
        <w:rPr>
          <w:rFonts w:hint="eastAsia" w:ascii="仿宋_GB2312" w:hAnsi="华文仿宋" w:eastAsia="仿宋_GB2312" w:cs="仿宋_GB2312"/>
          <w:w w:val="98"/>
          <w:sz w:val="28"/>
          <w:szCs w:val="28"/>
          <w:lang w:val="en-US" w:eastAsia="zh-CN"/>
        </w:rPr>
        <w:t>生态环境监测站、128团经济发展办公室</w:t>
      </w:r>
      <w:r>
        <w:rPr>
          <w:rFonts w:hint="eastAsia" w:ascii="仿宋_GB2312" w:hAnsi="华文仿宋" w:eastAsia="仿宋_GB2312" w:cs="仿宋_GB2312"/>
          <w:w w:val="98"/>
          <w:sz w:val="28"/>
          <w:szCs w:val="28"/>
        </w:rPr>
        <w:t>。</w:t>
      </w:r>
    </w:p>
    <w:p>
      <w:pPr>
        <w:spacing w:line="600" w:lineRule="exact"/>
        <w:ind w:right="316" w:rightChars="100" w:firstLine="273" w:firstLineChars="100"/>
        <w:rPr>
          <w:w w:val="99"/>
        </w:rPr>
      </w:pPr>
      <w:r>
        <w:rPr>
          <w:rFonts w:hint="eastAsia" w:ascii="仿宋_GB2312" w:hAnsi="华文仿宋" w:eastAsia="仿宋_GB2312" w:cs="仿宋_GB2312"/>
          <w:w w:val="99"/>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6064885" cy="22860"/>
                <wp:effectExtent l="0" t="9525" r="12065" b="24765"/>
                <wp:wrapNone/>
                <wp:docPr id="3" name="直线 4"/>
                <wp:cNvGraphicFramePr/>
                <a:graphic xmlns:a="http://schemas.openxmlformats.org/drawingml/2006/main">
                  <a:graphicData uri="http://schemas.microsoft.com/office/word/2010/wordprocessingShape">
                    <wps:wsp>
                      <wps:cNvCnPr/>
                      <wps:spPr>
                        <a:xfrm>
                          <a:off x="0" y="0"/>
                          <a:ext cx="6064885" cy="2286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0.1pt;height:1.8pt;width:477.55pt;z-index:251661312;mso-width-relative:page;mso-height-relative:page;" filled="f" stroked="t" coordsize="21600,21600" o:gfxdata="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K&#10;dBzl1QAAAAYBAAAPAAAAAAAAAAEAIAAAACIAAABkcnMvZG93bnJldi54bWxQSwECFAAUAAAACACH&#10;TuJAjse1ke4BAADgAwAADgAAAAAAAAABACAAAAAkAQAAZHJzL2Uyb0RvYy54bWxQSwUGAAAAAAYA&#10;BgBZAQAAhAUAAAAA&#10;">
                <v:fill on="f" focussize="0,0"/>
                <v:stroke weight="1.5pt" color="#000000" joinstyle="round"/>
                <v:imagedata o:title=""/>
                <o:lock v:ext="edit" aspectratio="f"/>
              </v:line>
            </w:pict>
          </mc:Fallback>
        </mc:AlternateContent>
      </w:r>
      <w:r>
        <w:rPr>
          <w:rFonts w:hint="eastAsia" w:ascii="仿宋_GB2312" w:hAnsi="华文仿宋" w:eastAsia="仿宋_GB2312" w:cs="仿宋_GB2312"/>
          <w:w w:val="99"/>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055360" cy="5080"/>
                <wp:effectExtent l="0" t="0" r="0" b="0"/>
                <wp:wrapNone/>
                <wp:docPr id="2" name="直线 3"/>
                <wp:cNvGraphicFramePr/>
                <a:graphic xmlns:a="http://schemas.openxmlformats.org/drawingml/2006/main">
                  <a:graphicData uri="http://schemas.microsoft.com/office/word/2010/wordprocessingShape">
                    <wps:wsp>
                      <wps:cNvCnPr/>
                      <wps:spPr>
                        <a:xfrm>
                          <a:off x="0" y="0"/>
                          <a:ext cx="605536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4pt;width:476.8pt;z-index:251660288;mso-width-relative:page;mso-height-relative:page;" filled="f" stroked="t" coordsize="21600,21600" o:gfxdata="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VrM+vT&#10;AAAAAgEAAA8AAAAAAAAAAQAgAAAAIgAAAGRycy9kb3ducmV2LnhtbFBLAQIUABQAAAAIAIdO4kDA&#10;APbQ7AEAAN4DAAAOAAAAAAAAAAEAIAAAACIBAABkcnMvZTJvRG9jLnhtbFBLBQYAAAAABgAGAFkB&#10;AACABQAAAAA=&#10;">
                <v:fill on="f" focussize="0,0"/>
                <v:stroke color="#000000" joinstyle="round"/>
                <v:imagedata o:title=""/>
                <o:lock v:ext="edit" aspectratio="f"/>
              </v:line>
            </w:pict>
          </mc:Fallback>
        </mc:AlternateContent>
      </w:r>
      <w:r>
        <w:rPr>
          <w:rFonts w:hint="eastAsia" w:ascii="仿宋_GB2312" w:hAnsi="华文仿宋" w:eastAsia="仿宋_GB2312" w:cs="仿宋_GB2312"/>
          <w:w w:val="99"/>
          <w:sz w:val="28"/>
          <w:szCs w:val="28"/>
        </w:rPr>
        <w:t xml:space="preserve">新疆生产建设兵团第七师胡杨河市生态环境局 </w:t>
      </w:r>
      <w:r>
        <w:rPr>
          <w:rFonts w:hint="eastAsia" w:ascii="仿宋_GB2312" w:hAnsi="华文仿宋" w:eastAsia="仿宋_GB2312" w:cs="仿宋_GB2312"/>
          <w:w w:val="99"/>
          <w:sz w:val="28"/>
          <w:szCs w:val="28"/>
          <w:lang w:val="en-US" w:eastAsia="zh-CN"/>
        </w:rPr>
        <w:t xml:space="preserve">      </w:t>
      </w:r>
      <w:r>
        <w:rPr>
          <w:rFonts w:hint="eastAsia" w:ascii="仿宋_GB2312" w:hAnsi="华文仿宋" w:eastAsia="仿宋_GB2312" w:cs="仿宋_GB2312"/>
          <w:w w:val="99"/>
          <w:sz w:val="28"/>
          <w:szCs w:val="28"/>
        </w:rPr>
        <w:t>202</w:t>
      </w:r>
      <w:r>
        <w:rPr>
          <w:rFonts w:hint="eastAsia" w:ascii="仿宋_GB2312" w:hAnsi="华文仿宋" w:eastAsia="仿宋_GB2312" w:cs="仿宋_GB2312"/>
          <w:w w:val="99"/>
          <w:sz w:val="28"/>
          <w:szCs w:val="28"/>
          <w:lang w:val="en-US" w:eastAsia="zh-CN"/>
        </w:rPr>
        <w:t>4</w:t>
      </w:r>
      <w:r>
        <w:rPr>
          <w:rFonts w:hint="eastAsia" w:ascii="仿宋_GB2312" w:hAnsi="华文仿宋" w:eastAsia="仿宋_GB2312" w:cs="仿宋_GB2312"/>
          <w:w w:val="99"/>
          <w:sz w:val="28"/>
          <w:szCs w:val="28"/>
        </w:rPr>
        <w:t>年</w:t>
      </w:r>
      <w:r>
        <w:rPr>
          <w:rFonts w:hint="eastAsia" w:ascii="仿宋_GB2312" w:hAnsi="华文仿宋" w:eastAsia="仿宋_GB2312" w:cs="仿宋_GB2312"/>
          <w:w w:val="99"/>
          <w:sz w:val="28"/>
          <w:szCs w:val="28"/>
          <w:lang w:val="en-US" w:eastAsia="zh-CN"/>
        </w:rPr>
        <w:t>4</w:t>
      </w:r>
      <w:r>
        <w:rPr>
          <w:rFonts w:hint="eastAsia" w:ascii="仿宋_GB2312" w:hAnsi="华文仿宋" w:eastAsia="仿宋_GB2312" w:cs="仿宋_GB2312"/>
          <w:w w:val="99"/>
          <w:sz w:val="28"/>
          <w:szCs w:val="28"/>
        </w:rPr>
        <w:t>月</w:t>
      </w:r>
      <w:r>
        <w:rPr>
          <w:rFonts w:hint="eastAsia" w:ascii="仿宋_GB2312" w:hAnsi="华文仿宋" w:eastAsia="仿宋_GB2312" w:cs="仿宋_GB2312"/>
          <w:w w:val="99"/>
          <w:sz w:val="28"/>
          <w:szCs w:val="28"/>
          <w:lang w:val="en-US" w:eastAsia="zh-CN"/>
        </w:rPr>
        <w:t>8</w:t>
      </w:r>
      <w:r>
        <w:rPr>
          <w:rFonts w:hint="eastAsia" w:ascii="仿宋_GB2312" w:hAnsi="华文仿宋" w:eastAsia="仿宋_GB2312" w:cs="仿宋_GB2312"/>
          <w:w w:val="99"/>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134" w:bottom="1701" w:left="124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3030502040406070605"/>
    <w:charset w:val="00"/>
    <w:family w:val="script"/>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ind w:left="320" w:leftChars="100" w:right="320" w:rightChars="100"/>
                            <w:rPr>
                              <w:rStyle w:val="33"/>
                              <w:rFonts w:hint="eastAsia" w:ascii="仿宋_GB2312" w:eastAsia="仿宋_GB2312"/>
                              <w:b/>
                              <w:bCs/>
                              <w:sz w:val="28"/>
                              <w:szCs w:val="28"/>
                            </w:rPr>
                          </w:pPr>
                          <w:r>
                            <w:rPr>
                              <w:rStyle w:val="33"/>
                              <w:rFonts w:hint="eastAsia" w:ascii="仿宋_GB2312" w:eastAsia="仿宋_GB2312"/>
                              <w:sz w:val="28"/>
                              <w:szCs w:val="28"/>
                            </w:rPr>
                            <w:t xml:space="preserve">— </w:t>
                          </w:r>
                          <w:r>
                            <w:rPr>
                              <w:rFonts w:hint="eastAsia" w:ascii="仿宋_GB2312" w:eastAsia="仿宋_GB2312"/>
                              <w:sz w:val="28"/>
                              <w:szCs w:val="28"/>
                            </w:rPr>
                            <w:fldChar w:fldCharType="begin"/>
                          </w:r>
                          <w:r>
                            <w:rPr>
                              <w:rStyle w:val="3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33"/>
                              <w:rFonts w:ascii="仿宋_GB2312" w:eastAsia="仿宋_GB2312"/>
                              <w:sz w:val="28"/>
                              <w:szCs w:val="28"/>
                            </w:rPr>
                            <w:t>2</w:t>
                          </w:r>
                          <w:r>
                            <w:rPr>
                              <w:rFonts w:hint="eastAsia" w:ascii="仿宋_GB2312" w:eastAsia="仿宋_GB2312"/>
                              <w:sz w:val="28"/>
                              <w:szCs w:val="28"/>
                            </w:rPr>
                            <w:fldChar w:fldCharType="end"/>
                          </w:r>
                          <w:r>
                            <w:rPr>
                              <w:rStyle w:val="33"/>
                              <w:rFonts w:hint="eastAsia" w:ascii="仿宋_GB2312" w:eastAsia="仿宋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odRJTTAAAABwEAAA8AAAAAAAAA&#10;AQAgAAAAIgAAAGRycy9kb3ducmV2LnhtbFBLAQIUABQAAAAIAIdO4kA1n+J53QEAAL4DAAAOAAAA&#10;AAAAAAEAIAAAACIBAABkcnMvZTJvRG9jLnhtbFBLBQYAAAAABgAGAFkBAABxBQAAAAA=&#10;">
              <v:fill on="f" focussize="0,0"/>
              <v:stroke on="f"/>
              <v:imagedata o:title=""/>
              <o:lock v:ext="edit" aspectratio="f"/>
              <v:textbox inset="0mm,0mm,0mm,0mm" style="mso-fit-shape-to-text:t;">
                <w:txbxContent>
                  <w:p>
                    <w:pPr>
                      <w:pStyle w:val="20"/>
                      <w:ind w:left="320" w:leftChars="100" w:right="320" w:rightChars="100"/>
                      <w:rPr>
                        <w:rStyle w:val="33"/>
                        <w:rFonts w:hint="eastAsia" w:ascii="仿宋_GB2312" w:eastAsia="仿宋_GB2312"/>
                        <w:b/>
                        <w:bCs/>
                        <w:sz w:val="28"/>
                        <w:szCs w:val="28"/>
                      </w:rPr>
                    </w:pPr>
                    <w:r>
                      <w:rPr>
                        <w:rStyle w:val="33"/>
                        <w:rFonts w:hint="eastAsia" w:ascii="仿宋_GB2312" w:eastAsia="仿宋_GB2312"/>
                        <w:sz w:val="28"/>
                        <w:szCs w:val="28"/>
                      </w:rPr>
                      <w:t xml:space="preserve">— </w:t>
                    </w:r>
                    <w:r>
                      <w:rPr>
                        <w:rFonts w:hint="eastAsia" w:ascii="仿宋_GB2312" w:eastAsia="仿宋_GB2312"/>
                        <w:sz w:val="28"/>
                        <w:szCs w:val="28"/>
                      </w:rPr>
                      <w:fldChar w:fldCharType="begin"/>
                    </w:r>
                    <w:r>
                      <w:rPr>
                        <w:rStyle w:val="3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33"/>
                        <w:rFonts w:ascii="仿宋_GB2312" w:eastAsia="仿宋_GB2312"/>
                        <w:sz w:val="28"/>
                        <w:szCs w:val="28"/>
                      </w:rPr>
                      <w:t>2</w:t>
                    </w:r>
                    <w:r>
                      <w:rPr>
                        <w:rFonts w:hint="eastAsia" w:ascii="仿宋_GB2312" w:eastAsia="仿宋_GB2312"/>
                        <w:sz w:val="28"/>
                        <w:szCs w:val="28"/>
                      </w:rPr>
                      <w:fldChar w:fldCharType="end"/>
                    </w:r>
                    <w:r>
                      <w:rPr>
                        <w:rStyle w:val="33"/>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rPr>
        <w:rStyle w:val="33"/>
      </w:rPr>
    </w:pPr>
    <w:r>
      <w:fldChar w:fldCharType="begin"/>
    </w:r>
    <w:r>
      <w:rPr>
        <w:rStyle w:val="33"/>
      </w:rPr>
      <w:instrText xml:space="preserve">PAGE  </w:instrText>
    </w:r>
    <w:r>
      <w:fldChar w:fldCharType="separate"/>
    </w:r>
    <w:r>
      <w:rPr>
        <w:rStyle w:val="33"/>
      </w:rPr>
      <w:t>1</w: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outline w:val="0"/>
        <w:shadow w:val="0"/>
        <w:emboss w:val="0"/>
        <w:imprint w:val="0"/>
        <w:vanish w:val="0"/>
        <w:color w:val="auto"/>
        <w:sz w:val="28"/>
        <w:szCs w:val="32"/>
        <w:u w:val="none"/>
        <w:vertAlign w:val="baseline"/>
      </w:rPr>
    </w:lvl>
    <w:lvl w:ilvl="1" w:tentative="0">
      <w:start w:val="1"/>
      <w:numFmt w:val="decimal"/>
      <w:pStyle w:val="3"/>
      <w:isLgl/>
      <w:suff w:val="space"/>
      <w:lvlText w:val="%1.%2"/>
      <w:lvlJc w:val="left"/>
      <w:pPr>
        <w:ind w:left="0" w:firstLine="0"/>
      </w:pPr>
      <w:rPr>
        <w:rFonts w:hint="default" w:ascii="Times New Roman" w:hAnsi="Times New Roman" w:eastAsia="宋体"/>
        <w:b/>
        <w:i w:val="0"/>
        <w:caps w:val="0"/>
        <w:smallCaps w:val="0"/>
        <w:strike w:val="0"/>
        <w:dstrike w:val="0"/>
        <w:outline w:val="0"/>
        <w:shadow w:val="0"/>
        <w:emboss w:val="0"/>
        <w:imprint w:val="0"/>
        <w:vanish w:val="0"/>
        <w:spacing w:val="0"/>
        <w:position w:val="0"/>
        <w:sz w:val="24"/>
        <w:u w:val="none"/>
        <w:vertAlign w:val="baseline"/>
      </w:rPr>
    </w:lvl>
    <w:lvl w:ilvl="2" w:tentative="0">
      <w:start w:val="1"/>
      <w:numFmt w:val="decimal"/>
      <w:pStyle w:val="4"/>
      <w:suff w:val="space"/>
      <w:lvlText w:val="%1.%2.%3"/>
      <w:lvlJc w:val="left"/>
      <w:pPr>
        <w:ind w:left="280" w:firstLine="0"/>
      </w:pPr>
      <w:rPr>
        <w:rFonts w:hint="default" w:ascii="Times New Roman" w:hAnsi="Times New Roman" w:eastAsia="宋体"/>
        <w:b w:val="0"/>
        <w:i w:val="0"/>
        <w:caps w:val="0"/>
        <w:strike w:val="0"/>
        <w:dstrike w:val="0"/>
        <w:outline w:val="0"/>
        <w:shadow w:val="0"/>
        <w:emboss w:val="0"/>
        <w:imprint w:val="0"/>
        <w:vanish w:val="0"/>
        <w:color w:val="auto"/>
        <w:sz w:val="24"/>
        <w:szCs w:val="28"/>
        <w:u w:val="none"/>
        <w:vertAlign w:val="baseline"/>
      </w:rPr>
    </w:lvl>
    <w:lvl w:ilvl="3" w:tentative="0">
      <w:start w:val="1"/>
      <w:numFmt w:val="decimal"/>
      <w:pStyle w:val="5"/>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outline w:val="0"/>
        <w:shadow w:val="0"/>
        <w:emboss w:val="0"/>
        <w:imprint w:val="0"/>
        <w:vanish w:val="0"/>
        <w:spacing w:val="0"/>
        <w:kern w:val="0"/>
        <w:position w:val="0"/>
        <w:u w:val="none"/>
        <w:vertAlign w:val="baseline"/>
        <w:lang w:val="en-US"/>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 w:name="KSO_WPS_MARK_KEY" w:val="df5a64fe-83df-42f2-8ad1-6fa3216ba469"/>
  </w:docVars>
  <w:rsids>
    <w:rsidRoot w:val="00140F04"/>
    <w:rsid w:val="00003FF6"/>
    <w:rsid w:val="00006295"/>
    <w:rsid w:val="000140F4"/>
    <w:rsid w:val="0001542F"/>
    <w:rsid w:val="00026947"/>
    <w:rsid w:val="00027195"/>
    <w:rsid w:val="000361B3"/>
    <w:rsid w:val="00040219"/>
    <w:rsid w:val="0005392E"/>
    <w:rsid w:val="00054C20"/>
    <w:rsid w:val="000635A3"/>
    <w:rsid w:val="00075609"/>
    <w:rsid w:val="0008314C"/>
    <w:rsid w:val="00083777"/>
    <w:rsid w:val="00086B6A"/>
    <w:rsid w:val="00090C33"/>
    <w:rsid w:val="00090E1F"/>
    <w:rsid w:val="000975CE"/>
    <w:rsid w:val="000A4DE5"/>
    <w:rsid w:val="000B51AC"/>
    <w:rsid w:val="000B52FA"/>
    <w:rsid w:val="000B7C67"/>
    <w:rsid w:val="000C0637"/>
    <w:rsid w:val="000E25EC"/>
    <w:rsid w:val="000E4C90"/>
    <w:rsid w:val="000E5119"/>
    <w:rsid w:val="000F61F4"/>
    <w:rsid w:val="001052CA"/>
    <w:rsid w:val="00106E20"/>
    <w:rsid w:val="00107F54"/>
    <w:rsid w:val="00123A0A"/>
    <w:rsid w:val="00140F04"/>
    <w:rsid w:val="0014356F"/>
    <w:rsid w:val="00166295"/>
    <w:rsid w:val="0017367F"/>
    <w:rsid w:val="001849FF"/>
    <w:rsid w:val="00186860"/>
    <w:rsid w:val="00186E1D"/>
    <w:rsid w:val="00192A3E"/>
    <w:rsid w:val="00192A5C"/>
    <w:rsid w:val="001C6BB0"/>
    <w:rsid w:val="001D1FFF"/>
    <w:rsid w:val="001E6C9E"/>
    <w:rsid w:val="001F3BCD"/>
    <w:rsid w:val="001F670F"/>
    <w:rsid w:val="001F67AE"/>
    <w:rsid w:val="001F7397"/>
    <w:rsid w:val="00200955"/>
    <w:rsid w:val="00212F46"/>
    <w:rsid w:val="00213343"/>
    <w:rsid w:val="002161F0"/>
    <w:rsid w:val="00226A3C"/>
    <w:rsid w:val="002303EC"/>
    <w:rsid w:val="0024555E"/>
    <w:rsid w:val="002476B6"/>
    <w:rsid w:val="00266A2B"/>
    <w:rsid w:val="00277803"/>
    <w:rsid w:val="002851A7"/>
    <w:rsid w:val="00285C76"/>
    <w:rsid w:val="00287CC3"/>
    <w:rsid w:val="00290E6E"/>
    <w:rsid w:val="002A2E49"/>
    <w:rsid w:val="002A4CCE"/>
    <w:rsid w:val="002B1C16"/>
    <w:rsid w:val="002B2C48"/>
    <w:rsid w:val="002B5E0B"/>
    <w:rsid w:val="002C497C"/>
    <w:rsid w:val="002D135C"/>
    <w:rsid w:val="002E11BD"/>
    <w:rsid w:val="002E7029"/>
    <w:rsid w:val="002F122E"/>
    <w:rsid w:val="002F3771"/>
    <w:rsid w:val="0031776A"/>
    <w:rsid w:val="00326C89"/>
    <w:rsid w:val="00331A4D"/>
    <w:rsid w:val="00331B77"/>
    <w:rsid w:val="00333973"/>
    <w:rsid w:val="0034414A"/>
    <w:rsid w:val="00345210"/>
    <w:rsid w:val="003468AE"/>
    <w:rsid w:val="0035060B"/>
    <w:rsid w:val="003603C3"/>
    <w:rsid w:val="00370999"/>
    <w:rsid w:val="00371884"/>
    <w:rsid w:val="003767CE"/>
    <w:rsid w:val="00380AF9"/>
    <w:rsid w:val="00382CAC"/>
    <w:rsid w:val="00387486"/>
    <w:rsid w:val="0039300C"/>
    <w:rsid w:val="0039472C"/>
    <w:rsid w:val="00394DC2"/>
    <w:rsid w:val="003951F4"/>
    <w:rsid w:val="0039660A"/>
    <w:rsid w:val="003A151C"/>
    <w:rsid w:val="003A1E4F"/>
    <w:rsid w:val="003A4EAA"/>
    <w:rsid w:val="003B7488"/>
    <w:rsid w:val="003B74AA"/>
    <w:rsid w:val="003B7F5D"/>
    <w:rsid w:val="003C06E7"/>
    <w:rsid w:val="003C0BA2"/>
    <w:rsid w:val="003C12DB"/>
    <w:rsid w:val="003D4044"/>
    <w:rsid w:val="003D77EE"/>
    <w:rsid w:val="003E23CF"/>
    <w:rsid w:val="003E31BA"/>
    <w:rsid w:val="003E4B15"/>
    <w:rsid w:val="003F6CA2"/>
    <w:rsid w:val="00401518"/>
    <w:rsid w:val="00403DAC"/>
    <w:rsid w:val="00405E54"/>
    <w:rsid w:val="00405E72"/>
    <w:rsid w:val="0041074A"/>
    <w:rsid w:val="004162C5"/>
    <w:rsid w:val="00416F99"/>
    <w:rsid w:val="00422C8D"/>
    <w:rsid w:val="00435264"/>
    <w:rsid w:val="00436832"/>
    <w:rsid w:val="00445586"/>
    <w:rsid w:val="004614F4"/>
    <w:rsid w:val="004622C2"/>
    <w:rsid w:val="004640F1"/>
    <w:rsid w:val="0047600E"/>
    <w:rsid w:val="004840E9"/>
    <w:rsid w:val="004865FB"/>
    <w:rsid w:val="004A29A0"/>
    <w:rsid w:val="004B3B66"/>
    <w:rsid w:val="004C1D69"/>
    <w:rsid w:val="004C5628"/>
    <w:rsid w:val="004D0A08"/>
    <w:rsid w:val="004D5747"/>
    <w:rsid w:val="004F6AAB"/>
    <w:rsid w:val="0050136C"/>
    <w:rsid w:val="00507E87"/>
    <w:rsid w:val="00513766"/>
    <w:rsid w:val="00517C58"/>
    <w:rsid w:val="00522BDE"/>
    <w:rsid w:val="00522C38"/>
    <w:rsid w:val="00523F13"/>
    <w:rsid w:val="00537A45"/>
    <w:rsid w:val="005402B1"/>
    <w:rsid w:val="00544BB1"/>
    <w:rsid w:val="00545DE1"/>
    <w:rsid w:val="005477A7"/>
    <w:rsid w:val="005549D3"/>
    <w:rsid w:val="00563A3C"/>
    <w:rsid w:val="00573454"/>
    <w:rsid w:val="00575773"/>
    <w:rsid w:val="005762F4"/>
    <w:rsid w:val="005B0374"/>
    <w:rsid w:val="005B1EB6"/>
    <w:rsid w:val="005B2BCF"/>
    <w:rsid w:val="005B628F"/>
    <w:rsid w:val="005C1112"/>
    <w:rsid w:val="005C206A"/>
    <w:rsid w:val="005C53B2"/>
    <w:rsid w:val="005E538B"/>
    <w:rsid w:val="005F0BDA"/>
    <w:rsid w:val="005F5C26"/>
    <w:rsid w:val="00602189"/>
    <w:rsid w:val="00615137"/>
    <w:rsid w:val="00615560"/>
    <w:rsid w:val="00643E30"/>
    <w:rsid w:val="0064566B"/>
    <w:rsid w:val="006527D5"/>
    <w:rsid w:val="00652BF7"/>
    <w:rsid w:val="0066701E"/>
    <w:rsid w:val="00672FD9"/>
    <w:rsid w:val="00674BB4"/>
    <w:rsid w:val="00677EFE"/>
    <w:rsid w:val="00686884"/>
    <w:rsid w:val="00690A21"/>
    <w:rsid w:val="00691710"/>
    <w:rsid w:val="006A401F"/>
    <w:rsid w:val="006A7C7D"/>
    <w:rsid w:val="006D34F4"/>
    <w:rsid w:val="006E447D"/>
    <w:rsid w:val="006E72D4"/>
    <w:rsid w:val="006F2136"/>
    <w:rsid w:val="007064DC"/>
    <w:rsid w:val="00734707"/>
    <w:rsid w:val="00735701"/>
    <w:rsid w:val="00735A77"/>
    <w:rsid w:val="00743EE8"/>
    <w:rsid w:val="00745D4E"/>
    <w:rsid w:val="007512B2"/>
    <w:rsid w:val="007761C2"/>
    <w:rsid w:val="007868DE"/>
    <w:rsid w:val="007874CD"/>
    <w:rsid w:val="007B755F"/>
    <w:rsid w:val="007C17AB"/>
    <w:rsid w:val="007C1B3E"/>
    <w:rsid w:val="007C29ED"/>
    <w:rsid w:val="007E08AE"/>
    <w:rsid w:val="007E1715"/>
    <w:rsid w:val="00810492"/>
    <w:rsid w:val="008225D5"/>
    <w:rsid w:val="00825D41"/>
    <w:rsid w:val="008357B2"/>
    <w:rsid w:val="0084604E"/>
    <w:rsid w:val="00847998"/>
    <w:rsid w:val="00857049"/>
    <w:rsid w:val="00866255"/>
    <w:rsid w:val="00892D34"/>
    <w:rsid w:val="00896ABE"/>
    <w:rsid w:val="008A1974"/>
    <w:rsid w:val="008E2B10"/>
    <w:rsid w:val="008F6506"/>
    <w:rsid w:val="0090107A"/>
    <w:rsid w:val="0090698C"/>
    <w:rsid w:val="009123A1"/>
    <w:rsid w:val="00930AD6"/>
    <w:rsid w:val="0093448A"/>
    <w:rsid w:val="0094389E"/>
    <w:rsid w:val="00957AFD"/>
    <w:rsid w:val="009602B4"/>
    <w:rsid w:val="0096216D"/>
    <w:rsid w:val="00987360"/>
    <w:rsid w:val="009876C8"/>
    <w:rsid w:val="00994BE4"/>
    <w:rsid w:val="009B66E0"/>
    <w:rsid w:val="009C24CD"/>
    <w:rsid w:val="009C2F87"/>
    <w:rsid w:val="009C6A81"/>
    <w:rsid w:val="009C6B69"/>
    <w:rsid w:val="009D769F"/>
    <w:rsid w:val="009E29F5"/>
    <w:rsid w:val="009F427A"/>
    <w:rsid w:val="00A020EA"/>
    <w:rsid w:val="00A040C9"/>
    <w:rsid w:val="00A133C0"/>
    <w:rsid w:val="00A31846"/>
    <w:rsid w:val="00A35D6F"/>
    <w:rsid w:val="00A44058"/>
    <w:rsid w:val="00A46947"/>
    <w:rsid w:val="00A476E7"/>
    <w:rsid w:val="00A52C3B"/>
    <w:rsid w:val="00A705DE"/>
    <w:rsid w:val="00A7552D"/>
    <w:rsid w:val="00A8397D"/>
    <w:rsid w:val="00A941C6"/>
    <w:rsid w:val="00A96BEC"/>
    <w:rsid w:val="00AA5C31"/>
    <w:rsid w:val="00AC0856"/>
    <w:rsid w:val="00AF201C"/>
    <w:rsid w:val="00AF2160"/>
    <w:rsid w:val="00AF65AE"/>
    <w:rsid w:val="00B0640C"/>
    <w:rsid w:val="00B11B56"/>
    <w:rsid w:val="00B133BF"/>
    <w:rsid w:val="00B1499B"/>
    <w:rsid w:val="00B17A6F"/>
    <w:rsid w:val="00B30417"/>
    <w:rsid w:val="00B314BE"/>
    <w:rsid w:val="00B35D4F"/>
    <w:rsid w:val="00B43F82"/>
    <w:rsid w:val="00B60D86"/>
    <w:rsid w:val="00B6208B"/>
    <w:rsid w:val="00B64FF8"/>
    <w:rsid w:val="00B82F04"/>
    <w:rsid w:val="00B90B3C"/>
    <w:rsid w:val="00B970C3"/>
    <w:rsid w:val="00BA45EF"/>
    <w:rsid w:val="00BA73D4"/>
    <w:rsid w:val="00BB4886"/>
    <w:rsid w:val="00BC0913"/>
    <w:rsid w:val="00BC50C1"/>
    <w:rsid w:val="00BD00FA"/>
    <w:rsid w:val="00BD25C6"/>
    <w:rsid w:val="00BD64A1"/>
    <w:rsid w:val="00BE1592"/>
    <w:rsid w:val="00BF2067"/>
    <w:rsid w:val="00BF49EC"/>
    <w:rsid w:val="00BF6C99"/>
    <w:rsid w:val="00BF7A55"/>
    <w:rsid w:val="00C07631"/>
    <w:rsid w:val="00C15C07"/>
    <w:rsid w:val="00C37DAB"/>
    <w:rsid w:val="00C44695"/>
    <w:rsid w:val="00C51FB9"/>
    <w:rsid w:val="00C63970"/>
    <w:rsid w:val="00C64255"/>
    <w:rsid w:val="00C72C28"/>
    <w:rsid w:val="00C81ADA"/>
    <w:rsid w:val="00C83F03"/>
    <w:rsid w:val="00CA22BE"/>
    <w:rsid w:val="00CB76DB"/>
    <w:rsid w:val="00CC3F0A"/>
    <w:rsid w:val="00CD5233"/>
    <w:rsid w:val="00D167EF"/>
    <w:rsid w:val="00D2038F"/>
    <w:rsid w:val="00D20DC0"/>
    <w:rsid w:val="00D24751"/>
    <w:rsid w:val="00D27100"/>
    <w:rsid w:val="00D3538E"/>
    <w:rsid w:val="00D35B68"/>
    <w:rsid w:val="00D35F16"/>
    <w:rsid w:val="00D44F1E"/>
    <w:rsid w:val="00D45D8F"/>
    <w:rsid w:val="00D47B3A"/>
    <w:rsid w:val="00D5069C"/>
    <w:rsid w:val="00D511E7"/>
    <w:rsid w:val="00D57273"/>
    <w:rsid w:val="00D60DF9"/>
    <w:rsid w:val="00D64A9A"/>
    <w:rsid w:val="00D84964"/>
    <w:rsid w:val="00D84C91"/>
    <w:rsid w:val="00D9287C"/>
    <w:rsid w:val="00D97C2B"/>
    <w:rsid w:val="00DA162F"/>
    <w:rsid w:val="00DA5BAB"/>
    <w:rsid w:val="00DB0ABF"/>
    <w:rsid w:val="00DB2966"/>
    <w:rsid w:val="00DB7FD6"/>
    <w:rsid w:val="00DC1197"/>
    <w:rsid w:val="00DD3CE2"/>
    <w:rsid w:val="00DD5B0F"/>
    <w:rsid w:val="00DE2E23"/>
    <w:rsid w:val="00DE30FC"/>
    <w:rsid w:val="00DE5FCA"/>
    <w:rsid w:val="00DE782E"/>
    <w:rsid w:val="00DF0FA4"/>
    <w:rsid w:val="00DF2045"/>
    <w:rsid w:val="00E048AA"/>
    <w:rsid w:val="00E15575"/>
    <w:rsid w:val="00E160AB"/>
    <w:rsid w:val="00E172E8"/>
    <w:rsid w:val="00E255BD"/>
    <w:rsid w:val="00E26640"/>
    <w:rsid w:val="00E35803"/>
    <w:rsid w:val="00E40919"/>
    <w:rsid w:val="00E414F7"/>
    <w:rsid w:val="00E4552C"/>
    <w:rsid w:val="00E52279"/>
    <w:rsid w:val="00E57976"/>
    <w:rsid w:val="00E60536"/>
    <w:rsid w:val="00E61EBB"/>
    <w:rsid w:val="00E640D6"/>
    <w:rsid w:val="00E64819"/>
    <w:rsid w:val="00E6614D"/>
    <w:rsid w:val="00E66836"/>
    <w:rsid w:val="00E714D6"/>
    <w:rsid w:val="00E7279F"/>
    <w:rsid w:val="00E76425"/>
    <w:rsid w:val="00EA1C85"/>
    <w:rsid w:val="00EA5044"/>
    <w:rsid w:val="00EA602F"/>
    <w:rsid w:val="00EB5EB6"/>
    <w:rsid w:val="00ED1960"/>
    <w:rsid w:val="00EE002C"/>
    <w:rsid w:val="00EE0B18"/>
    <w:rsid w:val="00EE69E0"/>
    <w:rsid w:val="00EF0135"/>
    <w:rsid w:val="00EF0700"/>
    <w:rsid w:val="00EF3AFD"/>
    <w:rsid w:val="00EF45C1"/>
    <w:rsid w:val="00EF5659"/>
    <w:rsid w:val="00F13009"/>
    <w:rsid w:val="00F23E6E"/>
    <w:rsid w:val="00F241BC"/>
    <w:rsid w:val="00F30C30"/>
    <w:rsid w:val="00F31D3D"/>
    <w:rsid w:val="00F4332B"/>
    <w:rsid w:val="00F62A7F"/>
    <w:rsid w:val="00F6583C"/>
    <w:rsid w:val="00F74CE1"/>
    <w:rsid w:val="00F9084B"/>
    <w:rsid w:val="00FA2011"/>
    <w:rsid w:val="00FC0B11"/>
    <w:rsid w:val="00FC40CD"/>
    <w:rsid w:val="00FC54DB"/>
    <w:rsid w:val="00FC76F9"/>
    <w:rsid w:val="00FD19C3"/>
    <w:rsid w:val="00FE3A8D"/>
    <w:rsid w:val="00FE6B55"/>
    <w:rsid w:val="038A4867"/>
    <w:rsid w:val="062C21B1"/>
    <w:rsid w:val="06DD2ACB"/>
    <w:rsid w:val="099056B9"/>
    <w:rsid w:val="0AAE0317"/>
    <w:rsid w:val="0C063D7F"/>
    <w:rsid w:val="0CFE20C1"/>
    <w:rsid w:val="0DD11E2B"/>
    <w:rsid w:val="0ECE3D9D"/>
    <w:rsid w:val="0ECF23DA"/>
    <w:rsid w:val="0F4D3603"/>
    <w:rsid w:val="13FB7F63"/>
    <w:rsid w:val="15195430"/>
    <w:rsid w:val="1862291A"/>
    <w:rsid w:val="18A47C13"/>
    <w:rsid w:val="18E86D07"/>
    <w:rsid w:val="1940358D"/>
    <w:rsid w:val="1AAB7EF8"/>
    <w:rsid w:val="1B4D0765"/>
    <w:rsid w:val="1BDC31F1"/>
    <w:rsid w:val="1D243900"/>
    <w:rsid w:val="1E1A63DC"/>
    <w:rsid w:val="1E5E6886"/>
    <w:rsid w:val="1F644FF0"/>
    <w:rsid w:val="21711AE8"/>
    <w:rsid w:val="249A03E9"/>
    <w:rsid w:val="26A624E3"/>
    <w:rsid w:val="27457CE6"/>
    <w:rsid w:val="28311DB5"/>
    <w:rsid w:val="2A170D43"/>
    <w:rsid w:val="2A946D6B"/>
    <w:rsid w:val="2ACC476C"/>
    <w:rsid w:val="2F2443BA"/>
    <w:rsid w:val="2F5B59DC"/>
    <w:rsid w:val="31DD590A"/>
    <w:rsid w:val="325C0546"/>
    <w:rsid w:val="32946DC7"/>
    <w:rsid w:val="34D950E4"/>
    <w:rsid w:val="357016E6"/>
    <w:rsid w:val="364B3632"/>
    <w:rsid w:val="36585DFF"/>
    <w:rsid w:val="38587E92"/>
    <w:rsid w:val="385F2268"/>
    <w:rsid w:val="38B74FD7"/>
    <w:rsid w:val="394051F6"/>
    <w:rsid w:val="39B40287"/>
    <w:rsid w:val="3AB02FA5"/>
    <w:rsid w:val="3BC357B5"/>
    <w:rsid w:val="3BE74C67"/>
    <w:rsid w:val="3C756571"/>
    <w:rsid w:val="3C905D9F"/>
    <w:rsid w:val="3E3C224F"/>
    <w:rsid w:val="3F0F30B4"/>
    <w:rsid w:val="409A4820"/>
    <w:rsid w:val="412A0F5F"/>
    <w:rsid w:val="42135172"/>
    <w:rsid w:val="43054AFF"/>
    <w:rsid w:val="43655275"/>
    <w:rsid w:val="43A37A39"/>
    <w:rsid w:val="44F542C1"/>
    <w:rsid w:val="4557799E"/>
    <w:rsid w:val="45F67F43"/>
    <w:rsid w:val="491137F7"/>
    <w:rsid w:val="49120BC3"/>
    <w:rsid w:val="4A4B063D"/>
    <w:rsid w:val="5046781D"/>
    <w:rsid w:val="50A02634"/>
    <w:rsid w:val="524A4CEC"/>
    <w:rsid w:val="52ED79B4"/>
    <w:rsid w:val="54C117AD"/>
    <w:rsid w:val="5601503B"/>
    <w:rsid w:val="576D0E13"/>
    <w:rsid w:val="59765558"/>
    <w:rsid w:val="59FC0D31"/>
    <w:rsid w:val="5A92770C"/>
    <w:rsid w:val="5CD668DE"/>
    <w:rsid w:val="5EA6713F"/>
    <w:rsid w:val="5EDD57B6"/>
    <w:rsid w:val="60F72D86"/>
    <w:rsid w:val="61624B0F"/>
    <w:rsid w:val="61E2311C"/>
    <w:rsid w:val="638734B0"/>
    <w:rsid w:val="647343FB"/>
    <w:rsid w:val="666F4B45"/>
    <w:rsid w:val="68E34600"/>
    <w:rsid w:val="69BB47BC"/>
    <w:rsid w:val="6BD23454"/>
    <w:rsid w:val="6ECE4FF1"/>
    <w:rsid w:val="6EF92DD4"/>
    <w:rsid w:val="70577A23"/>
    <w:rsid w:val="71F851BD"/>
    <w:rsid w:val="72F22019"/>
    <w:rsid w:val="76500D4E"/>
    <w:rsid w:val="78161F04"/>
    <w:rsid w:val="784309DA"/>
    <w:rsid w:val="79DD2BBA"/>
    <w:rsid w:val="79E17F6D"/>
    <w:rsid w:val="79F75046"/>
    <w:rsid w:val="7A504F4E"/>
    <w:rsid w:val="7BBC553F"/>
    <w:rsid w:val="7C7A296A"/>
    <w:rsid w:val="7DB169AC"/>
    <w:rsid w:val="7E1D2C68"/>
    <w:rsid w:val="7E757FDB"/>
    <w:rsid w:val="7F9A07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35"/>
    <w:autoRedefine/>
    <w:qFormat/>
    <w:uiPriority w:val="0"/>
    <w:pPr>
      <w:keepNext/>
      <w:keepLines/>
      <w:numPr>
        <w:ilvl w:val="0"/>
        <w:numId w:val="1"/>
      </w:numPr>
      <w:outlineLvl w:val="0"/>
    </w:pPr>
    <w:rPr>
      <w:b/>
      <w:kern w:val="0"/>
      <w:szCs w:val="28"/>
    </w:rPr>
  </w:style>
  <w:style w:type="paragraph" w:styleId="3">
    <w:name w:val="heading 2"/>
    <w:basedOn w:val="1"/>
    <w:next w:val="1"/>
    <w:link w:val="36"/>
    <w:autoRedefine/>
    <w:qFormat/>
    <w:uiPriority w:val="0"/>
    <w:pPr>
      <w:keepNext/>
      <w:keepLines/>
      <w:numPr>
        <w:ilvl w:val="1"/>
        <w:numId w:val="1"/>
      </w:numPr>
      <w:outlineLvl w:val="1"/>
    </w:pPr>
    <w:rPr>
      <w:b/>
      <w:kern w:val="0"/>
      <w:sz w:val="24"/>
      <w:szCs w:val="28"/>
    </w:rPr>
  </w:style>
  <w:style w:type="paragraph" w:styleId="4">
    <w:name w:val="heading 3"/>
    <w:basedOn w:val="1"/>
    <w:next w:val="1"/>
    <w:link w:val="37"/>
    <w:qFormat/>
    <w:uiPriority w:val="0"/>
    <w:pPr>
      <w:keepNext/>
      <w:numPr>
        <w:ilvl w:val="2"/>
        <w:numId w:val="1"/>
      </w:numPr>
      <w:outlineLvl w:val="2"/>
    </w:pPr>
    <w:rPr>
      <w:kern w:val="0"/>
      <w:sz w:val="24"/>
      <w:szCs w:val="28"/>
    </w:rPr>
  </w:style>
  <w:style w:type="paragraph" w:styleId="5">
    <w:name w:val="heading 4"/>
    <w:basedOn w:val="1"/>
    <w:next w:val="1"/>
    <w:link w:val="38"/>
    <w:qFormat/>
    <w:uiPriority w:val="0"/>
    <w:pPr>
      <w:keepNext/>
      <w:numPr>
        <w:ilvl w:val="3"/>
        <w:numId w:val="1"/>
      </w:numPr>
      <w:outlineLvl w:val="3"/>
    </w:pPr>
    <w:rPr>
      <w:kern w:val="0"/>
      <w:sz w:val="24"/>
      <w:szCs w:val="28"/>
    </w:rPr>
  </w:style>
  <w:style w:type="paragraph" w:styleId="6">
    <w:name w:val="heading 5"/>
    <w:basedOn w:val="1"/>
    <w:next w:val="1"/>
    <w:link w:val="39"/>
    <w:qFormat/>
    <w:uiPriority w:val="0"/>
    <w:pPr>
      <w:numPr>
        <w:ilvl w:val="4"/>
        <w:numId w:val="1"/>
      </w:numPr>
      <w:outlineLvl w:val="4"/>
    </w:pPr>
  </w:style>
  <w:style w:type="paragraph" w:styleId="7">
    <w:name w:val="heading 6"/>
    <w:basedOn w:val="1"/>
    <w:next w:val="8"/>
    <w:link w:val="40"/>
    <w:autoRedefine/>
    <w:qFormat/>
    <w:uiPriority w:val="0"/>
    <w:pPr>
      <w:numPr>
        <w:ilvl w:val="5"/>
        <w:numId w:val="1"/>
      </w:numPr>
      <w:outlineLvl w:val="5"/>
    </w:pPr>
  </w:style>
  <w:style w:type="paragraph" w:styleId="9">
    <w:name w:val="heading 7"/>
    <w:basedOn w:val="1"/>
    <w:next w:val="1"/>
    <w:link w:val="41"/>
    <w:autoRedefine/>
    <w:qFormat/>
    <w:uiPriority w:val="0"/>
    <w:pPr>
      <w:numPr>
        <w:ilvl w:val="6"/>
        <w:numId w:val="1"/>
      </w:numPr>
      <w:outlineLvl w:val="6"/>
    </w:pPr>
  </w:style>
  <w:style w:type="paragraph" w:styleId="10">
    <w:name w:val="heading 8"/>
    <w:basedOn w:val="1"/>
    <w:next w:val="1"/>
    <w:link w:val="42"/>
    <w:autoRedefine/>
    <w:qFormat/>
    <w:uiPriority w:val="0"/>
    <w:pPr>
      <w:numPr>
        <w:ilvl w:val="7"/>
        <w:numId w:val="1"/>
      </w:numPr>
      <w:outlineLvl w:val="7"/>
    </w:pPr>
  </w:style>
  <w:style w:type="paragraph" w:styleId="11">
    <w:name w:val="heading 9"/>
    <w:basedOn w:val="1"/>
    <w:next w:val="1"/>
    <w:link w:val="43"/>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31">
    <w:name w:val="Default Paragraph Font"/>
    <w:autoRedefine/>
    <w:unhideWhenUsed/>
    <w:qFormat/>
    <w:uiPriority w:val="1"/>
  </w:style>
  <w:style w:type="table" w:default="1" w:styleId="29">
    <w:name w:val="Normal Table"/>
    <w:autoRedefine/>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99"/>
    <w:pPr>
      <w:ind w:firstLine="420" w:firstLineChars="200"/>
    </w:pPr>
  </w:style>
  <w:style w:type="paragraph" w:styleId="12">
    <w:name w:val="caption"/>
    <w:basedOn w:val="1"/>
    <w:next w:val="1"/>
    <w:autoRedefine/>
    <w:qFormat/>
    <w:uiPriority w:val="0"/>
    <w:pPr>
      <w:tabs>
        <w:tab w:val="left" w:pos="2268"/>
      </w:tabs>
      <w:ind w:left="851"/>
    </w:pPr>
    <w:rPr>
      <w:rFonts w:cs="Arial"/>
      <w:sz w:val="24"/>
    </w:rPr>
  </w:style>
  <w:style w:type="paragraph" w:styleId="13">
    <w:name w:val="index 5"/>
    <w:basedOn w:val="1"/>
    <w:next w:val="1"/>
    <w:autoRedefine/>
    <w:qFormat/>
    <w:uiPriority w:val="0"/>
    <w:pPr>
      <w:ind w:left="800" w:leftChars="800"/>
    </w:pPr>
  </w:style>
  <w:style w:type="paragraph" w:styleId="14">
    <w:name w:val="Document Map"/>
    <w:basedOn w:val="1"/>
    <w:link w:val="44"/>
    <w:autoRedefine/>
    <w:unhideWhenUsed/>
    <w:qFormat/>
    <w:uiPriority w:val="99"/>
    <w:rPr>
      <w:rFonts w:ascii="宋体"/>
      <w:sz w:val="18"/>
      <w:szCs w:val="18"/>
    </w:rPr>
  </w:style>
  <w:style w:type="paragraph" w:styleId="15">
    <w:name w:val="annotation text"/>
    <w:basedOn w:val="1"/>
    <w:autoRedefine/>
    <w:unhideWhenUsed/>
    <w:qFormat/>
    <w:uiPriority w:val="99"/>
    <w:pPr>
      <w:jc w:val="left"/>
    </w:pPr>
  </w:style>
  <w:style w:type="paragraph" w:styleId="16">
    <w:name w:val="Body Text"/>
    <w:basedOn w:val="1"/>
    <w:autoRedefine/>
    <w:qFormat/>
    <w:uiPriority w:val="0"/>
    <w:rPr>
      <w:rFonts w:eastAsia="华文中宋"/>
      <w:b/>
      <w:bCs/>
      <w:w w:val="90"/>
      <w:sz w:val="44"/>
      <w:szCs w:val="24"/>
    </w:rPr>
  </w:style>
  <w:style w:type="paragraph" w:styleId="17">
    <w:name w:val="Body Text Indent"/>
    <w:basedOn w:val="1"/>
    <w:link w:val="45"/>
    <w:qFormat/>
    <w:uiPriority w:val="0"/>
    <w:pPr>
      <w:ind w:firstLine="752" w:firstLineChars="235"/>
    </w:pPr>
  </w:style>
  <w:style w:type="paragraph" w:styleId="18">
    <w:name w:val="Plain Text"/>
    <w:basedOn w:val="1"/>
    <w:autoRedefine/>
    <w:qFormat/>
    <w:uiPriority w:val="0"/>
    <w:rPr>
      <w:rFonts w:ascii="宋体" w:hAnsi="Courier New"/>
      <w:szCs w:val="20"/>
    </w:rPr>
  </w:style>
  <w:style w:type="paragraph" w:styleId="19">
    <w:name w:val="Date"/>
    <w:basedOn w:val="1"/>
    <w:next w:val="1"/>
    <w:autoRedefine/>
    <w:qFormat/>
    <w:uiPriority w:val="0"/>
    <w:pPr>
      <w:ind w:left="100" w:leftChars="2500"/>
    </w:pPr>
  </w:style>
  <w:style w:type="paragraph" w:styleId="20">
    <w:name w:val="footer"/>
    <w:basedOn w:val="1"/>
    <w:link w:val="46"/>
    <w:autoRedefine/>
    <w:qFormat/>
    <w:uiPriority w:val="0"/>
    <w:pPr>
      <w:tabs>
        <w:tab w:val="center" w:pos="4153"/>
        <w:tab w:val="right" w:pos="8306"/>
      </w:tabs>
      <w:snapToGrid w:val="0"/>
      <w:jc w:val="left"/>
    </w:pPr>
    <w:rPr>
      <w:sz w:val="18"/>
    </w:rPr>
  </w:style>
  <w:style w:type="paragraph" w:styleId="21">
    <w:name w:val="header"/>
    <w:basedOn w:val="1"/>
    <w:link w:val="47"/>
    <w:autoRedefine/>
    <w:qFormat/>
    <w:uiPriority w:val="0"/>
    <w:pPr>
      <w:pBdr>
        <w:bottom w:val="single" w:color="auto" w:sz="6" w:space="1"/>
      </w:pBdr>
      <w:tabs>
        <w:tab w:val="center" w:pos="4153"/>
        <w:tab w:val="right" w:pos="8306"/>
      </w:tabs>
      <w:snapToGrid w:val="0"/>
      <w:jc w:val="center"/>
    </w:pPr>
    <w:rPr>
      <w:sz w:val="18"/>
    </w:rPr>
  </w:style>
  <w:style w:type="paragraph" w:styleId="22">
    <w:name w:val="index heading"/>
    <w:basedOn w:val="1"/>
    <w:next w:val="23"/>
    <w:autoRedefine/>
    <w:unhideWhenUsed/>
    <w:qFormat/>
    <w:uiPriority w:val="0"/>
    <w:pPr>
      <w:widowControl/>
      <w:jc w:val="left"/>
    </w:pPr>
    <w:rPr>
      <w:rFonts w:ascii="Cambria" w:hAnsi="Cambria"/>
      <w:b/>
      <w:bCs/>
      <w:sz w:val="25"/>
      <w:szCs w:val="25"/>
    </w:rPr>
  </w:style>
  <w:style w:type="paragraph" w:styleId="23">
    <w:name w:val="index 1"/>
    <w:basedOn w:val="1"/>
    <w:next w:val="1"/>
    <w:autoRedefine/>
    <w:qFormat/>
    <w:uiPriority w:val="0"/>
    <w:pPr>
      <w:spacing w:before="240" w:line="360" w:lineRule="auto"/>
      <w:ind w:firstLine="420" w:firstLineChars="200"/>
    </w:pPr>
    <w:rPr>
      <w:rFonts w:ascii="宋体" w:hAnsi="宋体" w:eastAsia="宋体"/>
    </w:rPr>
  </w:style>
  <w:style w:type="paragraph" w:styleId="24">
    <w:name w:val="footnote text"/>
    <w:basedOn w:val="1"/>
    <w:next w:val="13"/>
    <w:autoRedefine/>
    <w:unhideWhenUsed/>
    <w:qFormat/>
    <w:uiPriority w:val="99"/>
    <w:pPr>
      <w:snapToGrid w:val="0"/>
      <w:jc w:val="left"/>
    </w:pPr>
    <w:rPr>
      <w:rFonts w:ascii="Calibri" w:hAnsi="Calibri" w:eastAsia="仿宋" w:cs="Times New Roman"/>
      <w:sz w:val="18"/>
      <w:szCs w:val="18"/>
    </w:rPr>
  </w:style>
  <w:style w:type="paragraph" w:styleId="25">
    <w:name w:val="Body Text 2"/>
    <w:basedOn w:val="1"/>
    <w:unhideWhenUsed/>
    <w:qFormat/>
    <w:uiPriority w:val="99"/>
    <w:pPr>
      <w:spacing w:after="120" w:line="480" w:lineRule="auto"/>
    </w:pPr>
  </w:style>
  <w:style w:type="paragraph" w:styleId="26">
    <w:name w:val="Title"/>
    <w:basedOn w:val="1"/>
    <w:next w:val="1"/>
    <w:link w:val="48"/>
    <w:autoRedefine/>
    <w:qFormat/>
    <w:uiPriority w:val="0"/>
    <w:pPr>
      <w:spacing w:before="240" w:after="60"/>
      <w:jc w:val="center"/>
      <w:outlineLvl w:val="0"/>
    </w:pPr>
    <w:rPr>
      <w:sz w:val="18"/>
      <w:szCs w:val="18"/>
    </w:rPr>
  </w:style>
  <w:style w:type="paragraph" w:styleId="27">
    <w:name w:val="Body Text First Indent"/>
    <w:basedOn w:val="16"/>
    <w:autoRedefine/>
    <w:qFormat/>
    <w:uiPriority w:val="0"/>
    <w:pPr>
      <w:adjustRightInd w:val="0"/>
      <w:spacing w:line="360" w:lineRule="auto"/>
      <w:ind w:firstLine="454"/>
      <w:textAlignment w:val="baseline"/>
    </w:pPr>
    <w:rPr>
      <w:kern w:val="0"/>
      <w:sz w:val="24"/>
    </w:rPr>
  </w:style>
  <w:style w:type="paragraph" w:styleId="28">
    <w:name w:val="Body Text First Indent 2"/>
    <w:basedOn w:val="17"/>
    <w:next w:val="1"/>
    <w:autoRedefine/>
    <w:qFormat/>
    <w:uiPriority w:val="0"/>
    <w:pPr>
      <w:spacing w:line="360" w:lineRule="auto"/>
      <w:ind w:firstLine="420" w:firstLineChars="200"/>
    </w:pPr>
    <w:rPr>
      <w:sz w:val="24"/>
    </w:rPr>
  </w:style>
  <w:style w:type="table" w:styleId="30">
    <w:name w:val="Table Grid"/>
    <w:basedOn w:val="2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0"/>
    <w:rPr>
      <w:b/>
      <w:bCs/>
    </w:rPr>
  </w:style>
  <w:style w:type="character" w:styleId="33">
    <w:name w:val="page number"/>
    <w:basedOn w:val="31"/>
    <w:autoRedefine/>
    <w:qFormat/>
    <w:uiPriority w:val="0"/>
  </w:style>
  <w:style w:type="character" w:styleId="34">
    <w:name w:val="Emphasis"/>
    <w:qFormat/>
    <w:uiPriority w:val="0"/>
    <w:rPr>
      <w:i/>
      <w:iCs/>
    </w:rPr>
  </w:style>
  <w:style w:type="character" w:customStyle="1" w:styleId="35">
    <w:name w:val="标题 1 字符"/>
    <w:link w:val="2"/>
    <w:autoRedefine/>
    <w:qFormat/>
    <w:uiPriority w:val="0"/>
    <w:rPr>
      <w:b/>
      <w:sz w:val="28"/>
      <w:szCs w:val="28"/>
    </w:rPr>
  </w:style>
  <w:style w:type="character" w:customStyle="1" w:styleId="36">
    <w:name w:val="标题 2 字符"/>
    <w:link w:val="3"/>
    <w:autoRedefine/>
    <w:qFormat/>
    <w:uiPriority w:val="0"/>
    <w:rPr>
      <w:b/>
      <w:sz w:val="24"/>
      <w:szCs w:val="28"/>
    </w:rPr>
  </w:style>
  <w:style w:type="character" w:customStyle="1" w:styleId="37">
    <w:name w:val="标题 3 字符"/>
    <w:link w:val="4"/>
    <w:autoRedefine/>
    <w:qFormat/>
    <w:uiPriority w:val="0"/>
    <w:rPr>
      <w:sz w:val="24"/>
      <w:szCs w:val="28"/>
    </w:rPr>
  </w:style>
  <w:style w:type="character" w:customStyle="1" w:styleId="38">
    <w:name w:val="标题 4 字符"/>
    <w:link w:val="5"/>
    <w:qFormat/>
    <w:uiPriority w:val="0"/>
    <w:rPr>
      <w:sz w:val="24"/>
      <w:szCs w:val="28"/>
    </w:rPr>
  </w:style>
  <w:style w:type="character" w:customStyle="1" w:styleId="39">
    <w:name w:val="标题 5 字符"/>
    <w:link w:val="6"/>
    <w:autoRedefine/>
    <w:qFormat/>
    <w:uiPriority w:val="0"/>
    <w:rPr>
      <w:kern w:val="2"/>
      <w:sz w:val="28"/>
    </w:rPr>
  </w:style>
  <w:style w:type="character" w:customStyle="1" w:styleId="40">
    <w:name w:val="标题 6 字符"/>
    <w:link w:val="7"/>
    <w:autoRedefine/>
    <w:qFormat/>
    <w:uiPriority w:val="0"/>
    <w:rPr>
      <w:kern w:val="2"/>
      <w:sz w:val="28"/>
    </w:rPr>
  </w:style>
  <w:style w:type="character" w:customStyle="1" w:styleId="41">
    <w:name w:val="标题 7 字符"/>
    <w:link w:val="9"/>
    <w:autoRedefine/>
    <w:qFormat/>
    <w:uiPriority w:val="0"/>
    <w:rPr>
      <w:kern w:val="2"/>
      <w:sz w:val="28"/>
    </w:rPr>
  </w:style>
  <w:style w:type="character" w:customStyle="1" w:styleId="42">
    <w:name w:val="标题 8 字符"/>
    <w:link w:val="10"/>
    <w:qFormat/>
    <w:uiPriority w:val="0"/>
    <w:rPr>
      <w:kern w:val="2"/>
      <w:sz w:val="28"/>
    </w:rPr>
  </w:style>
  <w:style w:type="character" w:customStyle="1" w:styleId="43">
    <w:name w:val="标题 9 字符"/>
    <w:link w:val="11"/>
    <w:qFormat/>
    <w:uiPriority w:val="0"/>
    <w:rPr>
      <w:rFonts w:ascii="Arial" w:hAnsi="Arial" w:eastAsia="黑体"/>
      <w:kern w:val="2"/>
      <w:sz w:val="28"/>
    </w:rPr>
  </w:style>
  <w:style w:type="character" w:customStyle="1" w:styleId="44">
    <w:name w:val="文档结构图 字符"/>
    <w:link w:val="14"/>
    <w:autoRedefine/>
    <w:semiHidden/>
    <w:qFormat/>
    <w:uiPriority w:val="99"/>
    <w:rPr>
      <w:rFonts w:ascii="宋体"/>
      <w:kern w:val="2"/>
      <w:sz w:val="18"/>
      <w:szCs w:val="18"/>
    </w:rPr>
  </w:style>
  <w:style w:type="character" w:customStyle="1" w:styleId="45">
    <w:name w:val="正文文本缩进 字符"/>
    <w:link w:val="17"/>
    <w:qFormat/>
    <w:uiPriority w:val="0"/>
    <w:rPr>
      <w:kern w:val="2"/>
      <w:sz w:val="32"/>
      <w:szCs w:val="24"/>
    </w:rPr>
  </w:style>
  <w:style w:type="character" w:customStyle="1" w:styleId="46">
    <w:name w:val="页脚 字符"/>
    <w:link w:val="20"/>
    <w:autoRedefine/>
    <w:qFormat/>
    <w:uiPriority w:val="0"/>
    <w:rPr>
      <w:kern w:val="2"/>
      <w:sz w:val="18"/>
      <w:szCs w:val="24"/>
    </w:rPr>
  </w:style>
  <w:style w:type="character" w:customStyle="1" w:styleId="47">
    <w:name w:val="页眉 字符"/>
    <w:link w:val="21"/>
    <w:autoRedefine/>
    <w:qFormat/>
    <w:uiPriority w:val="0"/>
    <w:rPr>
      <w:kern w:val="2"/>
      <w:sz w:val="18"/>
      <w:szCs w:val="24"/>
    </w:rPr>
  </w:style>
  <w:style w:type="character" w:customStyle="1" w:styleId="48">
    <w:name w:val="标题 字符"/>
    <w:link w:val="26"/>
    <w:autoRedefine/>
    <w:qFormat/>
    <w:uiPriority w:val="0"/>
    <w:rPr>
      <w:rFonts w:eastAsia="宋体"/>
      <w:kern w:val="2"/>
      <w:sz w:val="18"/>
      <w:szCs w:val="18"/>
      <w:lang w:val="en-US" w:eastAsia="zh-CN" w:bidi="ar-SA"/>
    </w:rPr>
  </w:style>
  <w:style w:type="character" w:customStyle="1" w:styleId="49">
    <w:name w:val="无间隔 字符"/>
    <w:link w:val="50"/>
    <w:autoRedefine/>
    <w:qFormat/>
    <w:uiPriority w:val="0"/>
    <w:rPr>
      <w:rFonts w:ascii="Calibri" w:hAnsi="Calibri"/>
      <w:sz w:val="22"/>
      <w:szCs w:val="22"/>
      <w:lang w:val="en-US" w:eastAsia="zh-CN" w:bidi="ar-SA"/>
    </w:rPr>
  </w:style>
  <w:style w:type="paragraph" w:styleId="50">
    <w:name w:val="No Spacing"/>
    <w:link w:val="49"/>
    <w:autoRedefine/>
    <w:qFormat/>
    <w:uiPriority w:val="0"/>
    <w:rPr>
      <w:rFonts w:ascii="Calibri" w:hAnsi="Calibri" w:eastAsia="宋体" w:cs="Times New Roman"/>
      <w:sz w:val="22"/>
      <w:szCs w:val="22"/>
      <w:lang w:val="en-US" w:eastAsia="zh-CN" w:bidi="ar-SA"/>
    </w:rPr>
  </w:style>
  <w:style w:type="character" w:customStyle="1" w:styleId="51">
    <w:name w:val="标题 4 Char1"/>
    <w:autoRedefine/>
    <w:qFormat/>
    <w:uiPriority w:val="0"/>
    <w:rPr>
      <w:rFonts w:eastAsia="宋体"/>
      <w:sz w:val="24"/>
      <w:szCs w:val="28"/>
      <w:lang w:val="en-US" w:eastAsia="zh-CN" w:bidi="ar-SA"/>
    </w:rPr>
  </w:style>
  <w:style w:type="character" w:customStyle="1" w:styleId="52">
    <w:name w:val="NormalCharacter"/>
    <w:autoRedefine/>
    <w:semiHidden/>
    <w:qFormat/>
    <w:uiPriority w:val="0"/>
    <w:rPr>
      <w:kern w:val="2"/>
      <w:sz w:val="32"/>
      <w:szCs w:val="24"/>
      <w:lang w:val="en-US" w:eastAsia="zh-CN" w:bidi="ar-SA"/>
    </w:rPr>
  </w:style>
  <w:style w:type="character" w:customStyle="1" w:styleId="53">
    <w:name w:val="标题 1 Char1"/>
    <w:autoRedefine/>
    <w:qFormat/>
    <w:uiPriority w:val="0"/>
    <w:rPr>
      <w:rFonts w:eastAsia="宋体"/>
      <w:b/>
      <w:sz w:val="28"/>
      <w:szCs w:val="28"/>
      <w:lang w:val="en-US" w:eastAsia="zh-CN" w:bidi="ar-SA"/>
    </w:rPr>
  </w:style>
  <w:style w:type="character" w:customStyle="1" w:styleId="54">
    <w:name w:val="标题 3 Char1"/>
    <w:autoRedefine/>
    <w:qFormat/>
    <w:uiPriority w:val="0"/>
    <w:rPr>
      <w:rFonts w:eastAsia="宋体"/>
      <w:sz w:val="24"/>
      <w:szCs w:val="28"/>
      <w:lang w:val="en-US" w:eastAsia="zh-CN" w:bidi="ar-SA"/>
    </w:rPr>
  </w:style>
  <w:style w:type="character" w:customStyle="1" w:styleId="55">
    <w:name w:val="标题 2 Char1"/>
    <w:autoRedefine/>
    <w:qFormat/>
    <w:uiPriority w:val="0"/>
    <w:rPr>
      <w:rFonts w:eastAsia="宋体"/>
      <w:b/>
      <w:sz w:val="24"/>
      <w:szCs w:val="28"/>
      <w:lang w:val="en-US" w:eastAsia="zh-CN" w:bidi="ar-SA"/>
    </w:rPr>
  </w:style>
  <w:style w:type="paragraph" w:styleId="56">
    <w:name w:val="List Paragraph"/>
    <w:basedOn w:val="1"/>
    <w:autoRedefine/>
    <w:qFormat/>
    <w:uiPriority w:val="0"/>
    <w:pPr>
      <w:ind w:firstLine="420" w:firstLineChars="200"/>
    </w:pPr>
    <w:rPr>
      <w:sz w:val="21"/>
      <w:szCs w:val="24"/>
    </w:rPr>
  </w:style>
  <w:style w:type="paragraph" w:customStyle="1" w:styleId="57">
    <w:name w:val="样式1"/>
    <w:basedOn w:val="1"/>
    <w:autoRedefine/>
    <w:qFormat/>
    <w:uiPriority w:val="0"/>
    <w:pPr>
      <w:adjustRightInd w:val="0"/>
      <w:snapToGrid w:val="0"/>
      <w:spacing w:before="240" w:after="240" w:line="500" w:lineRule="exact"/>
    </w:pPr>
    <w:rPr>
      <w:bCs/>
      <w:sz w:val="30"/>
      <w:szCs w:val="20"/>
    </w:rPr>
  </w:style>
  <w:style w:type="paragraph" w:customStyle="1" w:styleId="58">
    <w:name w:val="p0"/>
    <w:basedOn w:val="1"/>
    <w:autoRedefine/>
    <w:qFormat/>
    <w:uiPriority w:val="0"/>
    <w:pPr>
      <w:widowControl/>
    </w:pPr>
    <w:rPr>
      <w:kern w:val="0"/>
      <w:sz w:val="21"/>
      <w:szCs w:val="21"/>
    </w:rPr>
  </w:style>
  <w:style w:type="paragraph" w:customStyle="1" w:styleId="59">
    <w:name w:val="Char"/>
    <w:basedOn w:val="1"/>
    <w:autoRedefine/>
    <w:qFormat/>
    <w:uiPriority w:val="0"/>
    <w:rPr>
      <w:rFonts w:cs="宋体"/>
      <w:sz w:val="28"/>
    </w:rPr>
  </w:style>
  <w:style w:type="paragraph" w:customStyle="1" w:styleId="60">
    <w:name w:val="_Style 58"/>
    <w:basedOn w:val="2"/>
    <w:next w:val="1"/>
    <w:autoRedefine/>
    <w:qFormat/>
    <w:uiPriority w:val="0"/>
    <w:pPr>
      <w:widowControl/>
      <w:numPr>
        <w:ilvl w:val="0"/>
        <w:numId w:val="0"/>
      </w:numPr>
      <w:spacing w:before="480" w:line="276" w:lineRule="auto"/>
      <w:jc w:val="left"/>
      <w:outlineLvl w:val="9"/>
    </w:pPr>
    <w:rPr>
      <w:rFonts w:ascii="Cambria" w:hAnsi="Cambria"/>
      <w:bCs/>
      <w:color w:val="365F9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btks.cn</Company>
  <Pages>6</Pages>
  <Words>2281</Words>
  <Characters>2424</Characters>
  <Lines>14</Lines>
  <Paragraphs>4</Paragraphs>
  <TotalTime>1375</TotalTime>
  <ScaleCrop>false</ScaleCrop>
  <LinksUpToDate>false</LinksUpToDate>
  <CharactersWithSpaces>2461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2013-11-12T08:11:00Z</dcterms:created>
  <dc:creator>陈超群</dc:creator>
  <cp:lastModifiedBy>刘彦辰</cp:lastModifiedBy>
  <cp:lastPrinted>2024-03-21T12:08:00Z</cp:lastPrinted>
  <dcterms:modified xsi:type="dcterms:W3CDTF">2024-04-02T10:19:43Z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1E5A0E142E0F46BE89E8BF20BEE14A40_13</vt:lpwstr>
  </property>
</Properties>
</file>