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10" w:leftChars="100"/>
        <w:rPr>
          <w:rFonts w:hint="eastAsia" w:ascii="仿宋_GB2312" w:hAnsi="仿宋_GB2312" w:eastAsia="仿宋_GB2312" w:cs="仿宋_GB2312"/>
          <w:color w:val="000000" w:themeColor="text1"/>
          <w:sz w:val="36"/>
          <w:szCs w:val="36"/>
          <w:lang w:val="en-US" w:eastAsia="zh-CN"/>
          <w14:textFill>
            <w14:solidFill>
              <w14:schemeClr w14:val="tx1"/>
            </w14:solidFill>
          </w14:textFill>
        </w:rPr>
      </w:pPr>
      <w:r>
        <w:rPr>
          <w:rFonts w:hint="eastAsia" w:ascii="仿宋_GB2312" w:hAnsi="仿宋_GB2312" w:eastAsia="仿宋_GB2312" w:cs="仿宋_GB2312"/>
          <w:color w:val="000000" w:themeColor="text1"/>
          <w:sz w:val="36"/>
          <w:szCs w:val="36"/>
          <w:lang w:val="en-US" w:eastAsia="zh-CN"/>
          <w14:textFill>
            <w14:solidFill>
              <w14:schemeClr w14:val="tx1"/>
            </w14:solidFill>
          </w14:textFill>
        </w:rPr>
        <w:t xml:space="preserve"> </w:t>
      </w: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adjustRightInd w:val="0"/>
        <w:snapToGrid w:val="0"/>
        <w:jc w:val="center"/>
        <w:outlineLvl w:val="0"/>
        <w:rPr>
          <w:rFonts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pPr>
        <w:adjustRightInd w:val="0"/>
        <w:snapToGrid w:val="0"/>
        <w:spacing w:line="288" w:lineRule="auto"/>
        <w:jc w:val="center"/>
        <w:rPr>
          <w:rFonts w:ascii="华文仿宋" w:hAnsi="华文仿宋" w:eastAsia="华文仿宋" w:cs="华文仿宋"/>
          <w:color w:val="000000" w:themeColor="text1"/>
          <w:kern w:val="44"/>
          <w:sz w:val="44"/>
          <w:szCs w:val="44"/>
          <w14:textFill>
            <w14:solidFill>
              <w14:schemeClr w14:val="tx1"/>
            </w14:solidFill>
          </w14:textFill>
        </w:rPr>
      </w:pPr>
    </w:p>
    <w:p>
      <w:pPr>
        <w:pStyle w:val="31"/>
        <w:ind w:left="42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31"/>
        <w:ind w:left="42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31"/>
        <w:ind w:left="42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31"/>
        <w:ind w:left="42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31"/>
        <w:ind w:left="420"/>
        <w:rPr>
          <w:color w:val="000000" w:themeColor="text1"/>
          <w14:textFill>
            <w14:solidFill>
              <w14:schemeClr w14:val="tx1"/>
            </w14:solidFill>
          </w14:textFill>
        </w:rPr>
      </w:pPr>
    </w:p>
    <w:p>
      <w:pPr>
        <w:pStyle w:val="31"/>
        <w:ind w:left="420"/>
        <w:rPr>
          <w:color w:val="000000" w:themeColor="text1"/>
          <w14:textFill>
            <w14:solidFill>
              <w14:schemeClr w14:val="tx1"/>
            </w14:solidFill>
          </w14:textFill>
        </w:rPr>
      </w:pPr>
    </w:p>
    <w:p>
      <w:pPr>
        <w:adjustRightInd w:val="0"/>
        <w:snapToGrid w:val="0"/>
        <w:ind w:left="1800" w:hanging="1800" w:hangingChars="500"/>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_GB2312" w:eastAsia="仿宋_GB2312"/>
          <w:color w:val="000000" w:themeColor="text1"/>
          <w:sz w:val="36"/>
          <w:szCs w:val="36"/>
          <w:u w:val="single"/>
          <w14:textFill>
            <w14:solidFill>
              <w14:schemeClr w14:val="tx1"/>
            </w14:solidFill>
          </w14:textFill>
        </w:rPr>
        <w:t>胡杨河常益</w:t>
      </w:r>
      <w:r>
        <w:rPr>
          <w:rFonts w:hint="default" w:ascii="Times New Roman" w:hAnsi="Times New Roman" w:eastAsia="仿宋_GB2312" w:cs="Times New Roman"/>
          <w:color w:val="000000" w:themeColor="text1"/>
          <w:sz w:val="36"/>
          <w:szCs w:val="36"/>
          <w:u w:val="single"/>
          <w14:textFill>
            <w14:solidFill>
              <w14:schemeClr w14:val="tx1"/>
            </w14:solidFill>
          </w14:textFill>
        </w:rPr>
        <w:t>恒轩建材有限公司年产180万米预应力混凝土管桩生产项目</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rPr>
          <w:rFonts w:hint="default" w:ascii="Times New Roman" w:hAnsi="Times New Roman" w:eastAsia="仿宋_GB2312" w:cs="Times New Roman"/>
          <w:color w:val="000000" w:themeColor="text1"/>
          <w:sz w:val="36"/>
          <w:szCs w:val="36"/>
          <w:u w:val="single"/>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建设单位（盖章）：</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胡杨河常益恒轩建材有限公司</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p>
    <w:p>
      <w:pPr>
        <w:adjustRightInd w:val="0"/>
        <w:snapToGrid w:val="0"/>
        <w:spacing w:line="288" w:lineRule="auto"/>
        <w:rPr>
          <w:rFonts w:ascii="仿宋_GB2312" w:eastAsia="仿宋_GB2312"/>
          <w:color w:val="000000" w:themeColor="text1"/>
          <w:sz w:val="36"/>
          <w:szCs w:val="36"/>
          <w:u w:val="single"/>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202</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4</w:t>
      </w:r>
      <w:r>
        <w:rPr>
          <w:rFonts w:hint="default" w:ascii="Times New Roman" w:hAnsi="Times New Roman" w:eastAsia="仿宋_GB2312" w:cs="Times New Roman"/>
          <w:color w:val="000000" w:themeColor="text1"/>
          <w:sz w:val="36"/>
          <w:szCs w:val="36"/>
          <w:u w:val="single"/>
          <w14:textFill>
            <w14:solidFill>
              <w14:schemeClr w14:val="tx1"/>
            </w14:solidFill>
          </w14:textFill>
        </w:rPr>
        <w:t>年</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3</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月         </w:t>
      </w:r>
      <w:r>
        <w:rPr>
          <w:rFonts w:hint="eastAsia" w:ascii="仿宋_GB2312"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bookmarkStart w:id="0" w:name="_Hlk57884087"/>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bookmarkEnd w:id="0"/>
    <w:p>
      <w:pPr>
        <w:adjustRightInd w:val="0"/>
        <w:snapToGrid w:val="0"/>
        <w:spacing w:line="288" w:lineRule="auto"/>
        <w:jc w:val="center"/>
        <w:rPr>
          <w:rFonts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sectPr>
          <w:footerReference r:id="rId3" w:type="even"/>
          <w:pgSz w:w="11906" w:h="16838"/>
          <w:pgMar w:top="1701" w:right="1531" w:bottom="1701" w:left="1531" w:header="851" w:footer="1077" w:gutter="0"/>
          <w:pgNumType w:start="3"/>
          <w:cols w:space="720" w:num="1"/>
          <w:docGrid w:linePitch="312" w:charSpace="0"/>
        </w:sectPr>
      </w:pPr>
    </w:p>
    <w:p>
      <w:pPr>
        <w:pStyle w:val="2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26"/>
        <w:gridCol w:w="1935"/>
        <w:gridCol w:w="92"/>
        <w:gridCol w:w="1871"/>
        <w:gridCol w:w="36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6" w:type="dxa"/>
            <w:tcMar>
              <w:top w:w="16" w:type="dxa"/>
              <w:left w:w="16" w:type="dxa"/>
              <w:right w:w="16" w:type="dxa"/>
            </w:tcMar>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建设项目名称</w:t>
            </w:r>
          </w:p>
        </w:tc>
        <w:tc>
          <w:tcPr>
            <w:tcW w:w="7544" w:type="dxa"/>
            <w:gridSpan w:val="4"/>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胡杨河常益恒轩建材有限公司年产180万米预应力混凝土管桩生产项目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项目代码</w:t>
            </w:r>
          </w:p>
        </w:tc>
        <w:tc>
          <w:tcPr>
            <w:tcW w:w="7544" w:type="dxa"/>
            <w:gridSpan w:val="4"/>
            <w:vAlign w:val="center"/>
          </w:tcPr>
          <w:p>
            <w:pPr>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2402-660791-04-01-235998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6" w:type="dxa"/>
            <w:tcMar>
              <w:top w:w="16" w:type="dxa"/>
              <w:left w:w="16" w:type="dxa"/>
              <w:right w:w="16" w:type="dxa"/>
            </w:tcMar>
            <w:vAlign w:val="center"/>
          </w:tcPr>
          <w:p>
            <w:pPr>
              <w:adjustRightInd w:val="0"/>
              <w:snapToGrid w:val="0"/>
              <w:jc w:val="center"/>
              <w:rPr>
                <w:rFonts w:cs="宋体"/>
                <w:color w:val="000000" w:themeColor="text1"/>
                <w:sz w:val="24"/>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建设单位联系人</w:t>
            </w:r>
          </w:p>
        </w:tc>
        <w:tc>
          <w:tcPr>
            <w:tcW w:w="1935" w:type="dxa"/>
            <w:vAlign w:val="center"/>
          </w:tcPr>
          <w:p>
            <w:pPr>
              <w:adjustRightInd w:val="0"/>
              <w:snapToGrid w:val="0"/>
              <w:jc w:val="center"/>
              <w:rPr>
                <w:rFonts w:hint="default" w:eastAsia="宋体" w:cs="宋体"/>
                <w:color w:val="000000" w:themeColor="text1"/>
                <w:sz w:val="24"/>
                <w:highlight w:val="none"/>
                <w:lang w:val="en-US" w:eastAsia="zh-CN"/>
                <w14:textFill>
                  <w14:solidFill>
                    <w14:schemeClr w14:val="tx1"/>
                  </w14:solidFill>
                </w14:textFill>
              </w:rPr>
            </w:pPr>
            <w:r>
              <w:rPr>
                <w:rFonts w:hint="eastAsia" w:cs="宋体"/>
                <w:color w:val="000000" w:themeColor="text1"/>
                <w:sz w:val="24"/>
                <w:highlight w:val="none"/>
                <w:lang w:val="en-US" w:eastAsia="zh-CN"/>
                <w14:textFill>
                  <w14:solidFill>
                    <w14:schemeClr w14:val="tx1"/>
                  </w14:solidFill>
                </w14:textFill>
              </w:rPr>
              <w:t>徐子力</w:t>
            </w:r>
          </w:p>
        </w:tc>
        <w:tc>
          <w:tcPr>
            <w:tcW w:w="1963" w:type="dxa"/>
            <w:gridSpan w:val="2"/>
            <w:vAlign w:val="center"/>
          </w:tcPr>
          <w:p>
            <w:pPr>
              <w:adjustRightInd w:val="0"/>
              <w:snapToGrid w:val="0"/>
              <w:jc w:val="center"/>
              <w:rPr>
                <w:color w:val="000000" w:themeColor="text1"/>
                <w:highlight w:val="none"/>
                <w14:textFill>
                  <w14:solidFill>
                    <w14:schemeClr w14:val="tx1"/>
                  </w14:solidFill>
                </w14:textFill>
              </w:rPr>
            </w:pPr>
            <w:r>
              <w:rPr>
                <w:rFonts w:hint="eastAsia" w:cs="宋体"/>
                <w:color w:val="000000" w:themeColor="text1"/>
                <w:sz w:val="24"/>
                <w:highlight w:val="none"/>
                <w14:textFill>
                  <w14:solidFill>
                    <w14:schemeClr w14:val="tx1"/>
                  </w14:solidFill>
                </w14:textFill>
              </w:rPr>
              <w:t>联系方式</w:t>
            </w:r>
          </w:p>
        </w:tc>
        <w:tc>
          <w:tcPr>
            <w:tcW w:w="3646" w:type="dxa"/>
            <w:vAlign w:val="center"/>
          </w:tcPr>
          <w:p>
            <w:pPr>
              <w:adjustRightInd w:val="0"/>
              <w:snapToGrid w:val="0"/>
              <w:jc w:val="center"/>
              <w:rPr>
                <w:rFonts w:hint="default" w:eastAsia="宋体" w:cs="宋体"/>
                <w:color w:val="000000" w:themeColor="text1"/>
                <w:sz w:val="24"/>
                <w:highlight w:val="yellow"/>
                <w:lang w:val="en-US" w:eastAsia="zh-CN"/>
                <w14:textFill>
                  <w14:solidFill>
                    <w14:schemeClr w14:val="tx1"/>
                  </w14:solidFill>
                </w14:textFill>
              </w:rPr>
            </w:pPr>
            <w:r>
              <w:rPr>
                <w:rFonts w:hint="eastAsia" w:cs="宋体"/>
                <w:color w:val="000000" w:themeColor="text1"/>
                <w:sz w:val="24"/>
                <w:highlight w:val="none"/>
                <w:lang w:val="en-US" w:eastAsia="zh-CN"/>
                <w14:textFill>
                  <w14:solidFill>
                    <w14:schemeClr w14:val="tx1"/>
                  </w14:solidFill>
                </w14:textFill>
              </w:rPr>
              <w:t>19983475856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6" w:type="dxa"/>
            <w:tcMar>
              <w:top w:w="16" w:type="dxa"/>
              <w:left w:w="16" w:type="dxa"/>
              <w:right w:w="16" w:type="dxa"/>
            </w:tcMar>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建设地点</w:t>
            </w:r>
          </w:p>
        </w:tc>
        <w:tc>
          <w:tcPr>
            <w:tcW w:w="7544" w:type="dxa"/>
            <w:gridSpan w:val="4"/>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s="宋体"/>
                <w:color w:val="000000" w:themeColor="text1"/>
                <w:sz w:val="24"/>
                <w:highlight w:val="none"/>
                <w:lang w:val="en-US" w:eastAsia="zh-CN"/>
                <w14:textFill>
                  <w14:solidFill>
                    <w14:schemeClr w14:val="tx1"/>
                  </w14:solidFill>
                </w14:textFill>
              </w:rPr>
              <w:t>胡杨河经</w:t>
            </w:r>
            <w:bookmarkStart w:id="12" w:name="_GoBack"/>
            <w:bookmarkEnd w:id="12"/>
            <w:r>
              <w:rPr>
                <w:rFonts w:hint="eastAsia" w:cs="宋体"/>
                <w:color w:val="000000" w:themeColor="text1"/>
                <w:sz w:val="24"/>
                <w:highlight w:val="none"/>
                <w:lang w:val="en-US" w:eastAsia="zh-CN"/>
                <w14:textFill>
                  <w14:solidFill>
                    <w14:schemeClr w14:val="tx1"/>
                  </w14:solidFill>
                </w14:textFill>
              </w:rPr>
              <w:t>济技术开发区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6" w:type="dxa"/>
            <w:tcMar>
              <w:top w:w="16" w:type="dxa"/>
              <w:left w:w="16" w:type="dxa"/>
              <w:right w:w="16" w:type="dxa"/>
            </w:tcMar>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地理坐标</w:t>
            </w:r>
          </w:p>
        </w:tc>
        <w:tc>
          <w:tcPr>
            <w:tcW w:w="7544" w:type="dxa"/>
            <w:gridSpan w:val="4"/>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N </w:t>
            </w:r>
            <w:r>
              <w:rPr>
                <w:rFonts w:hint="eastAsia"/>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43</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48.395</w:t>
            </w:r>
            <w:r>
              <w:rPr>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E </w:t>
            </w:r>
            <w:r>
              <w:rPr>
                <w:rFonts w:hint="eastAsia"/>
                <w:color w:val="000000" w:themeColor="text1"/>
                <w:sz w:val="24"/>
                <w14:textFill>
                  <w14:solidFill>
                    <w14:schemeClr w14:val="tx1"/>
                  </w14:solidFill>
                </w14:textFill>
              </w:rPr>
              <w:t>8</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56</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0.535</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26" w:type="dxa"/>
            <w:tcMar>
              <w:top w:w="16" w:type="dxa"/>
              <w:left w:w="16" w:type="dxa"/>
              <w:right w:w="16" w:type="dxa"/>
            </w:tcMar>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国民经济</w:t>
            </w:r>
          </w:p>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行业类别</w:t>
            </w:r>
          </w:p>
        </w:tc>
        <w:tc>
          <w:tcPr>
            <w:tcW w:w="2027" w:type="dxa"/>
            <w:gridSpan w:val="2"/>
            <w:vAlign w:val="center"/>
          </w:tcPr>
          <w:p>
            <w:pPr>
              <w:adjustRightInd w:val="0"/>
              <w:snapToGrid w:val="0"/>
              <w:jc w:val="left"/>
              <w:rPr>
                <w:color w:val="000000" w:themeColor="text1"/>
                <w:sz w:val="24"/>
                <w14:textFill>
                  <w14:solidFill>
                    <w14:schemeClr w14:val="tx1"/>
                  </w14:solidFill>
                </w14:textFill>
              </w:rPr>
            </w:pPr>
            <w:r>
              <w:rPr>
                <w:rFonts w:hint="eastAsia" w:cs="宋体"/>
                <w:color w:val="000000" w:themeColor="text1"/>
                <w:spacing w:val="-6"/>
                <w:sz w:val="24"/>
                <w14:textFill>
                  <w14:solidFill>
                    <w14:schemeClr w14:val="tx1"/>
                  </w14:solidFill>
                </w14:textFill>
              </w:rPr>
              <w:t>C302</w:t>
            </w:r>
            <w:r>
              <w:rPr>
                <w:rFonts w:hint="eastAsia" w:cs="宋体"/>
                <w:color w:val="000000" w:themeColor="text1"/>
                <w:spacing w:val="-6"/>
                <w:sz w:val="24"/>
                <w:lang w:val="en-US" w:eastAsia="zh-CN"/>
                <w14:textFill>
                  <w14:solidFill>
                    <w14:schemeClr w14:val="tx1"/>
                  </w14:solidFill>
                </w14:textFill>
              </w:rPr>
              <w:t>1</w:t>
            </w:r>
            <w:r>
              <w:rPr>
                <w:rFonts w:hint="eastAsia" w:cs="宋体"/>
                <w:color w:val="000000" w:themeColor="text1"/>
                <w:spacing w:val="-6"/>
                <w:sz w:val="24"/>
                <w14:textFill>
                  <w14:solidFill>
                    <w14:schemeClr w14:val="tx1"/>
                  </w14:solidFill>
                </w14:textFill>
              </w:rPr>
              <w:t xml:space="preserve"> </w:t>
            </w:r>
            <w:r>
              <w:rPr>
                <w:rFonts w:hint="eastAsia" w:cs="宋体"/>
                <w:color w:val="000000" w:themeColor="text1"/>
                <w:spacing w:val="-6"/>
                <w:sz w:val="24"/>
                <w:lang w:val="en-US" w:eastAsia="zh-CN"/>
                <w14:textFill>
                  <w14:solidFill>
                    <w14:schemeClr w14:val="tx1"/>
                  </w14:solidFill>
                </w14:textFill>
              </w:rPr>
              <w:t>水泥制品</w:t>
            </w:r>
            <w:r>
              <w:rPr>
                <w:rFonts w:hint="eastAsia" w:cs="宋体"/>
                <w:color w:val="000000" w:themeColor="text1"/>
                <w:spacing w:val="-6"/>
                <w:sz w:val="24"/>
                <w14:textFill>
                  <w14:solidFill>
                    <w14:schemeClr w14:val="tx1"/>
                  </w14:solidFill>
                </w14:textFill>
              </w:rPr>
              <w:t>制造</w:t>
            </w:r>
          </w:p>
        </w:tc>
        <w:tc>
          <w:tcPr>
            <w:tcW w:w="1871" w:type="dxa"/>
            <w:vAlign w:val="center"/>
          </w:tcPr>
          <w:p>
            <w:pPr>
              <w:adjustRightInd w:val="0"/>
              <w:snapToGrid w:val="0"/>
              <w:jc w:val="center"/>
              <w:rPr>
                <w:color w:val="000000" w:themeColor="text1"/>
                <w:sz w:val="24"/>
                <w14:textFill>
                  <w14:solidFill>
                    <w14:schemeClr w14:val="tx1"/>
                  </w14:solidFill>
                </w14:textFill>
              </w:rPr>
            </w:pPr>
            <w:bookmarkStart w:id="1" w:name="_Hlk49843745"/>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1"/>
          </w:p>
        </w:tc>
        <w:tc>
          <w:tcPr>
            <w:tcW w:w="3646" w:type="dxa"/>
            <w:vAlign w:val="center"/>
          </w:tcPr>
          <w:p>
            <w:pPr>
              <w:adjustRightInd w:val="0"/>
              <w:snapToGrid w:val="0"/>
              <w:jc w:val="left"/>
              <w:rPr>
                <w:rFonts w:hint="eastAsia" w:cs="宋体"/>
                <w:color w:val="000000" w:themeColor="text1"/>
                <w:kern w:val="0"/>
                <w:sz w:val="24"/>
                <w:lang w:val="en-US" w:eastAsia="zh-CN"/>
                <w14:textFill>
                  <w14:solidFill>
                    <w14:schemeClr w14:val="tx1"/>
                  </w14:solidFill>
                </w14:textFill>
              </w:rPr>
            </w:pPr>
            <w:r>
              <w:rPr>
                <w:rFonts w:hint="eastAsia" w:cs="宋体"/>
                <w:color w:val="000000" w:themeColor="text1"/>
                <w:kern w:val="0"/>
                <w:sz w:val="24"/>
                <w14:textFill>
                  <w14:solidFill>
                    <w14:schemeClr w14:val="tx1"/>
                  </w14:solidFill>
                </w14:textFill>
              </w:rPr>
              <w:t>二十七、非金属矿物制品业</w:t>
            </w:r>
            <w:r>
              <w:rPr>
                <w:rFonts w:hint="eastAsia" w:cs="宋体"/>
                <w:color w:val="000000" w:themeColor="text1"/>
                <w:kern w:val="0"/>
                <w:sz w:val="24"/>
                <w:lang w:val="en-US" w:eastAsia="zh-CN"/>
                <w14:textFill>
                  <w14:solidFill>
                    <w14:schemeClr w14:val="tx1"/>
                  </w14:solidFill>
                </w14:textFill>
              </w:rPr>
              <w:t>30</w:t>
            </w:r>
          </w:p>
          <w:p>
            <w:pPr>
              <w:adjustRightInd w:val="0"/>
              <w:snapToGrid w:val="0"/>
              <w:jc w:val="left"/>
              <w:rPr>
                <w:color w:val="000000" w:themeColor="text1"/>
                <w:sz w:val="24"/>
                <w14:textFill>
                  <w14:solidFill>
                    <w14:schemeClr w14:val="tx1"/>
                  </w14:solidFill>
                </w14:textFill>
              </w:rPr>
            </w:pPr>
            <w:r>
              <w:rPr>
                <w:rFonts w:hint="eastAsia" w:cs="宋体"/>
                <w:color w:val="000000" w:themeColor="text1"/>
                <w:kern w:val="0"/>
                <w:sz w:val="24"/>
                <w14:textFill>
                  <w14:solidFill>
                    <w14:schemeClr w14:val="tx1"/>
                  </w14:solidFill>
                </w14:textFill>
              </w:rPr>
              <w:t>55、石膏</w:t>
            </w:r>
            <w:r>
              <w:rPr>
                <w:rFonts w:hint="eastAsia" w:cs="宋体"/>
                <w:color w:val="000000" w:themeColor="text1"/>
                <w:kern w:val="0"/>
                <w:sz w:val="24"/>
                <w:lang w:eastAsia="zh-CN"/>
                <w14:textFill>
                  <w14:solidFill>
                    <w14:schemeClr w14:val="tx1"/>
                  </w14:solidFill>
                </w14:textFill>
              </w:rPr>
              <w:t>、</w:t>
            </w:r>
            <w:r>
              <w:rPr>
                <w:rFonts w:hint="eastAsia" w:cs="宋体"/>
                <w:color w:val="000000" w:themeColor="text1"/>
                <w:kern w:val="0"/>
                <w:sz w:val="24"/>
                <w:lang w:val="en-US" w:eastAsia="zh-CN"/>
                <w14:textFill>
                  <w14:solidFill>
                    <w14:schemeClr w14:val="tx1"/>
                  </w14:solidFill>
                </w14:textFill>
              </w:rPr>
              <w:t>水泥制品及类似制品</w:t>
            </w:r>
            <w:r>
              <w:rPr>
                <w:rFonts w:hint="eastAsia" w:cs="宋体"/>
                <w:color w:val="000000" w:themeColor="text1"/>
                <w:kern w:val="0"/>
                <w:sz w:val="24"/>
                <w14:textFill>
                  <w14:solidFill>
                    <w14:schemeClr w14:val="tx1"/>
                  </w14:solidFill>
                </w14:textFill>
              </w:rPr>
              <w:t>制造302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26" w:type="dxa"/>
            <w:tcMar>
              <w:top w:w="16" w:type="dxa"/>
              <w:left w:w="16" w:type="dxa"/>
              <w:right w:w="16" w:type="dxa"/>
            </w:tcMar>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lang w:eastAsia="zh-CN"/>
                <w14:textFill>
                  <w14:solidFill>
                    <w14:schemeClr w14:val="tx1"/>
                  </w14:solidFill>
                </w14:textFill>
              </w:rPr>
              <w:t>3</w:t>
            </w:r>
            <w:r>
              <w:rPr>
                <w:rFonts w:hint="eastAsia" w:cs="宋体"/>
                <w:color w:val="000000" w:themeColor="text1"/>
                <w:sz w:val="24"/>
                <w:lang w:val="en-US" w:eastAsia="zh-CN"/>
                <w14:textFill>
                  <w14:solidFill>
                    <w14:schemeClr w14:val="tx1"/>
                  </w14:solidFill>
                </w14:textFill>
              </w:rPr>
              <w:t>5</w:t>
            </w:r>
            <w:r>
              <w:rPr>
                <w:rFonts w:hint="eastAsia" w:cs="宋体"/>
                <w:color w:val="000000" w:themeColor="text1"/>
                <w:sz w:val="24"/>
                <w14:textFill>
                  <w14:solidFill>
                    <w14:schemeClr w14:val="tx1"/>
                  </w14:solidFill>
                </w14:textFill>
              </w:rPr>
              <w:t>建设性质</w:t>
            </w:r>
          </w:p>
        </w:tc>
        <w:tc>
          <w:tcPr>
            <w:tcW w:w="2027" w:type="dxa"/>
            <w:gridSpan w:val="2"/>
            <w:vAlign w:val="center"/>
          </w:tcPr>
          <w:p>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√新建（迁建）</w:t>
            </w:r>
          </w:p>
          <w:p>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□改建</w:t>
            </w:r>
          </w:p>
          <w:p>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□扩建</w:t>
            </w:r>
          </w:p>
          <w:p>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□技术改造</w:t>
            </w:r>
          </w:p>
        </w:tc>
        <w:tc>
          <w:tcPr>
            <w:tcW w:w="1871"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建设项目</w:t>
            </w:r>
          </w:p>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申报情形</w:t>
            </w:r>
          </w:p>
        </w:tc>
        <w:tc>
          <w:tcPr>
            <w:tcW w:w="3646" w:type="dxa"/>
            <w:vAlign w:val="center"/>
          </w:tcPr>
          <w:p>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√首次申报项目</w:t>
            </w:r>
            <w:r>
              <w:rPr>
                <w:rFonts w:cs="宋体"/>
                <w:color w:val="000000" w:themeColor="text1"/>
                <w:sz w:val="24"/>
                <w14:textFill>
                  <w14:solidFill>
                    <w14:schemeClr w14:val="tx1"/>
                  </w14:solidFill>
                </w14:textFill>
              </w:rPr>
              <w:t xml:space="preserve">             </w:t>
            </w:r>
          </w:p>
          <w:p>
            <w:pPr>
              <w:jc w:val="left"/>
              <w:rPr>
                <w:rFonts w:cs="宋体"/>
                <w:color w:val="000000" w:themeColor="text1"/>
                <w:spacing w:val="-6"/>
                <w:sz w:val="24"/>
                <w14:textFill>
                  <w14:solidFill>
                    <w14:schemeClr w14:val="tx1"/>
                  </w14:solidFill>
                </w14:textFill>
              </w:rPr>
            </w:pPr>
            <w:r>
              <w:rPr>
                <w:rFonts w:hint="eastAsia" w:cs="宋体"/>
                <w:color w:val="000000" w:themeColor="text1"/>
                <w:spacing w:val="-6"/>
                <w:sz w:val="24"/>
                <w14:textFill>
                  <w14:solidFill>
                    <w14:schemeClr w14:val="tx1"/>
                  </w14:solidFill>
                </w14:textFill>
              </w:rPr>
              <w:t>□不予批准后再次申报项目</w:t>
            </w:r>
          </w:p>
          <w:p>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sym w:font="Wingdings 2" w:char="00A3"/>
            </w:r>
            <w:r>
              <w:rPr>
                <w:rFonts w:hint="eastAsia" w:cs="宋体"/>
                <w:color w:val="000000" w:themeColor="text1"/>
                <w:sz w:val="24"/>
                <w14:textFill>
                  <w14:solidFill>
                    <w14:schemeClr w14:val="tx1"/>
                  </w14:solidFill>
                </w14:textFill>
              </w:rPr>
              <w:t>超五年重新审核项目</w:t>
            </w:r>
            <w:r>
              <w:rPr>
                <w:rFonts w:cs="宋体"/>
                <w:color w:val="000000" w:themeColor="text1"/>
                <w:sz w:val="24"/>
                <w14:textFill>
                  <w14:solidFill>
                    <w14:schemeClr w14:val="tx1"/>
                  </w14:solidFill>
                </w14:textFill>
              </w:rPr>
              <w:t xml:space="preserve">     </w:t>
            </w:r>
          </w:p>
          <w:p>
            <w:pPr>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26" w:type="dxa"/>
            <w:tcMar>
              <w:top w:w="16" w:type="dxa"/>
              <w:left w:w="16" w:type="dxa"/>
              <w:right w:w="16" w:type="dxa"/>
            </w:tcMar>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项目审批(核准</w:t>
            </w:r>
            <w:r>
              <w:rPr>
                <w:rFonts w:cs="宋体"/>
                <w:color w:val="000000" w:themeColor="text1"/>
                <w:sz w:val="24"/>
                <w14:textFill>
                  <w14:solidFill>
                    <w14:schemeClr w14:val="tx1"/>
                  </w14:solidFill>
                </w14:textFill>
              </w:rPr>
              <w:t>/</w:t>
            </w:r>
            <w:r>
              <w:rPr>
                <w:rFonts w:hint="eastAsia" w:cs="宋体"/>
                <w:color w:val="000000" w:themeColor="text1"/>
                <w:sz w:val="24"/>
                <w14:textFill>
                  <w14:solidFill>
                    <w14:schemeClr w14:val="tx1"/>
                  </w14:solidFill>
                </w14:textFill>
              </w:rPr>
              <w:t>备案)部门(选填)</w:t>
            </w:r>
          </w:p>
        </w:tc>
        <w:tc>
          <w:tcPr>
            <w:tcW w:w="2027" w:type="dxa"/>
            <w:gridSpan w:val="2"/>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胡杨河经济技术开发区经济发展局</w:t>
            </w:r>
          </w:p>
        </w:tc>
        <w:tc>
          <w:tcPr>
            <w:tcW w:w="1871"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项目审批（核准/备案）文号（选填）</w:t>
            </w:r>
          </w:p>
        </w:tc>
        <w:tc>
          <w:tcPr>
            <w:tcW w:w="3646" w:type="dxa"/>
            <w:vAlign w:val="center"/>
          </w:tcPr>
          <w:p>
            <w:pPr>
              <w:adjustRightInd w:val="0"/>
              <w:snapToGrid w:val="0"/>
              <w:jc w:val="both"/>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经发局备[2024]009号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6" w:type="dxa"/>
            <w:tcMar>
              <w:top w:w="16" w:type="dxa"/>
              <w:left w:w="16" w:type="dxa"/>
              <w:right w:w="16" w:type="dxa"/>
            </w:tcMar>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总投资（万元）</w:t>
            </w:r>
          </w:p>
        </w:tc>
        <w:tc>
          <w:tcPr>
            <w:tcW w:w="2027" w:type="dxa"/>
            <w:gridSpan w:val="2"/>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2900</w:t>
            </w:r>
          </w:p>
        </w:tc>
        <w:tc>
          <w:tcPr>
            <w:tcW w:w="1871"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3646"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6" w:type="dxa"/>
            <w:tcMar>
              <w:top w:w="16" w:type="dxa"/>
              <w:left w:w="16" w:type="dxa"/>
              <w:right w:w="16" w:type="dxa"/>
            </w:tcMar>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环保投资占比（</w:t>
            </w:r>
            <w:r>
              <w:rPr>
                <w:rFonts w:cs="宋体"/>
                <w:color w:val="000000" w:themeColor="text1"/>
                <w:sz w:val="24"/>
                <w14:textFill>
                  <w14:solidFill>
                    <w14:schemeClr w14:val="tx1"/>
                  </w14:solidFill>
                </w14:textFill>
              </w:rPr>
              <w:t>%</w:t>
            </w:r>
            <w:r>
              <w:rPr>
                <w:rFonts w:hint="eastAsia" w:cs="宋体"/>
                <w:color w:val="000000" w:themeColor="text1"/>
                <w:sz w:val="24"/>
                <w14:textFill>
                  <w14:solidFill>
                    <w14:schemeClr w14:val="tx1"/>
                  </w14:solidFill>
                </w14:textFill>
              </w:rPr>
              <w:t>）</w:t>
            </w:r>
          </w:p>
        </w:tc>
        <w:tc>
          <w:tcPr>
            <w:tcW w:w="2027" w:type="dxa"/>
            <w:gridSpan w:val="2"/>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5.21%</w:t>
            </w:r>
          </w:p>
        </w:tc>
        <w:tc>
          <w:tcPr>
            <w:tcW w:w="1871"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3646"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6" w:type="dxa"/>
            <w:tcMar>
              <w:top w:w="16" w:type="dxa"/>
              <w:left w:w="16" w:type="dxa"/>
              <w:right w:w="16" w:type="dxa"/>
            </w:tcMar>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是否开工建设</w:t>
            </w:r>
          </w:p>
        </w:tc>
        <w:tc>
          <w:tcPr>
            <w:tcW w:w="2027" w:type="dxa"/>
            <w:gridSpan w:val="2"/>
            <w:vAlign w:val="center"/>
          </w:tcPr>
          <w:p>
            <w:pPr>
              <w:adjustRightInd w:val="0"/>
              <w:snapToGrid w:val="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sym w:font="Wingdings 2" w:char="0052"/>
            </w:r>
            <w:r>
              <w:rPr>
                <w:rFonts w:hint="eastAsia" w:cs="宋体"/>
                <w:color w:val="000000" w:themeColor="text1"/>
                <w:sz w:val="24"/>
                <w14:textFill>
                  <w14:solidFill>
                    <w14:schemeClr w14:val="tx1"/>
                  </w14:solidFill>
                </w14:textFill>
              </w:rPr>
              <w:t>否</w:t>
            </w:r>
          </w:p>
          <w:p>
            <w:pPr>
              <w:adjustRightInd w:val="0"/>
              <w:snapToGrid w:val="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sym w:font="Wingdings 2" w:char="00A3"/>
            </w:r>
            <w:r>
              <w:rPr>
                <w:rFonts w:hint="eastAsia" w:cs="宋体"/>
                <w:color w:val="000000" w:themeColor="text1"/>
                <w:sz w:val="24"/>
                <w14:textFill>
                  <w14:solidFill>
                    <w14:schemeClr w14:val="tx1"/>
                  </w14:solidFill>
                </w14:textFill>
              </w:rPr>
              <w:t>是：</w:t>
            </w:r>
            <w:r>
              <w:rPr>
                <w:rFonts w:hint="eastAsia" w:cs="宋体"/>
                <w:color w:val="000000" w:themeColor="text1"/>
                <w:sz w:val="24"/>
                <w:u w:val="single"/>
                <w14:textFill>
                  <w14:solidFill>
                    <w14:schemeClr w14:val="tx1"/>
                  </w14:solidFill>
                </w14:textFill>
              </w:rPr>
              <w:t xml:space="preserve">     </w:t>
            </w:r>
          </w:p>
        </w:tc>
        <w:tc>
          <w:tcPr>
            <w:tcW w:w="1871" w:type="dxa"/>
            <w:tcMar>
              <w:top w:w="16" w:type="dxa"/>
              <w:left w:w="16" w:type="dxa"/>
              <w:right w:w="16" w:type="dxa"/>
            </w:tcMar>
            <w:vAlign w:val="center"/>
          </w:tcPr>
          <w:p>
            <w:pPr>
              <w:adjustRightInd w:val="0"/>
              <w:snapToGrid w:val="0"/>
              <w:jc w:val="center"/>
              <w:rPr>
                <w:rFonts w:cs="宋体"/>
                <w:color w:val="000000" w:themeColor="text1"/>
                <w:spacing w:val="-6"/>
                <w:sz w:val="24"/>
                <w14:textFill>
                  <w14:solidFill>
                    <w14:schemeClr w14:val="tx1"/>
                  </w14:solidFill>
                </w14:textFill>
              </w:rPr>
            </w:pPr>
            <w:r>
              <w:rPr>
                <w:rFonts w:hint="eastAsia" w:cs="宋体"/>
                <w:color w:val="000000" w:themeColor="text1"/>
                <w:spacing w:val="-6"/>
                <w:sz w:val="24"/>
                <w14:textFill>
                  <w14:solidFill>
                    <w14:schemeClr w14:val="tx1"/>
                  </w14:solidFill>
                </w14:textFill>
              </w:rPr>
              <w:t>用地（用海）</w:t>
            </w:r>
          </w:p>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pacing w:val="-6"/>
                <w:sz w:val="24"/>
                <w14:textFill>
                  <w14:solidFill>
                    <w14:schemeClr w14:val="tx1"/>
                  </w14:solidFill>
                </w14:textFill>
              </w:rPr>
              <w:t>面积（</w:t>
            </w:r>
            <w:r>
              <w:rPr>
                <w:rFonts w:cs="宋体"/>
                <w:color w:val="000000" w:themeColor="text1"/>
                <w:spacing w:val="-6"/>
                <w:sz w:val="24"/>
                <w14:textFill>
                  <w14:solidFill>
                    <w14:schemeClr w14:val="tx1"/>
                  </w14:solidFill>
                </w14:textFill>
              </w:rPr>
              <w:t>m</w:t>
            </w:r>
            <w:r>
              <w:rPr>
                <w:rFonts w:cs="宋体"/>
                <w:color w:val="000000" w:themeColor="text1"/>
                <w:spacing w:val="-6"/>
                <w:sz w:val="24"/>
                <w:vertAlign w:val="superscript"/>
                <w14:textFill>
                  <w14:solidFill>
                    <w14:schemeClr w14:val="tx1"/>
                  </w14:solidFill>
                </w14:textFill>
              </w:rPr>
              <w:t>2</w:t>
            </w:r>
            <w:r>
              <w:rPr>
                <w:rFonts w:hint="eastAsia" w:cs="宋体"/>
                <w:color w:val="000000" w:themeColor="text1"/>
                <w:spacing w:val="-6"/>
                <w:sz w:val="24"/>
                <w14:textFill>
                  <w14:solidFill>
                    <w14:schemeClr w14:val="tx1"/>
                  </w14:solidFill>
                </w14:textFill>
              </w:rPr>
              <w:t>）</w:t>
            </w:r>
          </w:p>
        </w:tc>
        <w:tc>
          <w:tcPr>
            <w:tcW w:w="3646" w:type="dxa"/>
            <w:vAlign w:val="center"/>
          </w:tcPr>
          <w:p>
            <w:pPr>
              <w:adjustRightInd w:val="0"/>
              <w:snapToGrid w:val="0"/>
              <w:jc w:val="center"/>
              <w:rPr>
                <w:rFonts w:hint="default" w:eastAsia="宋体" w:cs="宋体"/>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14000</w:t>
            </w:r>
            <w:r>
              <w:rPr>
                <w:rFonts w:hint="eastAsia" w:cs="宋体"/>
                <w:color w:val="000000" w:themeColor="text1"/>
                <w:sz w:val="24"/>
                <w:lang w:val="en-US" w:eastAsia="zh-CN"/>
                <w14:textFill>
                  <w14:solidFill>
                    <w14:schemeClr w14:val="tx1"/>
                  </w14:solidFill>
                </w14:textFill>
              </w:rPr>
              <w:t>m</w:t>
            </w:r>
            <w:r>
              <w:rPr>
                <w:rFonts w:hint="eastAsia" w:cs="宋体"/>
                <w:color w:val="000000" w:themeColor="text1"/>
                <w:sz w:val="24"/>
                <w:vertAlign w:val="superscript"/>
                <w:lang w:val="en-US" w:eastAsia="zh-CN"/>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326" w:type="dxa"/>
            <w:vAlign w:val="center"/>
          </w:tcPr>
          <w:p>
            <w:pPr>
              <w:autoSpaceDE w:val="0"/>
              <w:autoSpaceDN w:val="0"/>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专项评价设置情况</w:t>
            </w:r>
          </w:p>
        </w:tc>
        <w:tc>
          <w:tcPr>
            <w:tcW w:w="7544" w:type="dxa"/>
            <w:gridSpan w:val="4"/>
            <w:vAlign w:val="center"/>
          </w:tcPr>
          <w:p>
            <w:pPr>
              <w:autoSpaceDE w:val="0"/>
              <w:autoSpaceDN w:val="0"/>
              <w:adjustRightInd w:val="0"/>
              <w:snapToGrid w:val="0"/>
              <w:spacing w:line="360" w:lineRule="auto"/>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26" w:type="dxa"/>
            <w:vAlign w:val="center"/>
          </w:tcPr>
          <w:p>
            <w:pPr>
              <w:autoSpaceDE w:val="0"/>
              <w:autoSpaceDN w:val="0"/>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sz w:val="24"/>
                <w14:textFill>
                  <w14:solidFill>
                    <w14:schemeClr w14:val="tx1"/>
                  </w14:solidFill>
                </w14:textFill>
              </w:rPr>
              <w:t>规划情况</w:t>
            </w:r>
          </w:p>
        </w:tc>
        <w:tc>
          <w:tcPr>
            <w:tcW w:w="7544" w:type="dxa"/>
            <w:gridSpan w:val="4"/>
            <w:vAlign w:val="center"/>
          </w:tcPr>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2011年3月，五五工业园区经兵团发改委批准设立，确定为兵团级工业园区，批复园区总面积为28.8km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兵发改运行〔2011〕212号）。七师勘测设计研究院有限公司编制《农七师五五工业园区总体规划（2010-2025）》，其规划环评于2011年11月取得审查意见（兵环审〔2011〕250号）。2013年，兵团工信委批复同意对五五工业园区进行扩区，规划面积扩大至43.03k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兵工信规投〔2013〕89号），原五五工业园区管委会对园区总体规划进行第1次修编，委托编制完成了《新疆生产建设兵团第七师五五工业园区总体规划修编（2014-2030）》，并于2014年7月通过原兵团环境保护局审查（兵环审〔2014〕243号），于2015年5月取得原兵团建设局《关于兵团第七师五五工业园区总体规划修编的批复》（兵建规发〔2015〕34号）。</w:t>
            </w:r>
          </w:p>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2016年3月，原五五工业园区管委会对园区总体规划进行了局部调整，第七师勘测设计研究院（有限公司）编制完成了《第七师五五工业园区总体规划调整内容》，并取得原兵团建设局《关于局部调整五五工业园区总体规划的函》（兵建函〔2016〕3号）。原五五工业园区管委会对上版总体规划进行第2次修编，2016年12月，原兵团环境保护局出具了《新疆生产建设兵团第七师五五工业园区总体规划（修编）（2014—2030年）环境影响报告书的审查意见》（兵环审〔2016〕248号）。规划面积，仍然为43.03k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2018年9月，原五五工业园区管委会对园区总体规划进行第3次修编，在原五五工业园区的基础上新增加了北区（14.47km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委托第七师勘测设计研究院（有限公司）编制完成了《新疆生产建设兵团第七师五五工业园区总体规划（修编）（2018-2035）》，2018年11月，原兵团环保局出具了《新疆生产建设兵团第七师五五工业园区总体规划（修编）（2018-2035）环境影响报告书的审查意见》（兵环审〔2018〕161号）。至此，第七师五五工业园区规划总面积增加至57.50k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2021年，兵团级五五工业园区整合师市自设的胡杨河纺织工业园区组成胡杨河经济技术开发区，胡杨河经济技术开发区整合后面积为71.59km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，具体包括南园区53.82km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、北园区14.47km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、胡杨河纺织工业园区3.30km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326"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规划环境影响</w:t>
            </w:r>
          </w:p>
          <w:p>
            <w:pPr>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sz w:val="24"/>
                <w14:textFill>
                  <w14:solidFill>
                    <w14:schemeClr w14:val="tx1"/>
                  </w14:solidFill>
                </w14:textFill>
              </w:rPr>
              <w:t>评价情况</w:t>
            </w:r>
          </w:p>
        </w:tc>
        <w:tc>
          <w:tcPr>
            <w:tcW w:w="7544" w:type="dxa"/>
            <w:gridSpan w:val="4"/>
            <w:vAlign w:val="center"/>
          </w:tcPr>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规划环评名称：《胡杨河经济技术开发区总体规划（2021-2035）环境影响报告书》</w:t>
            </w:r>
          </w:p>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规划环评审批机关：新疆生产建设兵团生态环境局</w:t>
            </w:r>
          </w:p>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规划环评审批文件名称及文号：《关于胡杨河经济技术开发区总体规划（2021-2035）环境影响报告书的审查意见》（兵环审〔2022〕2号）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26" w:type="dxa"/>
            <w:vAlign w:val="center"/>
          </w:tcPr>
          <w:p>
            <w:pPr>
              <w:autoSpaceDE w:val="0"/>
              <w:autoSpaceDN w:val="0"/>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规划及规划环境影响评价符合性分析</w:t>
            </w:r>
          </w:p>
        </w:tc>
        <w:tc>
          <w:tcPr>
            <w:tcW w:w="7544" w:type="dxa"/>
            <w:gridSpan w:val="4"/>
            <w:vAlign w:val="center"/>
          </w:tcPr>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（1）与</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胡杨河经济技术开发区总体规划（2021-2035）</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相符性</w:t>
            </w:r>
          </w:p>
          <w:p>
            <w:pPr>
              <w:pStyle w:val="6"/>
              <w:numPr>
                <w:ilvl w:val="0"/>
                <w:numId w:val="0"/>
              </w:numPr>
              <w:spacing w:line="360" w:lineRule="auto"/>
              <w:ind w:firstLine="480" w:firstLineChars="200"/>
              <w:rPr>
                <w:rFonts w:hint="eastAsia"/>
                <w:color w:val="000000" w:themeColor="text1"/>
                <w:sz w:val="24"/>
                <w:szCs w:val="24"/>
                <w:lang w:val="en-US" w:eastAsia="zh-CN"/>
                <w14:textFill>
                  <w14:solidFill>
                    <w14:schemeClr w14:val="tx1"/>
                  </w14:solidFill>
                </w14:textFill>
              </w:rPr>
            </w:pPr>
            <w:r>
              <w:rPr>
                <w:rFonts w:hint="default" w:ascii="Times New Roman" w:hAnsi="Times New Roman" w:cs="Times New Roman"/>
                <w:kern w:val="0"/>
                <w:sz w:val="24"/>
                <w:szCs w:val="24"/>
                <w:lang w:val="en-US" w:eastAsia="zh-CN"/>
              </w:rPr>
              <w:t>胡杨河经济技术开发区</w:t>
            </w:r>
            <w:r>
              <w:rPr>
                <w:rFonts w:hint="default" w:ascii="Times New Roman" w:hAnsi="Times New Roman" w:cs="Times New Roman"/>
                <w:kern w:val="0"/>
                <w:sz w:val="24"/>
                <w:szCs w:val="24"/>
                <w:lang w:eastAsia="zh-CN"/>
              </w:rPr>
              <w:t>园区形成“一区三园”构架。其中，南园区位于129团五五新镇东南侧与胡杨河市东北侧，规划范围北至奎克高速立交(奎车公路、奎克高速公路交汇处)，南至130团20连耕地，东邻130团公益林，西到奎北铁路，规划面积53.82平方公里。规划产业定位以精细化工、新材料为主导产业，新型建材、仓储物流业为辅助产业，装备制造业、创新科技产业、农产品加工、电子元器件产业作为淮安援疆产城融合发展产业。</w:t>
            </w:r>
            <w:r>
              <w:rPr>
                <w:rFonts w:hint="default" w:ascii="Times New Roman" w:hAnsi="Times New Roman" w:cs="Times New Roman"/>
                <w:kern w:val="0"/>
                <w:sz w:val="24"/>
                <w:szCs w:val="24"/>
              </w:rPr>
              <w:t>南园区发展规划</w:t>
            </w:r>
            <w:r>
              <w:rPr>
                <w:rFonts w:hint="default" w:ascii="Times New Roman" w:hAnsi="Times New Roman" w:cs="Times New Roman"/>
                <w:kern w:val="0"/>
                <w:sz w:val="24"/>
                <w:szCs w:val="24"/>
                <w:lang w:val="en-US" w:eastAsia="zh-CN"/>
              </w:rPr>
              <w:t>为：</w:t>
            </w:r>
            <w:r>
              <w:rPr>
                <w:rFonts w:hint="default" w:ascii="Times New Roman" w:hAnsi="Times New Roman" w:cs="Times New Roman"/>
                <w:kern w:val="0"/>
                <w:sz w:val="24"/>
                <w:szCs w:val="24"/>
              </w:rPr>
              <w:t>抓住国家进一步加大对新疆兵团支持的历史性机遇，以承接中西部产业转移为契机，立足七师农业资源充足、周边地区矿产资源丰富、地处向</w:t>
            </w:r>
            <w:r>
              <w:rPr>
                <w:rFonts w:ascii="Arial" w:hAnsi="Arial" w:cs="Arial"/>
                <w:kern w:val="0"/>
                <w:sz w:val="24"/>
                <w:szCs w:val="24"/>
              </w:rPr>
              <w:t>西开放前沿三大优势，以发展高附加值、高就业率、高效益的工业园区为目标，围绕做大做强“三化两新”（新型煤化工、盐化工、石油化工、新材料、新型建材）及装备制造产业，创新科技产业作为园区高新科技发展区，城镇服务业与仓储物流业作为生产配套产业，合理引导五五工业园区向“专、精、特、新”的方向发展，实现工业化与城镇化并举，全面推进园区建设。</w:t>
            </w:r>
          </w:p>
          <w:p>
            <w:pPr>
              <w:adjustRightInd w:val="0"/>
              <w:snapToGrid w:val="0"/>
              <w:spacing w:line="360" w:lineRule="auto"/>
              <w:ind w:firstLine="480" w:firstLineChars="200"/>
              <w:rPr>
                <w:rFonts w:hint="default" w:ascii="Arial" w:hAnsi="Arial" w:eastAsia="Noto Sans CJK JP Medium" w:cs="Arial"/>
                <w:kern w:val="0"/>
                <w:sz w:val="28"/>
                <w:szCs w:val="28"/>
                <w:lang w:val="en-US" w:eastAsia="zh-CN" w:bidi="ar-SA"/>
              </w:rPr>
            </w:pPr>
            <w:r>
              <w:rPr>
                <w:rFonts w:hint="eastAsia" w:ascii="Arial" w:hAnsi="Arial" w:eastAsia="Noto Sans CJK JP Medium" w:cs="Arial"/>
                <w:kern w:val="0"/>
                <w:sz w:val="24"/>
                <w:szCs w:val="24"/>
                <w:lang w:val="en-US" w:eastAsia="zh-CN" w:bidi="ar-SA"/>
              </w:rPr>
              <w:t>本项目产品为预应力混凝土管桩，属于新型建材产业，基于建设管桩和光伏支架为基础，服务于周边光伏发电行业，项目建设符合园区发展定位，环境相容，拟建项目位于胡杨河经济技术开发区南园区内，项用地属于二类工业用地，符合项目所属行业用地要求和园区产业及用地布局。项目在南区产业功能布局图和南区土地利用规划图中的位置见附图。</w:t>
            </w:r>
          </w:p>
          <w:p>
            <w:pPr>
              <w:numPr>
                <w:ilvl w:val="0"/>
                <w:numId w:val="2"/>
              </w:num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与规划环评的相符性</w:t>
            </w:r>
          </w:p>
          <w:p>
            <w:pPr>
              <w:numPr>
                <w:ilvl w:val="0"/>
                <w:numId w:val="0"/>
              </w:numPr>
              <w:adjustRightInd w:val="0"/>
              <w:snapToGrid w:val="0"/>
              <w:spacing w:line="360" w:lineRule="auto"/>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项目建设符合规划环评及其审查意见的要求，具体分析见表</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360" w:lineRule="auto"/>
              <w:ind w:firstLine="0" w:firstLineChars="0"/>
              <w:jc w:val="center"/>
              <w:textAlignment w:val="auto"/>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表1-1  </w:t>
            </w:r>
            <w:r>
              <w:rPr>
                <w:rFonts w:hint="eastAsia" w:ascii="Times New Roman" w:hAnsi="Times New Roman" w:cs="Times New Roman"/>
                <w:b/>
                <w:bCs/>
                <w:color w:val="000000" w:themeColor="text1"/>
                <w:sz w:val="21"/>
                <w:szCs w:val="21"/>
                <w14:textFill>
                  <w14:solidFill>
                    <w14:schemeClr w14:val="tx1"/>
                  </w14:solidFill>
                </w14:textFill>
              </w:rPr>
              <w:t>项目与园区规划环评结论及审查意见符合性分析</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8"/>
              <w:gridCol w:w="2155"/>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48" w:type="pct"/>
                  <w:tcMar>
                    <w:top w:w="0" w:type="dxa"/>
                    <w:left w:w="0" w:type="dxa"/>
                    <w:bottom w:w="0" w:type="dxa"/>
                    <w:right w:w="0" w:type="dxa"/>
                  </w:tcMar>
                  <w:vAlign w:val="center"/>
                </w:tcPr>
                <w:p>
                  <w:pPr>
                    <w:pStyle w:val="109"/>
                    <w:adjustRightInd w:val="0"/>
                    <w:snapToGrid w:val="0"/>
                    <w:spacing w:line="240" w:lineRule="auto"/>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规划环评要求</w:t>
                  </w:r>
                </w:p>
              </w:tc>
              <w:tc>
                <w:tcPr>
                  <w:tcW w:w="1472" w:type="pct"/>
                  <w:tcMar>
                    <w:top w:w="0" w:type="dxa"/>
                    <w:left w:w="0" w:type="dxa"/>
                    <w:bottom w:w="0" w:type="dxa"/>
                    <w:right w:w="0" w:type="dxa"/>
                  </w:tcMar>
                  <w:vAlign w:val="center"/>
                </w:tcPr>
                <w:p>
                  <w:pPr>
                    <w:pStyle w:val="109"/>
                    <w:adjustRightInd w:val="0"/>
                    <w:snapToGrid w:val="0"/>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本项目采取措施</w:t>
                  </w:r>
                </w:p>
              </w:tc>
              <w:tc>
                <w:tcPr>
                  <w:tcW w:w="379" w:type="pct"/>
                  <w:tcMar>
                    <w:top w:w="0" w:type="dxa"/>
                    <w:left w:w="0" w:type="dxa"/>
                    <w:bottom w:w="0" w:type="dxa"/>
                    <w:right w:w="0" w:type="dxa"/>
                  </w:tcMar>
                  <w:vAlign w:val="center"/>
                </w:tcPr>
                <w:p>
                  <w:pPr>
                    <w:pStyle w:val="109"/>
                    <w:adjustRightInd w:val="0"/>
                    <w:snapToGrid w:val="0"/>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48" w:type="pct"/>
                  <w:tcMar>
                    <w:top w:w="0" w:type="dxa"/>
                    <w:left w:w="0" w:type="dxa"/>
                    <w:bottom w:w="0" w:type="dxa"/>
                    <w:right w:w="0" w:type="dxa"/>
                  </w:tcMar>
                  <w:vAlign w:val="center"/>
                </w:tcPr>
                <w:p>
                  <w:pPr>
                    <w:pStyle w:val="23"/>
                    <w:spacing w:after="0"/>
                    <w:ind w:left="0" w:leftChars="0" w:firstLine="0" w:firstLineChars="0"/>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spacing w:val="-4"/>
                      <w:sz w:val="21"/>
                      <w:szCs w:val="21"/>
                    </w:rPr>
                    <w:t>兵团以上产业园区（化工园区）所在控制单元，结合产业园区（化工园区）已有规划环评、所在地区环境准入要求，提出具体的管控要求。对于水质需改善的单元，采取综合性的治理措施，强化区域污染物排放总量控制，对区域内污染较重的企业限期整改，确保达到相应的水污染物排放标准。积极推进生态园区建设和循环化改造，完善省级以上工业集聚区污水集中处理设施，加强配套管网建设，并确保稳定运行，建成园区环境综合监管平台。实施清洁化改造，新建、改建、扩建上述行业建设项目实行主要污染物排放等量或减量置换。大幅削减污染物排放量，保障河道生态基流，确保水体和重点支流水环境质量明显改善，全面消除黑臭水体。对于环境风险较大的重点控制单元，按照“预防为主、防治结合”的原则，加大环境监管力度，着力降低资源能源产业开发的环境风险。加强环境风险隐患排查，提高风险防范水平，确保不发生重大环境突发事件。</w:t>
                  </w:r>
                </w:p>
              </w:tc>
              <w:tc>
                <w:tcPr>
                  <w:tcW w:w="1472" w:type="pct"/>
                  <w:tcMar>
                    <w:top w:w="0" w:type="dxa"/>
                    <w:left w:w="0" w:type="dxa"/>
                    <w:bottom w:w="0" w:type="dxa"/>
                    <w:right w:w="0" w:type="dxa"/>
                  </w:tcMar>
                  <w:vAlign w:val="center"/>
                </w:tcPr>
                <w:p>
                  <w:pPr>
                    <w:pStyle w:val="109"/>
                    <w:adjustRightInd w:val="0"/>
                    <w:snapToGrid w:val="0"/>
                    <w:spacing w:line="300" w:lineRule="exact"/>
                    <w:jc w:val="both"/>
                    <w:rPr>
                      <w:rFonts w:hint="eastAsia"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项目</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生产</w:t>
                  </w:r>
                  <w:r>
                    <w:rPr>
                      <w:rFonts w:hint="default" w:ascii="Times New Roman" w:hAnsi="Times New Roman" w:eastAsia="宋体" w:cs="Times New Roman"/>
                      <w:color w:val="000000" w:themeColor="text1"/>
                      <w:sz w:val="21"/>
                      <w:szCs w:val="21"/>
                      <w:lang w:bidi="ar"/>
                      <w14:textFill>
                        <w14:solidFill>
                          <w14:schemeClr w14:val="tx1"/>
                        </w14:solidFill>
                      </w14:textFill>
                    </w:rPr>
                    <w:t>废水循环利用，生活污水经污水管网排至园区污水处理厂处理</w:t>
                  </w:r>
                  <w:r>
                    <w:rPr>
                      <w:rFonts w:hint="eastAsia" w:ascii="Times New Roman" w:hAnsi="Times New Roman" w:eastAsia="宋体" w:cs="Times New Roman"/>
                      <w:color w:val="000000" w:themeColor="text1"/>
                      <w:sz w:val="21"/>
                      <w:szCs w:val="21"/>
                      <w:lang w:eastAsia="zh-CN" w:bidi="ar"/>
                      <w14:textFill>
                        <w14:solidFill>
                          <w14:schemeClr w14:val="tx1"/>
                        </w14:solidFill>
                      </w14:textFill>
                    </w:rPr>
                    <w:t>。</w:t>
                  </w:r>
                </w:p>
              </w:tc>
              <w:tc>
                <w:tcPr>
                  <w:tcW w:w="379" w:type="pct"/>
                  <w:tcMar>
                    <w:top w:w="0" w:type="dxa"/>
                    <w:left w:w="0" w:type="dxa"/>
                    <w:bottom w:w="0" w:type="dxa"/>
                    <w:right w:w="0" w:type="dxa"/>
                  </w:tcMar>
                  <w:vAlign w:val="center"/>
                </w:tcPr>
                <w:p>
                  <w:pPr>
                    <w:pStyle w:val="109"/>
                    <w:adjustRightInd w:val="0"/>
                    <w:snapToGrid w:val="0"/>
                    <w:spacing w:line="300" w:lineRule="exact"/>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48" w:type="pct"/>
                  <w:tcMar>
                    <w:top w:w="0" w:type="dxa"/>
                    <w:left w:w="0" w:type="dxa"/>
                    <w:bottom w:w="0" w:type="dxa"/>
                    <w:right w:w="0" w:type="dxa"/>
                  </w:tcMar>
                  <w:vAlign w:val="center"/>
                </w:tcPr>
                <w:p>
                  <w:pPr>
                    <w:pStyle w:val="23"/>
                    <w:spacing w:after="0"/>
                    <w:ind w:left="0" w:leftChars="0" w:firstLine="0" w:firstLineChars="0"/>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贯彻实施区域性大气污染物综合排放标准，深化重点行业污染治理，强力推进国家和省确定的各项产业结构调整措施，加强机动车排气污染治理。对现有涉废气排放工业、企业加强监督管理和执法检查，定期开展清洁生产审核，推动现有各类产业园区、重点企业生态化、循环化改造。新建、改建、扩建项目，满足产业准入、总量控制、排放标准等管理制度要求的前提下，实行工业项目进园、集约高效发展。</w:t>
                  </w:r>
                </w:p>
              </w:tc>
              <w:tc>
                <w:tcPr>
                  <w:tcW w:w="1472" w:type="pct"/>
                  <w:tcMar>
                    <w:top w:w="0" w:type="dxa"/>
                    <w:left w:w="0" w:type="dxa"/>
                    <w:bottom w:w="0" w:type="dxa"/>
                    <w:right w:w="0" w:type="dxa"/>
                  </w:tcMar>
                  <w:vAlign w:val="center"/>
                </w:tcPr>
                <w:p>
                  <w:pPr>
                    <w:pStyle w:val="109"/>
                    <w:adjustRightInd w:val="0"/>
                    <w:snapToGrid w:val="0"/>
                    <w:spacing w:line="300" w:lineRule="exact"/>
                    <w:rPr>
                      <w:rFonts w:hint="eastAsia" w:ascii="Times New Roman" w:hAnsi="Times New Roman" w:eastAsia="宋体" w:cs="Times New Roman"/>
                      <w:color w:val="000000" w:themeColor="text1"/>
                      <w:sz w:val="21"/>
                      <w:szCs w:val="21"/>
                      <w:lang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原料堆放区采用篷布遮盖、洒水、密闭厂房，筒仓粉尘经脉冲除尘器处理后无组织排放，搅拌、混料粉尘经布袋除尘器处理后无组织排放，编笼焊接烟气经移动式焊烟净化器处理后无组织排放</w:t>
                  </w:r>
                  <w:r>
                    <w:rPr>
                      <w:rFonts w:hint="default" w:ascii="Times New Roman" w:hAnsi="Times New Roman" w:eastAsia="宋体" w:cs="Times New Roman"/>
                      <w:color w:val="000000" w:themeColor="text1"/>
                      <w:sz w:val="21"/>
                      <w:szCs w:val="21"/>
                      <w:lang w:bidi="ar"/>
                      <w14:textFill>
                        <w14:solidFill>
                          <w14:schemeClr w14:val="tx1"/>
                        </w14:solidFill>
                      </w14:textFill>
                    </w:rPr>
                    <w:t>，本项目产生的颗粒物、二氧化硫、</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氮氧化物</w:t>
                  </w:r>
                  <w:r>
                    <w:rPr>
                      <w:rFonts w:hint="default" w:ascii="Times New Roman" w:hAnsi="Times New Roman" w:eastAsia="宋体" w:cs="Times New Roman"/>
                      <w:color w:val="000000" w:themeColor="text1"/>
                      <w:sz w:val="21"/>
                      <w:szCs w:val="21"/>
                      <w:lang w:bidi="ar"/>
                      <w14:textFill>
                        <w14:solidFill>
                          <w14:schemeClr w14:val="tx1"/>
                        </w14:solidFill>
                      </w14:textFill>
                    </w:rPr>
                    <w:t>均采取了相应的污染防治</w:t>
                  </w: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措施</w:t>
                  </w:r>
                  <w:r>
                    <w:rPr>
                      <w:rFonts w:hint="default" w:ascii="Times New Roman" w:hAnsi="Times New Roman" w:eastAsia="宋体" w:cs="Times New Roman"/>
                      <w:color w:val="000000" w:themeColor="text1"/>
                      <w:sz w:val="21"/>
                      <w:szCs w:val="21"/>
                      <w:lang w:bidi="ar"/>
                      <w14:textFill>
                        <w14:solidFill>
                          <w14:schemeClr w14:val="tx1"/>
                        </w14:solidFill>
                      </w14:textFill>
                    </w:rPr>
                    <w:t>，产生的各类废气均可实现达标排放</w:t>
                  </w:r>
                </w:p>
              </w:tc>
              <w:tc>
                <w:tcPr>
                  <w:tcW w:w="379" w:type="pct"/>
                  <w:tcMar>
                    <w:top w:w="0" w:type="dxa"/>
                    <w:left w:w="0" w:type="dxa"/>
                    <w:bottom w:w="0" w:type="dxa"/>
                    <w:right w:w="0" w:type="dxa"/>
                  </w:tcMar>
                  <w:vAlign w:val="center"/>
                </w:tcPr>
                <w:p>
                  <w:pPr>
                    <w:pStyle w:val="109"/>
                    <w:adjustRightInd w:val="0"/>
                    <w:snapToGrid w:val="0"/>
                    <w:spacing w:line="300" w:lineRule="exact"/>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48" w:type="pct"/>
                  <w:tcMar>
                    <w:top w:w="0" w:type="dxa"/>
                    <w:left w:w="0" w:type="dxa"/>
                    <w:bottom w:w="0" w:type="dxa"/>
                    <w:right w:w="0" w:type="dxa"/>
                  </w:tcMar>
                  <w:vAlign w:val="center"/>
                </w:tcPr>
                <w:p>
                  <w:pPr>
                    <w:pStyle w:val="23"/>
                    <w:ind w:left="0" w:leftChars="0" w:firstLine="0" w:firstLineChars="0"/>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spacing w:val="-4"/>
                      <w:sz w:val="21"/>
                      <w:szCs w:val="21"/>
                    </w:rPr>
                    <w:t>土壤环境一般管控区根据土地利用类型实施分类管理。城乡建设用地开发利用应严格执行城市总体规划及土地利用总体规划要求，新增建设项目原则上应进入已设立的胡杨河经济技术开发区及各类工业集聚区，拟建项目应严格执行国家、兵团环保法律法规及产业政策要求，不得引进淘汰类、限制类及产能过剩的产品，根据开发区生态环境准入清单，合理筛选入园项目，优先引入投资规模大、清洁生产水平高、污染轻的企业。加强土地资源的集约节约利用，提高土地使用效率，严格控制规划工业用地规模、不得突破。涉及重金属、持久性有机物等重点污染物的建设项目在开展环境影响评价时，应根据环境影响评价技术导则，增加对土壤环境影响的评价内容，并提出防范土壤污染的具体措施；建设项目必须严格执行环保“三同时”制度，需要建设的土壤污染防治设施，要与主体工程同时设计、同时施工、同时投产使用；各级环保部门要做好相关措施落实情况的监督管理工作。</w:t>
                  </w:r>
                </w:p>
              </w:tc>
              <w:tc>
                <w:tcPr>
                  <w:tcW w:w="1472" w:type="pct"/>
                  <w:tcMar>
                    <w:top w:w="0" w:type="dxa"/>
                    <w:left w:w="0" w:type="dxa"/>
                    <w:bottom w:w="0" w:type="dxa"/>
                    <w:right w:w="0" w:type="dxa"/>
                  </w:tcMar>
                  <w:vAlign w:val="center"/>
                </w:tcPr>
                <w:p>
                  <w:pPr>
                    <w:pStyle w:val="109"/>
                    <w:adjustRightInd w:val="0"/>
                    <w:snapToGrid w:val="0"/>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snapToGrid w:val="0"/>
                      <w:color w:val="000000" w:themeColor="text1"/>
                      <w:sz w:val="21"/>
                      <w:szCs w:val="21"/>
                      <w14:textFill>
                        <w14:solidFill>
                          <w14:schemeClr w14:val="tx1"/>
                        </w14:solidFill>
                      </w14:textFill>
                    </w:rPr>
                    <w:t>项目在</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分区防渗后，</w:t>
                  </w:r>
                  <w:r>
                    <w:rPr>
                      <w:rFonts w:hint="default" w:ascii="Times New Roman" w:hAnsi="Times New Roman" w:eastAsia="宋体" w:cs="Times New Roman"/>
                      <w:snapToGrid w:val="0"/>
                      <w:color w:val="000000" w:themeColor="text1"/>
                      <w:sz w:val="21"/>
                      <w:szCs w:val="21"/>
                      <w14:textFill>
                        <w14:solidFill>
                          <w14:schemeClr w14:val="tx1"/>
                        </w14:solidFill>
                      </w14:textFill>
                    </w:rPr>
                    <w:t>运行过程中</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基本不</w:t>
                  </w:r>
                  <w:r>
                    <w:rPr>
                      <w:rFonts w:hint="default" w:ascii="Times New Roman" w:hAnsi="Times New Roman" w:eastAsia="宋体" w:cs="Times New Roman"/>
                      <w:snapToGrid w:val="0"/>
                      <w:color w:val="000000" w:themeColor="text1"/>
                      <w:sz w:val="21"/>
                      <w:szCs w:val="21"/>
                      <w14:textFill>
                        <w14:solidFill>
                          <w14:schemeClr w14:val="tx1"/>
                        </w14:solidFill>
                      </w14:textFill>
                    </w:rPr>
                    <w:t>存在</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土壤</w:t>
                  </w:r>
                  <w:r>
                    <w:rPr>
                      <w:rFonts w:hint="default" w:ascii="Times New Roman" w:hAnsi="Times New Roman" w:eastAsia="宋体" w:cs="Times New Roman"/>
                      <w:snapToGrid w:val="0"/>
                      <w:color w:val="000000" w:themeColor="text1"/>
                      <w:sz w:val="21"/>
                      <w:szCs w:val="21"/>
                      <w14:textFill>
                        <w14:solidFill>
                          <w14:schemeClr w14:val="tx1"/>
                        </w14:solidFill>
                      </w14:textFill>
                    </w:rPr>
                    <w:t>环境污染途径</w:t>
                  </w:r>
                </w:p>
              </w:tc>
              <w:tc>
                <w:tcPr>
                  <w:tcW w:w="379" w:type="pct"/>
                  <w:tcMar>
                    <w:top w:w="0" w:type="dxa"/>
                    <w:left w:w="0" w:type="dxa"/>
                    <w:bottom w:w="0" w:type="dxa"/>
                    <w:right w:w="0" w:type="dxa"/>
                  </w:tcMar>
                  <w:vAlign w:val="center"/>
                </w:tcPr>
                <w:p>
                  <w:pPr>
                    <w:pStyle w:val="109"/>
                    <w:adjustRightInd w:val="0"/>
                    <w:snapToGrid w:val="0"/>
                    <w:spacing w:line="300" w:lineRule="exact"/>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48" w:type="pct"/>
                  <w:tcMar>
                    <w:top w:w="0" w:type="dxa"/>
                    <w:left w:w="0" w:type="dxa"/>
                    <w:bottom w:w="0" w:type="dxa"/>
                    <w:right w:w="0" w:type="dxa"/>
                  </w:tcMar>
                  <w:vAlign w:val="center"/>
                </w:tcPr>
                <w:p>
                  <w:pPr>
                    <w:pStyle w:val="109"/>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规划环评审查意见要求</w:t>
                  </w:r>
                </w:p>
              </w:tc>
              <w:tc>
                <w:tcPr>
                  <w:tcW w:w="1472" w:type="pct"/>
                  <w:tcMar>
                    <w:top w:w="0" w:type="dxa"/>
                    <w:left w:w="0" w:type="dxa"/>
                    <w:bottom w:w="0" w:type="dxa"/>
                    <w:right w:w="0" w:type="dxa"/>
                  </w:tcMar>
                  <w:vAlign w:val="center"/>
                </w:tcPr>
                <w:p>
                  <w:pPr>
                    <w:pStyle w:val="109"/>
                    <w:adjustRightInd w:val="0"/>
                    <w:snapToGrid w:val="0"/>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本项目情况</w:t>
                  </w:r>
                </w:p>
              </w:tc>
              <w:tc>
                <w:tcPr>
                  <w:tcW w:w="379" w:type="pct"/>
                  <w:tcMar>
                    <w:top w:w="0" w:type="dxa"/>
                    <w:left w:w="0" w:type="dxa"/>
                    <w:bottom w:w="0" w:type="dxa"/>
                    <w:right w:w="0" w:type="dxa"/>
                  </w:tcMar>
                  <w:vAlign w:val="center"/>
                </w:tcPr>
                <w:p>
                  <w:pPr>
                    <w:pStyle w:val="109"/>
                    <w:adjustRightInd w:val="0"/>
                    <w:snapToGrid w:val="0"/>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08" w:type="dxa"/>
                  <w:tcMar>
                    <w:top w:w="0" w:type="dxa"/>
                    <w:left w:w="0" w:type="dxa"/>
                    <w:bottom w:w="0" w:type="dxa"/>
                    <w:right w:w="0" w:type="dxa"/>
                  </w:tcMar>
                  <w:vAlign w:val="center"/>
                </w:tcPr>
                <w:p>
                  <w:pPr>
                    <w:pStyle w:val="113"/>
                    <w:rPr>
                      <w:rFonts w:hint="default" w:ascii="Times New Roman" w:hAnsi="Times New Roman" w:eastAsia="宋体" w:cs="Times New Roman"/>
                      <w:color w:val="000000" w:themeColor="text1"/>
                      <w:sz w:val="21"/>
                      <w:szCs w:val="21"/>
                      <w:lang w:bidi="ar"/>
                      <w14:textFill>
                        <w14:solidFill>
                          <w14:schemeClr w14:val="tx1"/>
                        </w14:solidFill>
                      </w14:textFill>
                    </w:rPr>
                  </w:pPr>
                  <w:r>
                    <w:rPr>
                      <w:rFonts w:ascii="Arial" w:hAnsi="Arial" w:cs="Arial"/>
                    </w:rPr>
                    <w:t>优化开发区产业结构和布局，坚持绿色发展。坚持以环境质量改善为核心，遵循环保优先和绿色发展原则，结合区域实际及上位规划，依据所在产业区块功能及环保要求，确保产业区块的完整性和延续性，按照新兵函[2020]24 号文件批复的主导产业，合理确定开发区产业结构和布局，不同功能区之间应设置必要的缓冲带。严格按照《关于公布第一批兵团化工园区名单的通知》（新兵发〔2021〕8号）中确定的化工区范围布局化工产业。南园区不再布局资源型源头加工类产业，禁止新建、扩建以原煤、原油、重油等为原料的化工产业项目，通过产业链引导化工区块向精细化工、新材料产业方向发展。避免开发区内各园区产业重复布局，纺织园区不再布局电子元器件产业。结合生态环境管控、环境风险防控要求，对开发区企业实现清单式管理，制定产业发展负面清单和东西部产业转移优先准入清单。根据开发区产业结构和产业链，结合资源利用上线、环境质量底线，完善生态环境准入清单。</w:t>
                  </w:r>
                </w:p>
              </w:tc>
              <w:tc>
                <w:tcPr>
                  <w:tcW w:w="2155" w:type="dxa"/>
                  <w:tcMar>
                    <w:top w:w="0" w:type="dxa"/>
                    <w:left w:w="0" w:type="dxa"/>
                    <w:bottom w:w="0" w:type="dxa"/>
                    <w:right w:w="0" w:type="dxa"/>
                  </w:tcMar>
                  <w:vAlign w:val="center"/>
                </w:tcPr>
                <w:p>
                  <w:pPr>
                    <w:pStyle w:val="113"/>
                    <w:jc w:val="lef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ascii="Arial" w:hAnsi="Arial" w:cs="Arial"/>
                    </w:rPr>
                    <w:t>本项</w:t>
                  </w:r>
                  <w:r>
                    <w:rPr>
                      <w:rFonts w:ascii="Arial" w:hAnsi="Arial" w:eastAsia="宋体" w:cs="Arial"/>
                    </w:rPr>
                    <w:t>目为</w:t>
                  </w:r>
                  <w:r>
                    <w:rPr>
                      <w:rFonts w:hint="eastAsia" w:ascii="Arial" w:hAnsi="Arial" w:eastAsia="宋体" w:cs="Arial"/>
                      <w:lang w:val="en-US" w:eastAsia="zh-CN"/>
                    </w:rPr>
                    <w:t>预应力混凝土管桩</w:t>
                  </w:r>
                  <w:r>
                    <w:rPr>
                      <w:rFonts w:ascii="Arial" w:hAnsi="Arial" w:eastAsia="宋体" w:cs="Arial"/>
                    </w:rPr>
                    <w:t>生产项目，符合胡杨河经济开</w:t>
                  </w:r>
                  <w:r>
                    <w:rPr>
                      <w:rFonts w:ascii="Arial" w:hAnsi="Arial" w:cs="Arial"/>
                    </w:rPr>
                    <w:t>发区总体规划，项目满足资源利用上线、环境质量底线等要求。</w:t>
                  </w:r>
                </w:p>
              </w:tc>
              <w:tc>
                <w:tcPr>
                  <w:tcW w:w="555" w:type="dxa"/>
                  <w:tcMar>
                    <w:top w:w="0" w:type="dxa"/>
                    <w:left w:w="0" w:type="dxa"/>
                    <w:bottom w:w="0" w:type="dxa"/>
                    <w:right w:w="0" w:type="dxa"/>
                  </w:tcMar>
                  <w:vAlign w:val="center"/>
                </w:tcPr>
                <w:p>
                  <w:pPr>
                    <w:pStyle w:val="113"/>
                    <w:rPr>
                      <w:rFonts w:hint="default" w:ascii="Times New Roman" w:hAnsi="Times New Roman" w:eastAsia="宋体" w:cs="Times New Roman"/>
                      <w:color w:val="000000" w:themeColor="text1"/>
                      <w:sz w:val="21"/>
                      <w:szCs w:val="21"/>
                      <w:lang w:bidi="ar"/>
                      <w14:textFill>
                        <w14:solidFill>
                          <w14:schemeClr w14:val="tx1"/>
                        </w14:solidFill>
                      </w14:textFill>
                    </w:rPr>
                  </w:pPr>
                  <w:r>
                    <w:rPr>
                      <w:rFonts w:ascii="Arial" w:hAnsi="Arial" w:cs="Aria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08" w:type="dxa"/>
                  <w:tcMar>
                    <w:top w:w="0" w:type="dxa"/>
                    <w:left w:w="0" w:type="dxa"/>
                    <w:bottom w:w="0" w:type="dxa"/>
                    <w:right w:w="0" w:type="dxa"/>
                  </w:tcMar>
                  <w:vAlign w:val="center"/>
                </w:tcPr>
                <w:p>
                  <w:pPr>
                    <w:pStyle w:val="113"/>
                    <w:rPr>
                      <w:rFonts w:hint="default" w:ascii="Times New Roman" w:hAnsi="Times New Roman" w:eastAsia="宋体" w:cs="Times New Roman"/>
                      <w:color w:val="000000" w:themeColor="text1"/>
                      <w:sz w:val="21"/>
                      <w:szCs w:val="21"/>
                      <w:lang w:bidi="ar"/>
                      <w14:textFill>
                        <w14:solidFill>
                          <w14:schemeClr w14:val="tx1"/>
                        </w14:solidFill>
                      </w14:textFill>
                    </w:rPr>
                  </w:pPr>
                  <w:r>
                    <w:rPr>
                      <w:rFonts w:ascii="Arial" w:hAnsi="Arial" w:cs="Arial"/>
                    </w:rPr>
                    <w:t>严格控制“两高”行业发展规模，优化规划布局、产业结构与实施时序。通过积极转变生产和生活方式、调整能源消费结构、加强资源节约，统筹协调推进经济和社会发展。深入开展应对气候变化工作，切实增强控制温室气体排放能力。促进经济绿色低碳可持续发展，引导重点行业向绿色低碳方向转型，针对开发区规划从碳排放产业规模、结构调整、原料替代、能源利用效率提升、绿色清洁能源利用、废物节能与低碳化处置等方面提出节能、减煤和碳减排建议，推动减污治污减碳协同共治。对于生产技术落后、清洁生产水平偏低和不符合开发区规划的现状企业，采取逐步退出机制。</w:t>
                  </w:r>
                </w:p>
              </w:tc>
              <w:tc>
                <w:tcPr>
                  <w:tcW w:w="2155" w:type="dxa"/>
                  <w:tcMar>
                    <w:top w:w="0" w:type="dxa"/>
                    <w:left w:w="0" w:type="dxa"/>
                    <w:bottom w:w="0" w:type="dxa"/>
                    <w:right w:w="0" w:type="dxa"/>
                  </w:tcMar>
                  <w:vAlign w:val="center"/>
                </w:tcPr>
                <w:p>
                  <w:pPr>
                    <w:pStyle w:val="113"/>
                    <w:rPr>
                      <w:rFonts w:hint="default" w:ascii="Times New Roman" w:hAnsi="Times New Roman" w:eastAsia="宋体" w:cs="Times New Roman"/>
                      <w:color w:val="000000" w:themeColor="text1"/>
                      <w:sz w:val="21"/>
                      <w:szCs w:val="21"/>
                      <w:lang w:bidi="ar"/>
                      <w14:textFill>
                        <w14:solidFill>
                          <w14:schemeClr w14:val="tx1"/>
                        </w14:solidFill>
                      </w14:textFill>
                    </w:rPr>
                  </w:pPr>
                  <w:r>
                    <w:rPr>
                      <w:rFonts w:ascii="Arial" w:hAnsi="Arial" w:cs="Arial"/>
                    </w:rPr>
                    <w:t>本项目不属于“两高”行业</w:t>
                  </w:r>
                </w:p>
              </w:tc>
              <w:tc>
                <w:tcPr>
                  <w:tcW w:w="555" w:type="dxa"/>
                  <w:tcMar>
                    <w:top w:w="0" w:type="dxa"/>
                    <w:left w:w="0" w:type="dxa"/>
                    <w:bottom w:w="0" w:type="dxa"/>
                    <w:right w:w="0" w:type="dxa"/>
                  </w:tcMar>
                  <w:vAlign w:val="center"/>
                </w:tcPr>
                <w:p>
                  <w:pPr>
                    <w:pStyle w:val="113"/>
                    <w:rPr>
                      <w:rFonts w:hint="default" w:ascii="Times New Roman" w:hAnsi="Times New Roman" w:eastAsia="宋体" w:cs="Times New Roman"/>
                      <w:color w:val="000000" w:themeColor="text1"/>
                      <w:sz w:val="21"/>
                      <w:szCs w:val="21"/>
                      <w:lang w:bidi="ar"/>
                      <w14:textFill>
                        <w14:solidFill>
                          <w14:schemeClr w14:val="tx1"/>
                        </w14:solidFill>
                      </w14:textFill>
                    </w:rPr>
                  </w:pPr>
                  <w:r>
                    <w:rPr>
                      <w:rFonts w:ascii="Arial" w:hAnsi="Arial" w:cs="Aria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08"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ascii="Arial" w:hAnsi="Arial" w:cs="Arial"/>
                      <w:sz w:val="21"/>
                      <w:szCs w:val="21"/>
                    </w:rPr>
                    <w:t>严守生态保护红线，加强空间管控。进一步优化开发 区的空间布局，通过优化开发区产业空间布局、调整土地用途等方式，完善生态保障空间要求。重点关注大气污染综合治理、保护区域大气环境质量、开发区周边地表水水体水质、区域地下水环境、土壤环境、生态环境，对开发区内企业提出具体管控要求。衔接兵团和师市“三线一单”成果，落实、细化开发区所在生态环境管控单元的管控要求，保障规划实施不突破区域生态保护红线、 环境质量底线和资源利用上线。做好与师市国土空间规划的衔接， 从全局的角度以资源承载能力和国土空间开发适宜性评价来支撑开发区规划实施。</w:t>
                  </w:r>
                </w:p>
              </w:tc>
              <w:tc>
                <w:tcPr>
                  <w:tcW w:w="2155" w:type="dxa"/>
                  <w:tcMar>
                    <w:top w:w="0" w:type="dxa"/>
                    <w:left w:w="0" w:type="dxa"/>
                    <w:bottom w:w="0" w:type="dxa"/>
                    <w:right w:w="0" w:type="dxa"/>
                  </w:tcMar>
                  <w:vAlign w:val="center"/>
                </w:tcPr>
                <w:p>
                  <w:pPr>
                    <w:pStyle w:val="113"/>
                    <w:rPr>
                      <w:rFonts w:hint="default" w:ascii="Times New Roman" w:hAnsi="Times New Roman" w:eastAsia="宋体" w:cs="Times New Roman"/>
                      <w:color w:val="000000" w:themeColor="text1"/>
                      <w:sz w:val="21"/>
                      <w:szCs w:val="21"/>
                      <w:lang w:bidi="ar"/>
                      <w14:textFill>
                        <w14:solidFill>
                          <w14:schemeClr w14:val="tx1"/>
                        </w14:solidFill>
                      </w14:textFill>
                    </w:rPr>
                  </w:pPr>
                  <w:r>
                    <w:rPr>
                      <w:rFonts w:ascii="Arial" w:hAnsi="Arial" w:cs="Arial"/>
                    </w:rPr>
                    <w:t>本项目生产废水</w:t>
                  </w:r>
                  <w:r>
                    <w:rPr>
                      <w:rFonts w:hint="eastAsia" w:ascii="Arial" w:hAnsi="Arial" w:cs="Arial"/>
                      <w:lang w:val="en-US" w:eastAsia="zh-CN"/>
                    </w:rPr>
                    <w:t>循环利用</w:t>
                  </w:r>
                  <w:r>
                    <w:rPr>
                      <w:rFonts w:ascii="Arial" w:hAnsi="Arial" w:cs="Arial"/>
                    </w:rPr>
                    <w:t>，生活污水</w:t>
                  </w:r>
                  <w:r>
                    <w:rPr>
                      <w:rFonts w:hint="default" w:ascii="Times New Roman" w:hAnsi="Times New Roman" w:eastAsia="宋体" w:cs="Times New Roman"/>
                      <w:color w:val="000000" w:themeColor="text1"/>
                      <w:sz w:val="21"/>
                      <w:szCs w:val="21"/>
                      <w:lang w:bidi="ar"/>
                      <w14:textFill>
                        <w14:solidFill>
                          <w14:schemeClr w14:val="tx1"/>
                        </w14:solidFill>
                      </w14:textFill>
                    </w:rPr>
                    <w:t>水经污水管网排至园区污水处理厂处理</w:t>
                  </w:r>
                  <w:r>
                    <w:rPr>
                      <w:rFonts w:ascii="Arial" w:hAnsi="Arial" w:cs="Arial"/>
                    </w:rPr>
                    <w:t>，不排入外环境。本项目生产废气经处理后达标排放。固体废物均得到合理处置。</w:t>
                  </w:r>
                </w:p>
              </w:tc>
              <w:tc>
                <w:tcPr>
                  <w:tcW w:w="555" w:type="dxa"/>
                  <w:tcMar>
                    <w:top w:w="0" w:type="dxa"/>
                    <w:left w:w="0" w:type="dxa"/>
                    <w:bottom w:w="0" w:type="dxa"/>
                    <w:right w:w="0" w:type="dxa"/>
                  </w:tcMar>
                  <w:vAlign w:val="center"/>
                </w:tcPr>
                <w:p>
                  <w:pPr>
                    <w:pStyle w:val="113"/>
                    <w:rPr>
                      <w:rFonts w:hint="default" w:ascii="Times New Roman" w:hAnsi="Times New Roman" w:eastAsia="宋体" w:cs="Times New Roman"/>
                      <w:color w:val="000000" w:themeColor="text1"/>
                      <w:sz w:val="21"/>
                      <w:szCs w:val="21"/>
                      <w:lang w:bidi="ar"/>
                      <w14:textFill>
                        <w14:solidFill>
                          <w14:schemeClr w14:val="tx1"/>
                        </w14:solidFill>
                      </w14:textFill>
                    </w:rPr>
                  </w:pPr>
                  <w:r>
                    <w:rPr>
                      <w:rFonts w:ascii="Arial" w:hAnsi="Arial" w:cs="Aria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48" w:type="pct"/>
                  <w:tcMar>
                    <w:top w:w="0" w:type="dxa"/>
                    <w:left w:w="0" w:type="dxa"/>
                    <w:bottom w:w="0" w:type="dxa"/>
                    <w:right w:w="0" w:type="dxa"/>
                  </w:tcMar>
                  <w:vAlign w:val="center"/>
                </w:tcPr>
                <w:p>
                  <w:pPr>
                    <w:pStyle w:val="109"/>
                    <w:spacing w:line="300" w:lineRule="exact"/>
                    <w:jc w:val="both"/>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坚守环境质量底线，严格污染物总量管控。对标《自治区严禁“三高”项目进新疆推进经济高质量发展实施方案》，严格开发区项目准入。依据规划区域及周边环境质量改善目标，建立开发区污染物削减台账，落实重点行业区域削减措施，纳入日常环境管理工作，建立考核机制，并与排污许可制度衔接，确保区域环境质量有效改善。推进现有企业工艺技术和污染治理技术改造，各类污染物排放须满足国家及自治区最新污染物排放标准要求。</w:t>
                  </w:r>
                </w:p>
              </w:tc>
              <w:tc>
                <w:tcPr>
                  <w:tcW w:w="1472" w:type="pct"/>
                  <w:tcMar>
                    <w:top w:w="0" w:type="dxa"/>
                    <w:left w:w="0" w:type="dxa"/>
                    <w:bottom w:w="0" w:type="dxa"/>
                    <w:right w:w="0" w:type="dxa"/>
                  </w:tcMar>
                  <w:vAlign w:val="center"/>
                </w:tcPr>
                <w:p>
                  <w:pPr>
                    <w:pStyle w:val="109"/>
                    <w:adjustRightInd w:val="0"/>
                    <w:snapToGrid w:val="0"/>
                    <w:spacing w:line="300" w:lineRule="exact"/>
                    <w:rPr>
                      <w:rFonts w:hint="eastAsia"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本项目产生的颗粒物、二氧化硫、</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氮氧化物</w:t>
                  </w:r>
                  <w:r>
                    <w:rPr>
                      <w:rFonts w:hint="default" w:ascii="Times New Roman" w:hAnsi="Times New Roman" w:eastAsia="宋体" w:cs="Times New Roman"/>
                      <w:color w:val="000000" w:themeColor="text1"/>
                      <w:sz w:val="21"/>
                      <w:szCs w:val="21"/>
                      <w:lang w:bidi="ar"/>
                      <w14:textFill>
                        <w14:solidFill>
                          <w14:schemeClr w14:val="tx1"/>
                        </w14:solidFill>
                      </w14:textFill>
                    </w:rPr>
                    <w:t>均采取了相应的污染防治</w:t>
                  </w: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措施</w:t>
                  </w:r>
                  <w:r>
                    <w:rPr>
                      <w:rFonts w:hint="default" w:ascii="Times New Roman" w:hAnsi="Times New Roman" w:eastAsia="宋体" w:cs="Times New Roman"/>
                      <w:color w:val="000000" w:themeColor="text1"/>
                      <w:sz w:val="21"/>
                      <w:szCs w:val="21"/>
                      <w:lang w:bidi="ar"/>
                      <w14:textFill>
                        <w14:solidFill>
                          <w14:schemeClr w14:val="tx1"/>
                        </w14:solidFill>
                      </w14:textFill>
                    </w:rPr>
                    <w:t>，产生的各类废气均可实现达标排放</w:t>
                  </w:r>
                  <w:r>
                    <w:rPr>
                      <w:rFonts w:hint="eastAsia" w:ascii="Times New Roman" w:hAnsi="Times New Roman" w:eastAsia="宋体" w:cs="Times New Roman"/>
                      <w:color w:val="000000" w:themeColor="text1"/>
                      <w:sz w:val="21"/>
                      <w:szCs w:val="21"/>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生产废水循环利用，</w:t>
                  </w:r>
                  <w:r>
                    <w:rPr>
                      <w:rFonts w:hint="default" w:ascii="Times New Roman" w:hAnsi="Times New Roman" w:eastAsia="宋体" w:cs="Times New Roman"/>
                      <w:color w:val="000000" w:themeColor="text1"/>
                      <w:sz w:val="21"/>
                      <w:szCs w:val="21"/>
                      <w:lang w:bidi="ar"/>
                      <w14:textFill>
                        <w14:solidFill>
                          <w14:schemeClr w14:val="tx1"/>
                        </w14:solidFill>
                      </w14:textFill>
                    </w:rPr>
                    <w:t>生活污水经污水管网排至园区污水处理厂处理；一般固体废物进行综合利用</w:t>
                  </w:r>
                  <w:r>
                    <w:rPr>
                      <w:rFonts w:hint="eastAsia" w:ascii="Times New Roman" w:hAnsi="Times New Roman" w:eastAsia="宋体" w:cs="Times New Roman"/>
                      <w:color w:val="000000" w:themeColor="text1"/>
                      <w:sz w:val="21"/>
                      <w:szCs w:val="21"/>
                      <w:lang w:eastAsia="zh-CN" w:bidi="ar"/>
                      <w14:textFill>
                        <w14:solidFill>
                          <w14:schemeClr w14:val="tx1"/>
                        </w14:solidFill>
                      </w14:textFill>
                    </w:rPr>
                    <w:t>。</w:t>
                  </w:r>
                </w:p>
              </w:tc>
              <w:tc>
                <w:tcPr>
                  <w:tcW w:w="379" w:type="pct"/>
                  <w:tcMar>
                    <w:top w:w="0" w:type="dxa"/>
                    <w:left w:w="0" w:type="dxa"/>
                    <w:bottom w:w="0" w:type="dxa"/>
                    <w:right w:w="0" w:type="dxa"/>
                  </w:tcMar>
                  <w:vAlign w:val="center"/>
                </w:tcPr>
                <w:p>
                  <w:pPr>
                    <w:pStyle w:val="109"/>
                    <w:adjustRightInd w:val="0"/>
                    <w:snapToGrid w:val="0"/>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48" w:type="pct"/>
                  <w:tcMar>
                    <w:top w:w="0" w:type="dxa"/>
                    <w:left w:w="0" w:type="dxa"/>
                    <w:bottom w:w="0" w:type="dxa"/>
                    <w:right w:w="0" w:type="dxa"/>
                  </w:tcMar>
                  <w:vAlign w:val="center"/>
                </w:tcPr>
                <w:p>
                  <w:pPr>
                    <w:pStyle w:val="109"/>
                    <w:spacing w:line="300" w:lineRule="exact"/>
                    <w:jc w:val="both"/>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严格能源消费总量和消耗强度“双控”，坚持“以水定产、以水定量”，严格入园产业和项目的生态环境准入。严格按照规划产业布局入驻企业，结合区域发展定位、开发布局、生态环境保护目标，实行入园企业环保准入审核制度，不符合产业政策、行业准入条件、生态环境准入清单及自治区党委明令禁止的“三高”项目一律不得入驻园区。引进项目的生产工艺、设备、污染治理技术，以及单位产品能耗、物耗、污染物排放和资源利用效率均需达到同行业国内先进水平，积极推进产业的技术进步和园区循环化改造，构建绿色、低碳园区。开发区水资源利用不得突破《新疆用水总量控制方案》确定的第七师水资源利用上线指标，土地资源利用不得突破第七师国土空间规划确定的新增建设用地规模。</w:t>
                  </w:r>
                </w:p>
              </w:tc>
              <w:tc>
                <w:tcPr>
                  <w:tcW w:w="1472" w:type="pct"/>
                  <w:tcMar>
                    <w:top w:w="0" w:type="dxa"/>
                    <w:left w:w="0" w:type="dxa"/>
                    <w:bottom w:w="0" w:type="dxa"/>
                    <w:right w:w="0" w:type="dxa"/>
                  </w:tcMar>
                  <w:vAlign w:val="center"/>
                </w:tcPr>
                <w:p>
                  <w:pPr>
                    <w:pStyle w:val="109"/>
                    <w:adjustRightInd w:val="0"/>
                    <w:snapToGrid w:val="0"/>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清洁生产水平达到国内先进水平采用的生产工艺、设备。污染治理技术、单位产品能耗、物耗、污染物排放和资源利用效率均达到国内先进水平</w:t>
                  </w:r>
                </w:p>
              </w:tc>
              <w:tc>
                <w:tcPr>
                  <w:tcW w:w="379" w:type="pct"/>
                  <w:tcMar>
                    <w:top w:w="0" w:type="dxa"/>
                    <w:left w:w="0" w:type="dxa"/>
                    <w:bottom w:w="0" w:type="dxa"/>
                    <w:right w:w="0" w:type="dxa"/>
                  </w:tcMar>
                  <w:vAlign w:val="center"/>
                </w:tcPr>
                <w:p>
                  <w:pPr>
                    <w:pStyle w:val="109"/>
                    <w:adjustRightInd w:val="0"/>
                    <w:snapToGrid w:val="0"/>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48" w:type="pct"/>
                  <w:tcMar>
                    <w:top w:w="0" w:type="dxa"/>
                    <w:left w:w="0" w:type="dxa"/>
                    <w:bottom w:w="0" w:type="dxa"/>
                    <w:right w:w="0" w:type="dxa"/>
                  </w:tcMar>
                  <w:vAlign w:val="center"/>
                </w:tcPr>
                <w:p>
                  <w:pPr>
                    <w:pStyle w:val="109"/>
                    <w:spacing w:line="300" w:lineRule="exact"/>
                    <w:jc w:val="both"/>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加快完善开发区环境基础设施建设，推进区域环境质量持续改善和提升。按照“清污分流”、“污污分治”原则规划、设计和建设开发区排水系统、废（污)水处理系统和中水回用系统，逐步建成完整的排水和中水回用体系，提高废（污）水回用率。北园区新建一般工业固体废物处置场。根据开发区发展实际，制定切实可行的一般固体废物综合利用方案，严格按照国家有关规定，依法、依规、合理地贮存、处置和处理危险废物。</w:t>
                  </w:r>
                </w:p>
              </w:tc>
              <w:tc>
                <w:tcPr>
                  <w:tcW w:w="1472" w:type="pct"/>
                  <w:tcMar>
                    <w:top w:w="0" w:type="dxa"/>
                    <w:left w:w="0" w:type="dxa"/>
                    <w:bottom w:w="0" w:type="dxa"/>
                    <w:right w:w="0" w:type="dxa"/>
                  </w:tcMar>
                  <w:vAlign w:val="center"/>
                </w:tcPr>
                <w:p>
                  <w:pPr>
                    <w:pStyle w:val="109"/>
                    <w:adjustRightInd w:val="0"/>
                    <w:snapToGrid w:val="0"/>
                    <w:spacing w:line="300" w:lineRule="exact"/>
                    <w:rPr>
                      <w:rFonts w:hint="eastAsia" w:ascii="Times New Roman" w:hAnsi="Times New Roman" w:eastAsia="宋体" w:cs="Times New Roman"/>
                      <w:color w:val="000000" w:themeColor="text1"/>
                      <w:sz w:val="21"/>
                      <w:szCs w:val="21"/>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生产废水循环利用，</w:t>
                  </w:r>
                  <w:r>
                    <w:rPr>
                      <w:rFonts w:hint="default" w:ascii="Times New Roman" w:hAnsi="Times New Roman" w:eastAsia="宋体" w:cs="Times New Roman"/>
                      <w:color w:val="000000" w:themeColor="text1"/>
                      <w:sz w:val="21"/>
                      <w:szCs w:val="21"/>
                      <w:lang w:bidi="ar"/>
                      <w14:textFill>
                        <w14:solidFill>
                          <w14:schemeClr w14:val="tx1"/>
                        </w14:solidFill>
                      </w14:textFill>
                    </w:rPr>
                    <w:t>生活污水经污水管网排至园区污水处理厂处理</w:t>
                  </w:r>
                  <w:r>
                    <w:rPr>
                      <w:rFonts w:hint="eastAsia" w:ascii="Times New Roman" w:hAnsi="Times New Roman" w:eastAsia="宋体" w:cs="Times New Roman"/>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bidi="ar"/>
                      <w14:textFill>
                        <w14:solidFill>
                          <w14:schemeClr w14:val="tx1"/>
                        </w14:solidFill>
                      </w14:textFill>
                    </w:rPr>
                    <w:t>一般固体废物</w:t>
                  </w: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暂存后</w:t>
                  </w:r>
                  <w:r>
                    <w:rPr>
                      <w:rFonts w:hint="default" w:ascii="Times New Roman" w:hAnsi="Times New Roman" w:eastAsia="宋体" w:cs="Times New Roman"/>
                      <w:color w:val="000000" w:themeColor="text1"/>
                      <w:sz w:val="21"/>
                      <w:szCs w:val="21"/>
                      <w:lang w:bidi="ar"/>
                      <w14:textFill>
                        <w14:solidFill>
                          <w14:schemeClr w14:val="tx1"/>
                        </w14:solidFill>
                      </w14:textFill>
                    </w:rPr>
                    <w:t>综合利用</w:t>
                  </w:r>
                </w:p>
              </w:tc>
              <w:tc>
                <w:tcPr>
                  <w:tcW w:w="379" w:type="pct"/>
                  <w:tcMar>
                    <w:top w:w="0" w:type="dxa"/>
                    <w:left w:w="0" w:type="dxa"/>
                    <w:bottom w:w="0" w:type="dxa"/>
                    <w:right w:w="0" w:type="dxa"/>
                  </w:tcMar>
                  <w:vAlign w:val="center"/>
                </w:tcPr>
                <w:p>
                  <w:pPr>
                    <w:pStyle w:val="109"/>
                    <w:adjustRightInd w:val="0"/>
                    <w:snapToGrid w:val="0"/>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48" w:type="pct"/>
                  <w:tcMar>
                    <w:top w:w="0" w:type="dxa"/>
                    <w:left w:w="0" w:type="dxa"/>
                    <w:bottom w:w="0" w:type="dxa"/>
                    <w:right w:w="0" w:type="dxa"/>
                  </w:tcMar>
                  <w:vAlign w:val="center"/>
                </w:tcPr>
                <w:p>
                  <w:pPr>
                    <w:pStyle w:val="109"/>
                    <w:spacing w:line="300" w:lineRule="exact"/>
                    <w:jc w:val="both"/>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强化开发区环境风险管理，强化应急响应联动机制，保障城市人居环境安全和生态环境安全。配备应急物资，建设化工园区事故水池，定期开展应急演习，不断完善环境风险应急预案，防控开发区储运中可能引发的环境风险。</w:t>
                  </w:r>
                </w:p>
              </w:tc>
              <w:tc>
                <w:tcPr>
                  <w:tcW w:w="1472" w:type="pct"/>
                  <w:tcMar>
                    <w:top w:w="0" w:type="dxa"/>
                    <w:left w:w="0" w:type="dxa"/>
                    <w:bottom w:w="0" w:type="dxa"/>
                    <w:right w:w="0" w:type="dxa"/>
                  </w:tcMar>
                  <w:vAlign w:val="center"/>
                </w:tcPr>
                <w:p>
                  <w:pPr>
                    <w:pStyle w:val="109"/>
                    <w:adjustRightInd w:val="0"/>
                    <w:snapToGrid w:val="0"/>
                    <w:spacing w:line="300" w:lineRule="exact"/>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本项目将编制</w:t>
                  </w:r>
                  <w:r>
                    <w:rPr>
                      <w:rFonts w:hint="default" w:ascii="Times New Roman" w:hAnsi="Times New Roman" w:eastAsia="宋体" w:cs="Times New Roman"/>
                      <w:color w:val="000000" w:themeColor="text1"/>
                      <w:sz w:val="21"/>
                      <w:szCs w:val="21"/>
                      <w:lang w:bidi="ar"/>
                      <w14:textFill>
                        <w14:solidFill>
                          <w14:schemeClr w14:val="tx1"/>
                        </w14:solidFill>
                      </w14:textFill>
                    </w:rPr>
                    <w:t>环境风险应急预案</w:t>
                  </w:r>
                  <w:r>
                    <w:rPr>
                      <w:rFonts w:hint="eastAsia" w:ascii="Times New Roman" w:hAnsi="Times New Roman" w:eastAsia="宋体" w:cs="Times New Roman"/>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bidi="ar"/>
                      <w14:textFill>
                        <w14:solidFill>
                          <w14:schemeClr w14:val="tx1"/>
                        </w14:solidFill>
                      </w14:textFill>
                    </w:rPr>
                    <w:t>定期开展应急演习</w:t>
                  </w:r>
                </w:p>
              </w:tc>
              <w:tc>
                <w:tcPr>
                  <w:tcW w:w="379" w:type="pct"/>
                  <w:tcMar>
                    <w:top w:w="0" w:type="dxa"/>
                    <w:left w:w="0" w:type="dxa"/>
                    <w:bottom w:w="0" w:type="dxa"/>
                    <w:right w:w="0" w:type="dxa"/>
                  </w:tcMar>
                  <w:vAlign w:val="center"/>
                </w:tcPr>
                <w:p>
                  <w:pPr>
                    <w:pStyle w:val="109"/>
                    <w:adjustRightInd w:val="0"/>
                    <w:snapToGrid w:val="0"/>
                    <w:spacing w:line="300" w:lineRule="exact"/>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t>符合</w:t>
                  </w:r>
                </w:p>
              </w:tc>
            </w:tr>
          </w:tbl>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综上所述，本项目符合</w:t>
            </w:r>
            <w:r>
              <w:rPr>
                <w:rFonts w:hint="default" w:ascii="Times New Roman" w:hAnsi="Times New Roman" w:cs="Times New Roman"/>
                <w:color w:val="000000" w:themeColor="text1"/>
                <w:sz w:val="24"/>
                <w:lang w:val="en-US" w:eastAsia="zh-CN"/>
                <w14:textFill>
                  <w14:solidFill>
                    <w14:schemeClr w14:val="tx1"/>
                  </w14:solidFill>
                </w14:textFill>
              </w:rPr>
              <w:t>胡杨河经济技术开发区</w:t>
            </w:r>
            <w:r>
              <w:rPr>
                <w:rFonts w:hint="eastAsia"/>
                <w:color w:val="000000" w:themeColor="text1"/>
                <w:sz w:val="24"/>
                <w:lang w:val="en-US" w:eastAsia="zh-CN"/>
                <w14:textFill>
                  <w14:solidFill>
                    <w14:schemeClr w14:val="tx1"/>
                  </w14:solidFill>
                </w14:textFill>
              </w:rPr>
              <w:t>产业定位，与</w:t>
            </w:r>
            <w:r>
              <w:rPr>
                <w:rFonts w:hint="default" w:ascii="Times New Roman" w:hAnsi="Times New Roman" w:cs="Times New Roman"/>
                <w:color w:val="000000" w:themeColor="text1"/>
                <w:sz w:val="24"/>
                <w:lang w:val="en-US" w:eastAsia="zh-CN"/>
                <w14:textFill>
                  <w14:solidFill>
                    <w14:schemeClr w14:val="tx1"/>
                  </w14:solidFill>
                </w14:textFill>
              </w:rPr>
              <w:t>胡杨河经济技术开发区</w:t>
            </w:r>
            <w:r>
              <w:rPr>
                <w:rFonts w:hint="eastAsia"/>
                <w:color w:val="000000" w:themeColor="text1"/>
                <w:sz w:val="24"/>
                <w:lang w:val="en-US" w:eastAsia="zh-CN"/>
                <w14:textFill>
                  <w14:solidFill>
                    <w14:schemeClr w14:val="tx1"/>
                  </w14:solidFill>
                </w14:textFill>
              </w:rPr>
              <w:t>规划环评及审查意见相符。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26" w:type="dxa"/>
            <w:vAlign w:val="center"/>
          </w:tcPr>
          <w:p>
            <w:pPr>
              <w:autoSpaceDE w:val="0"/>
              <w:autoSpaceDN w:val="0"/>
              <w:adjustRightInd w:val="0"/>
              <w:snapToGrid w:val="0"/>
              <w:jc w:val="center"/>
              <w:rPr>
                <w:rFonts w:cs="宋体"/>
                <w:color w:val="000000" w:themeColor="text1"/>
                <w:kern w:val="0"/>
                <w:sz w:val="24"/>
                <w14:textFill>
                  <w14:solidFill>
                    <w14:schemeClr w14:val="tx1"/>
                  </w14:solidFill>
                </w14:textFill>
              </w:rPr>
            </w:pPr>
            <w:r>
              <w:rPr>
                <w:rFonts w:hint="eastAsia" w:cs="宋体"/>
                <w:color w:val="000000" w:themeColor="text1"/>
                <w:kern w:val="0"/>
                <w:sz w:val="24"/>
                <w14:textFill>
                  <w14:solidFill>
                    <w14:schemeClr w14:val="tx1"/>
                  </w14:solidFill>
                </w14:textFill>
              </w:rPr>
              <w:t>其他符合性分析</w:t>
            </w:r>
          </w:p>
        </w:tc>
        <w:tc>
          <w:tcPr>
            <w:tcW w:w="7544" w:type="dxa"/>
            <w:gridSpan w:val="4"/>
            <w:vAlign w:val="center"/>
          </w:tcPr>
          <w:p>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1、产业政策合理性分析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根据中华人民共和国国家发展和改革委员会</w:t>
            </w:r>
            <w:r>
              <w:rPr>
                <w:rFonts w:hint="eastAsia"/>
                <w:color w:val="000000" w:themeColor="text1"/>
                <w:kern w:val="0"/>
                <w:sz w:val="24"/>
                <w:lang w:val="en-US" w:eastAsia="zh-CN"/>
                <w14:textFill>
                  <w14:solidFill>
                    <w14:schemeClr w14:val="tx1"/>
                  </w14:solidFill>
                </w14:textFill>
              </w:rPr>
              <w:t>2023年</w:t>
            </w:r>
            <w:r>
              <w:rPr>
                <w:rFonts w:hint="eastAsia"/>
                <w:color w:val="000000" w:themeColor="text1"/>
                <w:kern w:val="0"/>
                <w:sz w:val="24"/>
                <w14:textFill>
                  <w14:solidFill>
                    <w14:schemeClr w14:val="tx1"/>
                  </w14:solidFill>
                </w14:textFill>
              </w:rPr>
              <w:t>12月2</w:t>
            </w:r>
            <w:r>
              <w:rPr>
                <w:rFonts w:hint="eastAsia"/>
                <w:color w:val="000000" w:themeColor="text1"/>
                <w:kern w:val="0"/>
                <w:sz w:val="24"/>
                <w:lang w:val="en-US" w:eastAsia="zh-CN"/>
                <w14:textFill>
                  <w14:solidFill>
                    <w14:schemeClr w14:val="tx1"/>
                  </w14:solidFill>
                </w14:textFill>
              </w:rPr>
              <w:t>7</w:t>
            </w:r>
            <w:r>
              <w:rPr>
                <w:rFonts w:hint="eastAsia"/>
                <w:color w:val="000000" w:themeColor="text1"/>
                <w:kern w:val="0"/>
                <w:sz w:val="24"/>
                <w14:textFill>
                  <w14:solidFill>
                    <w14:schemeClr w14:val="tx1"/>
                  </w14:solidFill>
                </w14:textFill>
              </w:rPr>
              <w:t>日发布的 《产业结构调整指导目录（2024年本）》，本项目为水泥制品制造行业，不属于鼓励类、限制类和淘汰类建设项目。根据国务院关于发布实施《促进产业结构调整暂行规定》的决定第三章产业结构调整指导目录第十三条“不属于鼓励类、限制类 和淘汰类，且符合国家有关法律、法规和政策规定的，视为允许类”，本项目为允许类建设项目，因此本项目的建设符合国家产业政策的要求。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color w:val="000000" w:themeColor="text1"/>
                <w:kern w:val="0"/>
                <w:sz w:val="24"/>
                <w:szCs w:val="24"/>
                <w14:textFill>
                  <w14:solidFill>
                    <w14:schemeClr w14:val="tx1"/>
                  </w14:solidFill>
                </w14:textFill>
              </w:rPr>
            </w:pPr>
            <w:r>
              <w:rPr>
                <w:rFonts w:hint="eastAsia"/>
                <w:b/>
                <w:color w:val="000000" w:themeColor="text1"/>
                <w:kern w:val="0"/>
                <w:sz w:val="24"/>
                <w14:textFill>
                  <w14:solidFill>
                    <w14:schemeClr w14:val="tx1"/>
                  </w14:solidFill>
                </w14:textFill>
              </w:rPr>
              <w:t>2、“三线一单</w:t>
            </w:r>
            <w:r>
              <w:rPr>
                <w:rFonts w:hint="default" w:ascii="Times New Roman" w:hAnsi="Times New Roman" w:eastAsia="宋体" w:cs="Times New Roman"/>
                <w:b/>
                <w:color w:val="000000" w:themeColor="text1"/>
                <w:kern w:val="0"/>
                <w:sz w:val="24"/>
                <w:szCs w:val="24"/>
                <w14:textFill>
                  <w14:solidFill>
                    <w14:schemeClr w14:val="tx1"/>
                  </w14:solidFill>
                </w14:textFill>
              </w:rPr>
              <w:t>”的符合性分析</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关于规划环境影响评价加强空间管制、总量控制和环境准入的指导意见（试行）》（环办环评）[2016]14号）、《关于以改善环境质量为核心加强环境影响评价管理的通知》（环环评[2016]150号）、《关于印发〈新疆生产建设兵团“三线一单”生态环境分区管</w:t>
            </w:r>
            <w:r>
              <w:rPr>
                <w:rFonts w:hint="default" w:ascii="Times New Roman" w:hAnsi="Times New Roman" w:eastAsia="宋体" w:cs="Times New Roman"/>
                <w:kern w:val="0"/>
                <w:sz w:val="24"/>
                <w:szCs w:val="24"/>
                <w:lang w:bidi="ar"/>
              </w:rPr>
              <w:t>控方案〉的通知》（新兵发〔2021〕16 号）《第七师胡杨河市“三线一单”生态环境分区管控方案》</w:t>
            </w:r>
            <w:r>
              <w:rPr>
                <w:rFonts w:hint="default" w:ascii="Times New Roman" w:hAnsi="Times New Roman" w:eastAsia="宋体" w:cs="Times New Roman"/>
                <w:sz w:val="24"/>
                <w:szCs w:val="24"/>
              </w:rPr>
              <w:t>，落实“生态保护红线、环境质量底线、资源利用上线和环境准入负面清单”，强化“三线一单”作用，对本项目与兵团、七师“三线一单”的符合性进行如下分析。</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（1）生态保护红线</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保护红线是指依据《中华人民共和国环境保护法》，在重点生态功能区、生态环境敏感区脆弱区等区域划定的对维护自然生态系统功能，保障国家和区域生态安全及经济社会可持续发展具有关键作用，必须实行严格保护的基本生态空间。</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疆生产建设兵团生态保护红线划定方案》确定的生态保护红线主要目标是按照“生态功能不降低、面积不减少、性质不改变”的基本要求，对划定的生态保护红线实施严格管控，保障和维护师市生态安全的底线和生命线。《第七师胡杨河市“三线一单”生态环境分区管控方案》划定的七师生态保护红线主要为各类法定保护地和评估确定的极重要、极敏感区，划定的一般生态空间主要包括水源涵养、水土保持、防风固沙及生物多样性维护四类生态功能重要区域及水土流失、土地沙化两类敏感区域。</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位于胡杨河经济技术开发区南区，不属于法定自然保护地和评估确定的极重要、极敏感区，不属于水源涵养、水土保持、防风固沙及生物多样性维护四类生态功能重要区域及水土流失、土地沙化两类敏感区域，因此，本项目选址符合生态保护红线的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（2）环境质量底线</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依据《生态保护红线、环境质量底线、资源利用上线和环境准入负面清单编制技术指南（试行）》（环办环评[2017]99号），环境质量底线是指按照水、大气、土壤环境质量不断优化的原则，结合环境质量现状和相关规划、功能区划要求，考虑环境质量改善潜力，确定的分区域分阶段环境质量目标及相应的环境管控、污染物排放控制等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①大气环境质量底线</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《第七师胡杨河市“三线一单”生态环境分区管控方案》确定的大气环境质量底线为“环境空气质量稳步提升，重污染天数持续减少。”</w:t>
            </w:r>
            <w:r>
              <w:rPr>
                <w:rFonts w:hint="default" w:ascii="Times New Roman" w:hAnsi="Times New Roman" w:eastAsia="宋体" w:cs="Times New Roman"/>
                <w:kern w:val="0"/>
                <w:sz w:val="24"/>
                <w:szCs w:val="24"/>
                <w:lang w:bidi="ar"/>
              </w:rPr>
              <w:t>PM2.5 在 2025年为≤42µg/m³（扣除沙尘天气），2035年为≤35µg/m³（扣除沙尘天气）。</w:t>
            </w:r>
            <w:r>
              <w:rPr>
                <w:rFonts w:hint="default" w:ascii="Times New Roman" w:hAnsi="Times New Roman" w:eastAsia="宋体" w:cs="Times New Roman"/>
                <w:sz w:val="24"/>
                <w:szCs w:val="24"/>
              </w:rPr>
              <w:t>《胡杨河经济技术开发区总体规划（2021-2035 年）环境影响报告书》确定的园区大气环境质量底线目标与胡杨河市保持一致。</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bidi="ar"/>
              </w:rPr>
            </w:pPr>
            <w:bookmarkStart w:id="2" w:name="_Hlk135741186"/>
            <w:r>
              <w:rPr>
                <w:rFonts w:hint="default" w:ascii="Times New Roman" w:hAnsi="Times New Roman" w:eastAsia="宋体" w:cs="Times New Roman"/>
                <w:kern w:val="0"/>
                <w:sz w:val="24"/>
                <w:szCs w:val="24"/>
                <w:lang w:bidi="ar"/>
              </w:rPr>
              <w:t>本区域</w:t>
            </w:r>
            <w:r>
              <w:rPr>
                <w:rFonts w:hint="default" w:ascii="Times New Roman" w:hAnsi="Times New Roman" w:eastAsia="宋体" w:cs="Times New Roman"/>
                <w:bCs/>
                <w:sz w:val="24"/>
                <w:szCs w:val="24"/>
              </w:rPr>
              <w:t>六项主要污染物可吸入颗粒物（PM</w:t>
            </w:r>
            <w:r>
              <w:rPr>
                <w:rFonts w:hint="default" w:ascii="Times New Roman" w:hAnsi="Times New Roman" w:eastAsia="宋体" w:cs="Times New Roman"/>
                <w:bCs/>
                <w:sz w:val="24"/>
                <w:szCs w:val="24"/>
                <w:vertAlign w:val="subscript"/>
              </w:rPr>
              <w:t>10</w:t>
            </w:r>
            <w:r>
              <w:rPr>
                <w:rFonts w:hint="default" w:ascii="Times New Roman" w:hAnsi="Times New Roman" w:eastAsia="宋体" w:cs="Times New Roman"/>
                <w:bCs/>
                <w:sz w:val="24"/>
                <w:szCs w:val="24"/>
              </w:rPr>
              <w:t>）、细颗粒物（PM</w:t>
            </w:r>
            <w:r>
              <w:rPr>
                <w:rFonts w:hint="default" w:ascii="Times New Roman" w:hAnsi="Times New Roman" w:eastAsia="宋体" w:cs="Times New Roman"/>
                <w:bCs/>
                <w:sz w:val="24"/>
                <w:szCs w:val="24"/>
                <w:vertAlign w:val="subscript"/>
              </w:rPr>
              <w:t>2.5</w:t>
            </w:r>
            <w:r>
              <w:rPr>
                <w:rFonts w:hint="default" w:ascii="Times New Roman" w:hAnsi="Times New Roman" w:eastAsia="宋体" w:cs="Times New Roman"/>
                <w:bCs/>
                <w:sz w:val="24"/>
                <w:szCs w:val="24"/>
              </w:rPr>
              <w:t>）、二氧化硫、二氧化氮、臭氧8小时（O</w:t>
            </w:r>
            <w:r>
              <w:rPr>
                <w:rFonts w:hint="default" w:ascii="Times New Roman" w:hAnsi="Times New Roman" w:eastAsia="宋体" w:cs="Times New Roman"/>
                <w:bCs/>
                <w:sz w:val="24"/>
                <w:szCs w:val="24"/>
                <w:vertAlign w:val="subscript"/>
              </w:rPr>
              <w:t>3</w:t>
            </w:r>
            <w:r>
              <w:rPr>
                <w:rFonts w:hint="default" w:ascii="Times New Roman" w:hAnsi="Times New Roman" w:eastAsia="宋体" w:cs="Times New Roman"/>
                <w:bCs/>
                <w:sz w:val="24"/>
                <w:szCs w:val="24"/>
              </w:rPr>
              <w:t>8h）和一氧化碳的平均浓度分别为48ug/m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、23ug/m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、6ug/m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、22ug/m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、119ug/m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和1100ug/m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w:t>
            </w:r>
            <w:r>
              <w:rPr>
                <w:rFonts w:hint="default" w:ascii="Times New Roman" w:hAnsi="Times New Roman" w:eastAsia="宋体" w:cs="Times New Roman"/>
                <w:kern w:val="0"/>
                <w:sz w:val="24"/>
                <w:szCs w:val="24"/>
                <w:lang w:bidi="ar"/>
              </w:rPr>
              <w:t>均满足《环境空气质量标准》（GB3095-2012）二级标准要求，根据</w:t>
            </w:r>
            <w:r>
              <w:rPr>
                <w:rFonts w:hint="default" w:ascii="Times New Roman" w:hAnsi="Times New Roman" w:eastAsia="宋体" w:cs="Times New Roman"/>
                <w:sz w:val="24"/>
                <w:szCs w:val="24"/>
              </w:rPr>
              <w:t>生态环境部环境工程评估中心“环境空气质量模型技术支持服务系统”提供的</w:t>
            </w:r>
            <w:r>
              <w:rPr>
                <w:rFonts w:hint="default" w:ascii="Times New Roman" w:hAnsi="Times New Roman" w:eastAsia="宋体" w:cs="Times New Roman"/>
                <w:kern w:val="0"/>
                <w:sz w:val="24"/>
                <w:szCs w:val="24"/>
                <w:lang w:bidi="ar"/>
              </w:rPr>
              <w:t>达标区判定结果，本项目所在区域为环境空气质量达标区。</w:t>
            </w:r>
            <w:bookmarkEnd w:id="2"/>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原料堆放区采用篷布遮盖、洒水、密闭厂房，筒仓粉尘经脉冲除尘器处理后无组织排放，搅拌、混料粉尘经布袋除尘器</w:t>
            </w:r>
            <w:r>
              <w:rPr>
                <w:rFonts w:hint="default" w:ascii="Times New Roman" w:hAnsi="Times New Roman" w:eastAsia="宋体" w:cs="Times New Roman"/>
                <w:sz w:val="24"/>
                <w:szCs w:val="24"/>
                <w:lang w:val="en-US" w:eastAsia="zh-CN"/>
              </w:rPr>
              <w:t>处理后无组织排放，编笼焊接烟气经移动式焊烟净化器处理后无组织排放</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燃气锅炉经低氮燃烧器处理后由8m高排气筒排放，</w:t>
            </w:r>
            <w:r>
              <w:rPr>
                <w:rFonts w:hint="default" w:ascii="Times New Roman" w:hAnsi="Times New Roman" w:eastAsia="宋体" w:cs="Times New Roman"/>
                <w:sz w:val="24"/>
                <w:szCs w:val="24"/>
              </w:rPr>
              <w:t>产生的废气经收集处理后可实现达标排放，本项目实施后环境质量满足质量标准要求，符合环境质量底线要求。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②水环境质量底线</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七师胡杨河市“三线一单”生态环境分区管控方案》确定的水环境质量底线为“师市河流、湖库、水源地水质总体保持稳定，饮用水安全保障水平持续提升，水生态环境状况继续好转。奎屯河老龙口断面和黄沟二库断面水质保持Ⅱ类标准，奎屯河大桥断面、白杨河乌尔禾断面和古尔图河柳沟水库断面水质保持Ⅲ类标准，泉沟水库、奎屯水库、车排子水库和柳沟水库断面水质保持Ⅲ类标准。”《胡杨河经济技术开发区总体规划（2021-2035 年）环境影响报告书》确定的园区地下水水质目标满足《地下水质量标准》（GB/T14848‐2017）中Ⅲ类标准。</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本项目生产废水处理后循环利用不排放，生活污水排入园区污水处理厂处理，对区域地表水无影响。厂区采取分区防渗措施，正常工况下可确保不对地下水造成污染，不威胁地下水环境质量底线。</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土壤环境质量底线：《第七师胡杨河市“三线一单”生态环境分区管控方案》确定的水环境质量底线为“土壤环境质量保持稳定，农用地和建设用地土壤环境安全得到有效保障，土壤环境风险得到有效管控。受污染耕地安全利用率达到 93%以上，污染地块安全利用率达到 93%以上。”《胡杨河经济技术开发区总体规划（2021-2035 年）环境影响报告书》以区域土壤环境质量达到《土壤环境质量建设用地土壤污染风险管控标准》（GB36600-2018）中表1 第二类用地标准为主要目标。</w:t>
            </w:r>
          </w:p>
          <w:p>
            <w:pPr>
              <w:pStyle w:val="114"/>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生产过程中无重金属、难降解有机物等产生；厂区采取分区防渗措施，项目产生的一般工业固体废物做到合理处置，实现固体废物的减量化、资源化和无害化。经环境影响预测，本项目建成投产后，对周边土壤环境质量基本无不良影响，不改变当地环境现状，满足环境质量底线的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（3）资源利用上线</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兵团、七师确定的资源利用上线为“强化节约集约利用，持续提升资源能源利用效率，水资源、土地资源、能源消耗达到国家、兵团下达的总量和强度控制目标，地下水超采得到严格控制。加快低碳发展，积极推动低碳试点建设，发挥低碳试点示范引领作用。”</w:t>
            </w:r>
          </w:p>
          <w:p>
            <w:pPr>
              <w:adjustRightInd w:val="0"/>
              <w:snapToGrid w:val="0"/>
              <w:spacing w:line="360" w:lineRule="auto"/>
              <w:ind w:firstLine="480" w:firstLineChars="200"/>
              <w:rPr>
                <w:rFonts w:hint="default" w:ascii="Times New Roman" w:hAnsi="Times New Roman" w:eastAsia="宋体" w:cs="Times New Roman"/>
                <w:sz w:val="24"/>
                <w:szCs w:val="24"/>
              </w:rPr>
            </w:pPr>
            <w:bookmarkStart w:id="3" w:name="_Hlk135741505"/>
            <w:r>
              <w:rPr>
                <w:rFonts w:ascii="Times New Roman" w:hAnsi="Times New Roman" w:cs="Times New Roman"/>
                <w:sz w:val="24"/>
                <w:szCs w:val="24"/>
              </w:rPr>
              <w:t>本项目为主要利用</w:t>
            </w:r>
            <w:r>
              <w:rPr>
                <w:rFonts w:hint="eastAsia" w:ascii="Times New Roman" w:hAnsi="Times New Roman" w:cs="Times New Roman"/>
                <w:sz w:val="24"/>
                <w:szCs w:val="24"/>
                <w:lang w:val="en-US" w:eastAsia="zh-CN"/>
              </w:rPr>
              <w:t>水泥、矿粉、砂石等</w:t>
            </w:r>
            <w:r>
              <w:rPr>
                <w:rFonts w:ascii="Times New Roman" w:hAnsi="Times New Roman" w:cs="Times New Roman"/>
                <w:sz w:val="24"/>
                <w:szCs w:val="24"/>
              </w:rPr>
              <w:t>材料，生产过程中主要能耗为电能和水资源，电能和水资源用量相对区域资源利用总量较少</w:t>
            </w:r>
            <w:r>
              <w:rPr>
                <w:rFonts w:hint="default" w:ascii="Times New Roman" w:hAnsi="Times New Roman" w:eastAsia="宋体" w:cs="Times New Roman"/>
                <w:sz w:val="24"/>
                <w:szCs w:val="24"/>
              </w:rPr>
              <w:t>。因此，项目的水、电、土地等资源利用不会突破区域的资源利用上线。</w:t>
            </w:r>
          </w:p>
          <w:bookmarkEnd w:id="3"/>
          <w:p>
            <w:pPr>
              <w:adjustRightInd w:val="0"/>
              <w:snapToGrid w:val="0"/>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z w:val="24"/>
                <w:szCs w:val="24"/>
              </w:rPr>
              <w:t>综上，项目建设满足“三线一单”相关要求。</w:t>
            </w:r>
          </w:p>
          <w:p>
            <w:pPr>
              <w:keepNext w:val="0"/>
              <w:keepLines w:val="0"/>
              <w:pageBreakBefore w:val="0"/>
              <w:widowControl w:val="0"/>
              <w:kinsoku/>
              <w:wordWrap/>
              <w:overflowPunct/>
              <w:topLinePunct w:val="0"/>
              <w:bidi w:val="0"/>
              <w:spacing w:line="360" w:lineRule="auto"/>
              <w:ind w:firstLine="480"/>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（4）生态环境准入清单</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第七师胡杨河市“三线一单”生态环境分区管控方案》，本工程位于胡杨河经济技术开发区南园区，环境管控单元编码：ZH65771220001，属于重点管控单元。园区主导产业是：着力发展精细化工、新材料。本工程建设与第七师“三线一单”生态环境准入清单符合性分析见表1</w:t>
            </w:r>
            <w:r>
              <w:rPr>
                <w:rFonts w:hint="eastAsia" w:cs="Times New Roman"/>
                <w:sz w:val="24"/>
                <w:szCs w:val="24"/>
                <w:lang w:val="en-US" w:eastAsia="zh-CN"/>
              </w:rPr>
              <w:t>-2</w:t>
            </w:r>
            <w:r>
              <w:rPr>
                <w:rFonts w:hint="default" w:ascii="Times New Roman" w:hAnsi="Times New Roman" w:eastAsia="宋体" w:cs="Times New Roman"/>
                <w:sz w:val="24"/>
                <w:szCs w:val="24"/>
              </w:rPr>
              <w:t>。</w:t>
            </w:r>
          </w:p>
          <w:p>
            <w:pPr>
              <w:pStyle w:val="115"/>
              <w:ind w:firstLine="0" w:firstLineChars="0"/>
              <w:jc w:val="center"/>
              <w:rPr>
                <w:rFonts w:hint="default" w:ascii="Times New Roman" w:hAnsi="Times New Roman" w:eastAsia="宋体" w:cs="Times New Roman"/>
                <w:b/>
                <w:bCs/>
                <w:szCs w:val="24"/>
              </w:rPr>
            </w:pPr>
            <w:r>
              <w:rPr>
                <w:rFonts w:hint="default" w:ascii="Times New Roman" w:hAnsi="Times New Roman" w:eastAsia="宋体" w:cs="Times New Roman"/>
                <w:b/>
                <w:bCs/>
                <w:szCs w:val="24"/>
              </w:rPr>
              <w:t>表1</w:t>
            </w:r>
            <w:r>
              <w:rPr>
                <w:rFonts w:hint="default" w:ascii="Times New Roman" w:hAnsi="Times New Roman" w:eastAsia="宋体" w:cs="Times New Roman"/>
                <w:b/>
                <w:bCs/>
                <w:szCs w:val="24"/>
                <w:lang w:val="en-US" w:eastAsia="zh-CN"/>
              </w:rPr>
              <w:t>-2</w:t>
            </w:r>
            <w:r>
              <w:rPr>
                <w:rFonts w:hint="default" w:ascii="Times New Roman" w:hAnsi="Times New Roman" w:eastAsia="宋体" w:cs="Times New Roman"/>
                <w:b/>
                <w:bCs/>
                <w:szCs w:val="24"/>
              </w:rPr>
              <w:t xml:space="preserve"> 与第七师“三线一单”生态环境准入清单符合性分析结果</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618"/>
              <w:gridCol w:w="596"/>
              <w:gridCol w:w="354"/>
              <w:gridCol w:w="3014"/>
              <w:gridCol w:w="2148"/>
              <w:gridCol w:w="588"/>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tblHeader/>
                <w:jc w:val="center"/>
              </w:trPr>
              <w:tc>
                <w:tcPr>
                  <w:tcW w:w="422"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407"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清单类型</w:t>
                  </w:r>
                </w:p>
              </w:tc>
              <w:tc>
                <w:tcPr>
                  <w:tcW w:w="2301" w:type="pct"/>
                  <w:gridSpan w:val="2"/>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管控要求</w:t>
                  </w:r>
                </w:p>
              </w:tc>
              <w:tc>
                <w:tcPr>
                  <w:tcW w:w="1467"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本工程</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restar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1</w:t>
                  </w:r>
                </w:p>
              </w:tc>
              <w:tc>
                <w:tcPr>
                  <w:tcW w:w="407" w:type="pct"/>
                  <w:vMerge w:val="restar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空间布局约束</w:t>
                  </w:r>
                </w:p>
              </w:tc>
              <w:tc>
                <w:tcPr>
                  <w:tcW w:w="241" w:type="pct"/>
                  <w:vMerge w:val="restar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kern w:val="0"/>
                      <w:sz w:val="21"/>
                      <w:szCs w:val="21"/>
                    </w:rPr>
                    <w:t>禁止类</w:t>
                  </w: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b/>
                      <w:bCs/>
                      <w:sz w:val="21"/>
                      <w:szCs w:val="21"/>
                    </w:rPr>
                  </w:pPr>
                  <w:r>
                    <w:rPr>
                      <w:rFonts w:hint="default" w:ascii="Times New Roman" w:hAnsi="Times New Roman" w:eastAsia="宋体" w:cs="Times New Roman"/>
                      <w:kern w:val="0"/>
                      <w:sz w:val="21"/>
                      <w:szCs w:val="21"/>
                    </w:rPr>
                    <w:t>严格治理园区现有化工项目，提高化工项目入驻标准，重点发展精细化工、新材料等新兴产业。禁止类产业有：《指导目录》中的淘汰类和《清单草案》中的禁止准入类，以及不具备区域资源禀赋条件、不符合所处重点生态功能区开发管制原则的限制类、允许类、鼓励类产业</w:t>
                  </w:r>
                </w:p>
              </w:tc>
              <w:tc>
                <w:tcPr>
                  <w:tcW w:w="1467" w:type="pct"/>
                  <w:noWrap w:val="0"/>
                  <w:vAlign w:val="center"/>
                </w:tcPr>
                <w:p>
                  <w:pPr>
                    <w:pStyle w:val="115"/>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根据《产业结构调整指导目录》（2024年本）：</w:t>
                  </w:r>
                  <w:r>
                    <w:rPr>
                      <w:rFonts w:hint="default" w:ascii="Times New Roman" w:hAnsi="Times New Roman" w:eastAsia="宋体" w:cs="Times New Roman"/>
                      <w:color w:val="000000" w:themeColor="text1"/>
                      <w:kern w:val="0"/>
                      <w:sz w:val="21"/>
                      <w:szCs w:val="21"/>
                      <w14:textFill>
                        <w14:solidFill>
                          <w14:schemeClr w14:val="tx1"/>
                        </w14:solidFill>
                      </w14:textFill>
                    </w:rPr>
                    <w:t>本项目为水泥制品制造行业，不属于鼓励类、限制类和淘汰类建设项目。根据国务院关于发布实施《促进产业结构调整暂行规定》的决定第三章产业结构调整指导目录第十三条“不属于鼓励类、限制类 和淘汰类，且符合国家有关法律、法规和政策规定的，视为允许类”，本项目为允许类建设项目</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b/>
                      <w:bCs/>
                      <w:sz w:val="21"/>
                      <w:szCs w:val="21"/>
                    </w:rPr>
                  </w:pPr>
                  <w:r>
                    <w:rPr>
                      <w:rFonts w:hint="default" w:ascii="Times New Roman" w:hAnsi="Times New Roman" w:eastAsia="宋体" w:cs="Times New Roman"/>
                      <w:kern w:val="0"/>
                      <w:sz w:val="21"/>
                      <w:szCs w:val="21"/>
                    </w:rPr>
                    <w:t>禁止新建或扩建棉浆粕生产项目；禁止在《关于促进新疆纺织服装产业健康可持续发展的指导意见》（新政发〔2017〕155号）布局要求以外建设印染项目；禁止新建使用禁用的直接染料（冰染色基包括C.I.冰染色基11、C.I.冰染色基48、C.I.冰染色基112、C.I冰染色基113等）进行棉印染精加工的印染项目</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bookmarkStart w:id="4" w:name="_Hlk157419664"/>
                  <w:r>
                    <w:rPr>
                      <w:rFonts w:hint="default" w:ascii="Times New Roman" w:hAnsi="Times New Roman" w:eastAsia="宋体" w:cs="Times New Roman"/>
                      <w:kern w:val="0"/>
                      <w:sz w:val="21"/>
                      <w:szCs w:val="21"/>
                    </w:rPr>
                    <w:t>本项目为</w:t>
                  </w:r>
                  <w:bookmarkEnd w:id="4"/>
                  <w:r>
                    <w:rPr>
                      <w:rFonts w:hint="default" w:ascii="Times New Roman" w:hAnsi="Times New Roman" w:eastAsia="宋体" w:cs="Times New Roman"/>
                      <w:color w:val="000000" w:themeColor="text1"/>
                      <w:kern w:val="0"/>
                      <w:sz w:val="21"/>
                      <w:szCs w:val="21"/>
                      <w14:textFill>
                        <w14:solidFill>
                          <w14:schemeClr w14:val="tx1"/>
                        </w14:solidFill>
                      </w14:textFill>
                    </w:rPr>
                    <w:t>水泥制品制造行业</w:t>
                  </w:r>
                  <w:r>
                    <w:rPr>
                      <w:rFonts w:hint="default" w:ascii="Times New Roman" w:hAnsi="Times New Roman" w:eastAsia="宋体" w:cs="Times New Roman"/>
                      <w:kern w:val="0"/>
                      <w:sz w:val="21"/>
                      <w:szCs w:val="21"/>
                    </w:rPr>
                    <w:t>，不属于棉浆粕生产项目</w:t>
                  </w:r>
                  <w:r>
                    <w:rPr>
                      <w:rFonts w:hint="eastAsia" w:cs="Times New Roman"/>
                      <w:kern w:val="0"/>
                      <w:sz w:val="21"/>
                      <w:szCs w:val="21"/>
                      <w:lang w:eastAsia="zh-CN"/>
                    </w:rPr>
                    <w:t>、</w:t>
                  </w:r>
                  <w:r>
                    <w:rPr>
                      <w:rFonts w:hint="default" w:ascii="Times New Roman" w:hAnsi="Times New Roman" w:eastAsia="宋体" w:cs="Times New Roman"/>
                      <w:kern w:val="0"/>
                      <w:sz w:val="21"/>
                      <w:szCs w:val="21"/>
                    </w:rPr>
                    <w:t>印染项目。</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b/>
                      <w:bCs/>
                      <w:sz w:val="21"/>
                      <w:szCs w:val="21"/>
                    </w:rPr>
                  </w:pPr>
                  <w:r>
                    <w:rPr>
                      <w:rFonts w:hint="default" w:ascii="Times New Roman" w:hAnsi="Times New Roman" w:eastAsia="宋体" w:cs="Times New Roman"/>
                      <w:kern w:val="0"/>
                      <w:sz w:val="21"/>
                      <w:szCs w:val="21"/>
                    </w:rPr>
                    <w:t>劳动力密集型的非化工企业不得与化工企业混建在同一园区内</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本项目为</w:t>
                  </w:r>
                  <w:r>
                    <w:rPr>
                      <w:rFonts w:hint="default" w:ascii="Times New Roman" w:hAnsi="Times New Roman" w:eastAsia="宋体" w:cs="Times New Roman"/>
                      <w:color w:val="000000" w:themeColor="text1"/>
                      <w:kern w:val="0"/>
                      <w:sz w:val="21"/>
                      <w:szCs w:val="21"/>
                      <w14:textFill>
                        <w14:solidFill>
                          <w14:schemeClr w14:val="tx1"/>
                        </w14:solidFill>
                      </w14:textFill>
                    </w:rPr>
                    <w:t>水泥制品制造行业</w:t>
                  </w:r>
                  <w:r>
                    <w:rPr>
                      <w:rFonts w:hint="default" w:ascii="Times New Roman" w:hAnsi="Times New Roman" w:eastAsia="宋体" w:cs="Times New Roman"/>
                      <w:kern w:val="0"/>
                      <w:sz w:val="21"/>
                      <w:szCs w:val="21"/>
                    </w:rPr>
                    <w:t>，不属于</w:t>
                  </w:r>
                  <w:r>
                    <w:rPr>
                      <w:rFonts w:hint="default" w:ascii="Times New Roman" w:hAnsi="Times New Roman" w:eastAsia="宋体" w:cs="Times New Roman"/>
                      <w:kern w:val="0"/>
                      <w:sz w:val="21"/>
                      <w:szCs w:val="21"/>
                      <w:lang w:val="en-US" w:eastAsia="zh-CN"/>
                    </w:rPr>
                    <w:t>混建</w:t>
                  </w:r>
                  <w:r>
                    <w:rPr>
                      <w:rFonts w:hint="default" w:ascii="Times New Roman" w:hAnsi="Times New Roman" w:eastAsia="宋体" w:cs="Times New Roman"/>
                      <w:kern w:val="0"/>
                      <w:sz w:val="21"/>
                      <w:szCs w:val="21"/>
                    </w:rPr>
                    <w:t>。</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restar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限制类</w:t>
                  </w: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限制类产业有：《指导目录》中的限制类和《清单草案》中的限制准入类（已列入清单禁止类的产业除外），以及与所处重点生态功能区发展方向和开发管制原则不相符合的允许类、鼓励类产业</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本项目为</w:t>
                  </w:r>
                  <w:r>
                    <w:rPr>
                      <w:rFonts w:hint="default" w:ascii="Times New Roman" w:hAnsi="Times New Roman" w:eastAsia="宋体" w:cs="Times New Roman"/>
                      <w:color w:val="000000" w:themeColor="text1"/>
                      <w:kern w:val="0"/>
                      <w:sz w:val="21"/>
                      <w:szCs w:val="21"/>
                      <w14:textFill>
                        <w14:solidFill>
                          <w14:schemeClr w14:val="tx1"/>
                        </w14:solidFill>
                      </w14:textFill>
                    </w:rPr>
                    <w:t>水泥制品制造行业</w:t>
                  </w:r>
                  <w:r>
                    <w:rPr>
                      <w:rFonts w:hint="default" w:ascii="Times New Roman" w:hAnsi="Times New Roman" w:eastAsia="宋体" w:cs="Times New Roman"/>
                      <w:kern w:val="0"/>
                      <w:sz w:val="21"/>
                      <w:szCs w:val="21"/>
                    </w:rPr>
                    <w:t>，属于</w:t>
                  </w:r>
                  <w:r>
                    <w:rPr>
                      <w:rFonts w:hint="default" w:ascii="Times New Roman" w:hAnsi="Times New Roman" w:eastAsia="宋体" w:cs="Times New Roman"/>
                      <w:kern w:val="0"/>
                      <w:sz w:val="21"/>
                      <w:szCs w:val="21"/>
                      <w:lang w:val="en-US" w:eastAsia="zh-CN"/>
                    </w:rPr>
                    <w:t>允许类产业</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对于高耗能项目，必须实行能源及环境评估，其指标不得高于同行业能耗标准值</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本工程实行能源及环境评估，其指标不高于同行业能耗标准值。</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劳动力密集型的非化工企业与化工企业应分区建设</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本工程位于南园区南区。</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合理产业布局，优化资源配置，将污染相对较大的工业项目布局在北区，远离胡杨河市</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本工程位于</w:t>
                  </w:r>
                  <w:r>
                    <w:rPr>
                      <w:rFonts w:hint="default" w:ascii="Times New Roman" w:hAnsi="Times New Roman" w:eastAsia="宋体" w:cs="Times New Roman"/>
                      <w:kern w:val="0"/>
                      <w:sz w:val="21"/>
                      <w:szCs w:val="21"/>
                    </w:rPr>
                    <w:t>南园区，本工程属于</w:t>
                  </w:r>
                  <w:r>
                    <w:rPr>
                      <w:rFonts w:hint="default" w:ascii="Times New Roman" w:hAnsi="Times New Roman" w:eastAsia="宋体" w:cs="Times New Roman"/>
                      <w:color w:val="000000" w:themeColor="text1"/>
                      <w:kern w:val="0"/>
                      <w:sz w:val="21"/>
                      <w:szCs w:val="21"/>
                      <w14:textFill>
                        <w14:solidFill>
                          <w14:schemeClr w14:val="tx1"/>
                        </w14:solidFill>
                      </w14:textFill>
                    </w:rPr>
                    <w:t>水泥制品制造行业</w:t>
                  </w:r>
                  <w:r>
                    <w:rPr>
                      <w:rFonts w:hint="default" w:ascii="Times New Roman" w:hAnsi="Times New Roman" w:eastAsia="宋体" w:cs="Times New Roman"/>
                      <w:kern w:val="0"/>
                      <w:sz w:val="21"/>
                      <w:szCs w:val="21"/>
                    </w:rPr>
                    <w:t>，污染相对较小。</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棉浆粕、粘胶纤维项目卫生防护距离通过环境影响评价计算确定，棉纺、印染项目卫生防护距离执行《纺织业卫生防护距离第1部分：棉、化纤纺织及印染精加工业》（GB18080.1）。项目卫生防护距离内不得规划、建设居民区、学校、医院等环境敏感目标，对于已存在的环境敏感目标要采取合理措施加以保护</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本项目为</w:t>
                  </w:r>
                  <w:r>
                    <w:rPr>
                      <w:rFonts w:hint="default" w:ascii="Times New Roman" w:hAnsi="Times New Roman" w:eastAsia="宋体" w:cs="Times New Roman"/>
                      <w:color w:val="000000" w:themeColor="text1"/>
                      <w:kern w:val="0"/>
                      <w:sz w:val="21"/>
                      <w:szCs w:val="21"/>
                      <w14:textFill>
                        <w14:solidFill>
                          <w14:schemeClr w14:val="tx1"/>
                        </w14:solidFill>
                      </w14:textFill>
                    </w:rPr>
                    <w:t>水泥制品制造行业</w:t>
                  </w:r>
                  <w:r>
                    <w:rPr>
                      <w:rFonts w:hint="default" w:ascii="Times New Roman" w:hAnsi="Times New Roman" w:eastAsia="宋体" w:cs="Times New Roman"/>
                      <w:kern w:val="0"/>
                      <w:sz w:val="21"/>
                      <w:szCs w:val="21"/>
                    </w:rPr>
                    <w:t>，不属于印染项目，不属于印染项目。</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restar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鼓励类</w:t>
                  </w: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围绕交通运输、轻工纺织、化学建材、电子信息产业等行业积极开发化工新材料；发展精细化工产业</w:t>
                  </w:r>
                </w:p>
              </w:tc>
              <w:tc>
                <w:tcPr>
                  <w:tcW w:w="1467" w:type="pct"/>
                  <w:noWrap w:val="0"/>
                  <w:vAlign w:val="top"/>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本项目为</w:t>
                  </w:r>
                  <w:r>
                    <w:rPr>
                      <w:rFonts w:hint="default" w:ascii="Times New Roman" w:hAnsi="Times New Roman" w:eastAsia="宋体" w:cs="Times New Roman"/>
                      <w:color w:val="000000" w:themeColor="text1"/>
                      <w:kern w:val="0"/>
                      <w:sz w:val="21"/>
                      <w:szCs w:val="21"/>
                      <w14:textFill>
                        <w14:solidFill>
                          <w14:schemeClr w14:val="tx1"/>
                        </w14:solidFill>
                      </w14:textFill>
                    </w:rPr>
                    <w:t>水泥制品制造行业</w:t>
                  </w:r>
                  <w:r>
                    <w:rPr>
                      <w:rFonts w:hint="default" w:ascii="Times New Roman" w:hAnsi="Times New Roman" w:eastAsia="宋体" w:cs="Times New Roman"/>
                      <w:kern w:val="0"/>
                      <w:sz w:val="21"/>
                      <w:szCs w:val="21"/>
                    </w:rPr>
                    <w:t>，属于</w:t>
                  </w:r>
                  <w:r>
                    <w:rPr>
                      <w:rFonts w:hint="default" w:ascii="Times New Roman" w:hAnsi="Times New Roman" w:eastAsia="宋体" w:cs="Times New Roman"/>
                      <w:kern w:val="0"/>
                      <w:sz w:val="21"/>
                      <w:szCs w:val="21"/>
                      <w:lang w:val="en-US" w:eastAsia="zh-CN"/>
                    </w:rPr>
                    <w:t>建材行业</w:t>
                  </w:r>
                  <w:r>
                    <w:rPr>
                      <w:rFonts w:hint="default" w:ascii="Times New Roman" w:hAnsi="Times New Roman" w:eastAsia="宋体" w:cs="Times New Roman"/>
                      <w:kern w:val="0"/>
                      <w:sz w:val="21"/>
                      <w:szCs w:val="21"/>
                    </w:rPr>
                    <w:t>。</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加快发展合成纤维。积极发展多功能纤维和生物质纤维。全力发展服装、家纺、针织产业，加快培育产业用纺织品产业</w:t>
                  </w:r>
                </w:p>
              </w:tc>
              <w:tc>
                <w:tcPr>
                  <w:tcW w:w="1467" w:type="pct"/>
                  <w:noWrap w:val="0"/>
                  <w:vAlign w:val="top"/>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本项目为</w:t>
                  </w:r>
                  <w:r>
                    <w:rPr>
                      <w:rFonts w:hint="default" w:ascii="Times New Roman" w:hAnsi="Times New Roman" w:eastAsia="宋体" w:cs="Times New Roman"/>
                      <w:color w:val="000000" w:themeColor="text1"/>
                      <w:kern w:val="0"/>
                      <w:sz w:val="21"/>
                      <w:szCs w:val="21"/>
                      <w14:textFill>
                        <w14:solidFill>
                          <w14:schemeClr w14:val="tx1"/>
                        </w14:solidFill>
                      </w14:textFill>
                    </w:rPr>
                    <w:t>水泥制品制造行业</w:t>
                  </w:r>
                  <w:r>
                    <w:rPr>
                      <w:rFonts w:hint="default" w:ascii="Times New Roman" w:hAnsi="Times New Roman" w:eastAsia="宋体" w:cs="Times New Roman"/>
                      <w:kern w:val="0"/>
                      <w:sz w:val="21"/>
                      <w:szCs w:val="21"/>
                    </w:rPr>
                    <w:t>，属于</w:t>
                  </w:r>
                  <w:r>
                    <w:rPr>
                      <w:rFonts w:hint="default" w:ascii="Times New Roman" w:hAnsi="Times New Roman" w:eastAsia="宋体" w:cs="Times New Roman"/>
                      <w:kern w:val="0"/>
                      <w:sz w:val="21"/>
                      <w:szCs w:val="21"/>
                      <w:lang w:val="en-US" w:eastAsia="zh-CN"/>
                    </w:rPr>
                    <w:t>建材行业</w:t>
                  </w:r>
                  <w:r>
                    <w:rPr>
                      <w:rFonts w:hint="default" w:ascii="Times New Roman" w:hAnsi="Times New Roman" w:eastAsia="宋体" w:cs="Times New Roman"/>
                      <w:kern w:val="0"/>
                      <w:sz w:val="21"/>
                      <w:szCs w:val="21"/>
                    </w:rPr>
                    <w:t>。</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化工园区内凡存在重大事故隐患、生产工艺技术落后、不具备安全生产条件的企业，责令停产整顿，整改无望的或整改后仍不能达到要求的企业，应依法予以关闭</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本工程生产工艺属于国内先进水平</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restar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07" w:type="pct"/>
                  <w:vMerge w:val="restart"/>
                  <w:noWrap w:val="0"/>
                  <w:vAlign w:val="center"/>
                </w:tcPr>
                <w:p>
                  <w:pPr>
                    <w:pStyle w:val="115"/>
                    <w:adjustRightInd w:val="0"/>
                    <w:snapToGrid w:val="0"/>
                    <w:spacing w:line="240" w:lineRule="atLeas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污染物排放管控</w:t>
                  </w:r>
                </w:p>
              </w:tc>
              <w:tc>
                <w:tcPr>
                  <w:tcW w:w="241" w:type="pct"/>
                  <w:vMerge w:val="restart"/>
                  <w:noWrap w:val="0"/>
                  <w:vAlign w:val="center"/>
                </w:tcPr>
                <w:p>
                  <w:pPr>
                    <w:autoSpaceDE w:val="0"/>
                    <w:autoSpaceDN w:val="0"/>
                    <w:adjustRightInd w:val="0"/>
                    <w:snapToGrid w:val="0"/>
                    <w:spacing w:line="240" w:lineRule="atLeas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废水处理</w:t>
                  </w:r>
                </w:p>
              </w:tc>
              <w:tc>
                <w:tcPr>
                  <w:tcW w:w="2059" w:type="pct"/>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企业预处理达标废水经园区污水处理厂和中水厂处理满足中水回用标准，用于企业循环冷却、园区绿化、洒水降尘等</w:t>
                  </w:r>
                </w:p>
              </w:tc>
              <w:tc>
                <w:tcPr>
                  <w:tcW w:w="1467" w:type="pct"/>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本项目生产废水</w:t>
                  </w:r>
                  <w:r>
                    <w:rPr>
                      <w:rFonts w:hint="default" w:ascii="Times New Roman" w:hAnsi="Times New Roman" w:eastAsia="宋体" w:cs="Times New Roman"/>
                      <w:sz w:val="21"/>
                      <w:szCs w:val="21"/>
                      <w:lang w:val="en-US" w:eastAsia="zh-CN"/>
                    </w:rPr>
                    <w:t>循环利用</w:t>
                  </w:r>
                  <w:r>
                    <w:rPr>
                      <w:rFonts w:hint="default" w:ascii="Times New Roman" w:hAnsi="Times New Roman" w:eastAsia="宋体" w:cs="Times New Roman"/>
                      <w:sz w:val="21"/>
                      <w:szCs w:val="21"/>
                    </w:rPr>
                    <w:t>，生活污水经污水</w:t>
                  </w:r>
                  <w:r>
                    <w:rPr>
                      <w:rFonts w:hint="default" w:ascii="Times New Roman" w:hAnsi="Times New Roman" w:eastAsia="宋体" w:cs="Times New Roman"/>
                      <w:sz w:val="21"/>
                      <w:szCs w:val="21"/>
                      <w:lang w:val="en-US" w:eastAsia="zh-CN"/>
                    </w:rPr>
                    <w:t>管网</w:t>
                  </w:r>
                  <w:r>
                    <w:rPr>
                      <w:rFonts w:hint="default" w:ascii="Times New Roman" w:hAnsi="Times New Roman" w:eastAsia="宋体" w:cs="Times New Roman"/>
                      <w:sz w:val="21"/>
                      <w:szCs w:val="21"/>
                    </w:rPr>
                    <w:t>排入园区污水处理厂，不排入外环境</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autoSpaceDE w:val="0"/>
                    <w:autoSpaceDN w:val="0"/>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各企业按清污分流原则建立完善的排水系统和事故池，严禁将高浓度废水稀释排放。选择节水工艺，鼓励一水多用，减少废水排放</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本项目生产废水</w:t>
                  </w:r>
                  <w:r>
                    <w:rPr>
                      <w:rFonts w:hint="default" w:ascii="Times New Roman" w:hAnsi="Times New Roman" w:eastAsia="宋体" w:cs="Times New Roman"/>
                      <w:sz w:val="21"/>
                      <w:szCs w:val="21"/>
                      <w:lang w:val="en-US" w:eastAsia="zh-CN"/>
                    </w:rPr>
                    <w:t>循环利用</w:t>
                  </w:r>
                  <w:r>
                    <w:rPr>
                      <w:rFonts w:hint="default" w:ascii="Times New Roman" w:hAnsi="Times New Roman" w:eastAsia="宋体" w:cs="Times New Roman"/>
                      <w:sz w:val="21"/>
                      <w:szCs w:val="21"/>
                    </w:rPr>
                    <w:t>，生活污水经污水</w:t>
                  </w:r>
                  <w:r>
                    <w:rPr>
                      <w:rFonts w:hint="default" w:ascii="Times New Roman" w:hAnsi="Times New Roman" w:eastAsia="宋体" w:cs="Times New Roman"/>
                      <w:sz w:val="21"/>
                      <w:szCs w:val="21"/>
                      <w:lang w:val="en-US" w:eastAsia="zh-CN"/>
                    </w:rPr>
                    <w:t>管网</w:t>
                  </w:r>
                  <w:r>
                    <w:rPr>
                      <w:rFonts w:hint="default" w:ascii="Times New Roman" w:hAnsi="Times New Roman" w:eastAsia="宋体" w:cs="Times New Roman"/>
                      <w:sz w:val="21"/>
                      <w:szCs w:val="21"/>
                    </w:rPr>
                    <w:t>排入园区污水处理厂，不排入外环境</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autoSpaceDE w:val="0"/>
                    <w:autoSpaceDN w:val="0"/>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新入驻企业场内必须设置污水处理及中水回用及消防设施装置。</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本工程拟建生产废水污水处理设施。</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restart"/>
                  <w:noWrap w:val="0"/>
                  <w:vAlign w:val="center"/>
                </w:tcPr>
                <w:p>
                  <w:pPr>
                    <w:autoSpaceDE w:val="0"/>
                    <w:autoSpaceDN w:val="0"/>
                    <w:adjustRightInd w:val="0"/>
                    <w:snapToGrid w:val="0"/>
                    <w:spacing w:line="240" w:lineRule="atLeas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废气处理</w:t>
                  </w:r>
                </w:p>
              </w:tc>
              <w:tc>
                <w:tcPr>
                  <w:tcW w:w="2059" w:type="pct"/>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严格控制有毒和有害气体的排放，并对有毒和有害气体排放实施在线自动检测仪监控。各装置反应尾气排放气、紧急事故排放气、罐区低压排放气等视其情况或送入各装置的火炬系统、焚烧炉或进入燃料气系统回收利用。煤化工项目采用高效的除尘设备</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本项目生产废气经处理后达标排放</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autoSpaceDE w:val="0"/>
                    <w:autoSpaceDN w:val="0"/>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加强对企业的粉尘、烟尘污染治理。开展金属制品业酸雾等工艺废气污染控制与治理，提升行业装备水平，完善废气收集系统，减少无组织排放，做到工艺废气排放浓度和厂界浓度双达标</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原料堆放区采用篷布遮盖、洒水、密闭厂房，筒仓粉尘经脉冲除尘器处理后无组织排放，搅拌、混料粉尘经布袋除尘器处理后无组织排放，编笼焊接烟气经移动式焊烟净化器处理后无组织排放</w:t>
                  </w:r>
                  <w:r>
                    <w:rPr>
                      <w:rFonts w:hint="default" w:ascii="Times New Roman" w:hAnsi="Times New Roman" w:eastAsia="宋体" w:cs="Times New Roman"/>
                      <w:color w:val="000000" w:themeColor="text1"/>
                      <w:sz w:val="21"/>
                      <w:szCs w:val="21"/>
                      <w:lang w:bidi="ar"/>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燃气锅炉经低氮燃烧器处理后由8m高排气筒排放</w:t>
                  </w:r>
                  <w:r>
                    <w:rPr>
                      <w:rFonts w:hint="eastAsia" w:cs="Times New Roman" w:eastAsiaTheme="minorEastAsia"/>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bidi="ar"/>
                      <w14:textFill>
                        <w14:solidFill>
                          <w14:schemeClr w14:val="tx1"/>
                        </w14:solidFill>
                      </w14:textFill>
                    </w:rPr>
                    <w:t>本项目产生的颗粒物、二氧化硫、</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氮氧化物</w:t>
                  </w:r>
                  <w:r>
                    <w:rPr>
                      <w:rFonts w:hint="default" w:ascii="Times New Roman" w:hAnsi="Times New Roman" w:eastAsia="宋体" w:cs="Times New Roman"/>
                      <w:color w:val="000000" w:themeColor="text1"/>
                      <w:sz w:val="21"/>
                      <w:szCs w:val="21"/>
                      <w:lang w:bidi="ar"/>
                      <w14:textFill>
                        <w14:solidFill>
                          <w14:schemeClr w14:val="tx1"/>
                        </w14:solidFill>
                      </w14:textFill>
                    </w:rPr>
                    <w:t>均采取了相应的污染防治</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措施</w:t>
                  </w:r>
                  <w:r>
                    <w:rPr>
                      <w:rFonts w:hint="default" w:ascii="Times New Roman" w:hAnsi="Times New Roman" w:eastAsia="宋体" w:cs="Times New Roman"/>
                      <w:color w:val="000000" w:themeColor="text1"/>
                      <w:sz w:val="21"/>
                      <w:szCs w:val="21"/>
                      <w:lang w:bidi="ar"/>
                      <w14:textFill>
                        <w14:solidFill>
                          <w14:schemeClr w14:val="tx1"/>
                        </w14:solidFill>
                      </w14:textFill>
                    </w:rPr>
                    <w:t>，产生的各类废气均可实现达标排放</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autoSpaceDE w:val="0"/>
                    <w:autoSpaceDN w:val="0"/>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般固体废物实行综合利用，对不可综合利用的一般固体废物，应送往一般工业固体废物处理处置场所，进行安全填埋处置。园区产生的危险固体废弃物主要包括少量废旧催化剂、高沸物，污水处理装置产生的污泥，外送委托有相关危险废物处理资质的企业进行安全处置。在园区内建设危险废物临时贮存库，并进行防渗和排水设计。按照国家有关规定办理危险废物申报转移的“五联单”手续，并在贮运过程中严格执行危险化学品贮存、运输和监管的有关规定</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本工程产生的</w:t>
                  </w:r>
                  <w:r>
                    <w:rPr>
                      <w:rFonts w:hint="default" w:ascii="Times New Roman" w:hAnsi="Times New Roman" w:eastAsia="宋体" w:cs="Times New Roman"/>
                      <w:kern w:val="0"/>
                      <w:sz w:val="21"/>
                      <w:szCs w:val="21"/>
                    </w:rPr>
                    <w:t>一般固体废物进行综合利用。</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41" w:type="pct"/>
                  <w:vMerge w:val="continue"/>
                  <w:noWrap w:val="0"/>
                  <w:vAlign w:val="center"/>
                </w:tcPr>
                <w:p>
                  <w:pPr>
                    <w:autoSpaceDE w:val="0"/>
                    <w:autoSpaceDN w:val="0"/>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2059" w:type="pct"/>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大力推进一般工业固体废物的减量化、资源化和无害化工作。园区一般固体废物综合利用率不低于60%，对于无法综合利用的固体废物，在区外建设填埋场填埋</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本工程产生的</w:t>
                  </w:r>
                  <w:r>
                    <w:rPr>
                      <w:rFonts w:hint="default" w:ascii="Times New Roman" w:hAnsi="Times New Roman" w:eastAsia="宋体" w:cs="Times New Roman"/>
                      <w:kern w:val="0"/>
                      <w:sz w:val="21"/>
                      <w:szCs w:val="21"/>
                    </w:rPr>
                    <w:t>一般固体废物进行综合利用，利用率100%</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restar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407" w:type="pct"/>
                  <w:vMerge w:val="restar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环境风险防控</w:t>
                  </w:r>
                </w:p>
              </w:tc>
              <w:tc>
                <w:tcPr>
                  <w:tcW w:w="2301" w:type="pct"/>
                  <w:gridSpan w:val="2"/>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易燃易爆的企业，自身要做好防护工作</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按照环评要求，落实环境风险防范措施，预防环境风险</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301" w:type="pct"/>
                  <w:gridSpan w:val="2"/>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企业存在重大安全隐患的，必须立即消除，消除前或消除过程中无法保证安全的，属地应急管理部门应依法责令暂时停产停业或者停止使用相关设施、设备</w:t>
                  </w:r>
                </w:p>
              </w:tc>
              <w:tc>
                <w:tcPr>
                  <w:tcW w:w="1467"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w:t>
                  </w:r>
                  <w:r>
                    <w:rPr>
                      <w:rFonts w:hint="eastAsia" w:cs="Times New Roman"/>
                      <w:sz w:val="21"/>
                      <w:szCs w:val="21"/>
                      <w:lang w:val="en-US" w:eastAsia="zh-CN"/>
                    </w:rPr>
                    <w:t>不</w:t>
                  </w:r>
                  <w:r>
                    <w:rPr>
                      <w:rFonts w:hint="default" w:ascii="Times New Roman" w:hAnsi="Times New Roman" w:eastAsia="宋体" w:cs="Times New Roman"/>
                      <w:sz w:val="21"/>
                      <w:szCs w:val="21"/>
                    </w:rPr>
                    <w:t>存在重大安全隐患</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restar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407" w:type="pct"/>
                  <w:vMerge w:val="restart"/>
                  <w:noWrap w:val="0"/>
                  <w:vAlign w:val="center"/>
                </w:tcPr>
                <w:p>
                  <w:pPr>
                    <w:pStyle w:val="115"/>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资源开发利用要求</w:t>
                  </w:r>
                </w:p>
              </w:tc>
              <w:tc>
                <w:tcPr>
                  <w:tcW w:w="2301" w:type="pct"/>
                  <w:gridSpan w:val="2"/>
                  <w:noWrap w:val="0"/>
                  <w:vAlign w:val="center"/>
                </w:tcPr>
                <w:p>
                  <w:pPr>
                    <w:pStyle w:val="53"/>
                    <w:snapToGrid w:val="0"/>
                    <w:spacing w:line="240" w:lineRule="atLeas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到2025年，工业固体废物综合利用率达到95%，工业用水重复利用率75%</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本工程一般工业固体废物综合利用率100%，工业用水重复利用率</w:t>
                  </w:r>
                  <w:r>
                    <w:rPr>
                      <w:rFonts w:hint="default" w:ascii="Times New Roman" w:hAnsi="Times New Roman" w:eastAsia="宋体" w:cs="Times New Roman"/>
                      <w:sz w:val="21"/>
                      <w:szCs w:val="21"/>
                      <w:lang w:val="en-US" w:eastAsia="zh-CN"/>
                    </w:rPr>
                    <w:t>100</w:t>
                  </w:r>
                  <w:r>
                    <w:rPr>
                      <w:rFonts w:hint="default" w:ascii="Times New Roman" w:hAnsi="Times New Roman" w:eastAsia="宋体" w:cs="Times New Roman"/>
                      <w:sz w:val="21"/>
                      <w:szCs w:val="21"/>
                    </w:rPr>
                    <w:t>%</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kern w:val="0"/>
                      <w:sz w:val="21"/>
                      <w:szCs w:val="21"/>
                    </w:rPr>
                  </w:pPr>
                </w:p>
              </w:tc>
              <w:tc>
                <w:tcPr>
                  <w:tcW w:w="407" w:type="pct"/>
                  <w:vMerge w:val="continue"/>
                  <w:noWrap w:val="0"/>
                  <w:vAlign w:val="center"/>
                </w:tcPr>
                <w:p>
                  <w:pPr>
                    <w:pStyle w:val="115"/>
                    <w:adjustRightInd w:val="0"/>
                    <w:snapToGrid w:val="0"/>
                    <w:spacing w:line="240" w:lineRule="atLeast"/>
                    <w:ind w:firstLine="0" w:firstLineChars="0"/>
                    <w:rPr>
                      <w:rFonts w:hint="default" w:ascii="Times New Roman" w:hAnsi="Times New Roman" w:eastAsia="宋体" w:cs="Times New Roman"/>
                      <w:kern w:val="0"/>
                      <w:sz w:val="21"/>
                      <w:szCs w:val="21"/>
                    </w:rPr>
                  </w:pPr>
                </w:p>
              </w:tc>
              <w:tc>
                <w:tcPr>
                  <w:tcW w:w="2301" w:type="pct"/>
                  <w:gridSpan w:val="2"/>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到2025年，园区绿化覆盖率达到15%。合理利用土地，提高土地使用效率</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本工程绿化率为15%，厂区布置满足规划条件的要求</w:t>
                  </w:r>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22"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407" w:type="pct"/>
                  <w:vMerge w:val="continue"/>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p>
              </w:tc>
              <w:tc>
                <w:tcPr>
                  <w:tcW w:w="2301" w:type="pct"/>
                  <w:gridSpan w:val="2"/>
                  <w:noWrap w:val="0"/>
                  <w:vAlign w:val="center"/>
                </w:tcPr>
                <w:p>
                  <w:pPr>
                    <w:autoSpaceDE w:val="0"/>
                    <w:autoSpaceDN w:val="0"/>
                    <w:adjustRightInd w:val="0"/>
                    <w:snapToGrid w:val="0"/>
                    <w:spacing w:line="240" w:lineRule="atLeast"/>
                    <w:ind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加大环境保护政策实施力度，到2035年使园区工业用水循环利用率达到80%</w:t>
                  </w:r>
                </w:p>
              </w:tc>
              <w:tc>
                <w:tcPr>
                  <w:tcW w:w="1467" w:type="pct"/>
                  <w:noWrap w:val="0"/>
                  <w:vAlign w:val="center"/>
                </w:tcPr>
                <w:p>
                  <w:pPr>
                    <w:pStyle w:val="115"/>
                    <w:adjustRightInd w:val="0"/>
                    <w:snapToGrid w:val="0"/>
                    <w:spacing w:line="240" w:lineRule="atLeast"/>
                    <w:ind w:firstLine="0" w:firstLineChars="0"/>
                    <w:jc w:val="both"/>
                    <w:rPr>
                      <w:rFonts w:hint="default" w:ascii="Times New Roman" w:hAnsi="Times New Roman" w:eastAsia="宋体" w:cs="Times New Roman"/>
                      <w:sz w:val="21"/>
                      <w:szCs w:val="21"/>
                    </w:rPr>
                  </w:pPr>
                  <w:bookmarkStart w:id="5" w:name="_Hlk157419809"/>
                  <w:r>
                    <w:rPr>
                      <w:rFonts w:hint="default" w:ascii="Times New Roman" w:hAnsi="Times New Roman" w:eastAsia="宋体" w:cs="Times New Roman"/>
                      <w:sz w:val="21"/>
                      <w:szCs w:val="21"/>
                    </w:rPr>
                    <w:t>本项目工业用水重复循环利用率</w:t>
                  </w:r>
                  <w:r>
                    <w:rPr>
                      <w:rFonts w:hint="default" w:ascii="Times New Roman" w:hAnsi="Times New Roman" w:eastAsia="宋体" w:cs="Times New Roman"/>
                      <w:sz w:val="21"/>
                      <w:szCs w:val="21"/>
                      <w:lang w:val="en-US" w:eastAsia="zh-CN"/>
                    </w:rPr>
                    <w:t>100</w:t>
                  </w:r>
                  <w:r>
                    <w:rPr>
                      <w:rFonts w:hint="default" w:ascii="Times New Roman" w:hAnsi="Times New Roman" w:eastAsia="宋体" w:cs="Times New Roman"/>
                      <w:sz w:val="21"/>
                      <w:szCs w:val="21"/>
                    </w:rPr>
                    <w:t>%。</w:t>
                  </w:r>
                  <w:bookmarkEnd w:id="5"/>
                </w:p>
              </w:tc>
              <w:tc>
                <w:tcPr>
                  <w:tcW w:w="401" w:type="pct"/>
                  <w:noWrap w:val="0"/>
                  <w:vAlign w:val="center"/>
                </w:tcPr>
                <w:p>
                  <w:pPr>
                    <w:pStyle w:val="115"/>
                    <w:adjustRightInd w:val="0"/>
                    <w:snapToGrid w:val="0"/>
                    <w:spacing w:line="24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综上，本项目建设符合“三线一单”要求。</w:t>
            </w:r>
          </w:p>
          <w:p>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rFonts w:hint="eastAsia"/>
                <w:b/>
                <w:bCs/>
                <w:color w:val="000000" w:themeColor="text1"/>
                <w:sz w:val="24"/>
                <w:lang w:eastAsia="zh-CN"/>
                <w14:textFill>
                  <w14:solidFill>
                    <w14:schemeClr w14:val="tx1"/>
                  </w14:solidFill>
                </w14:textFill>
              </w:rPr>
              <w:t>、</w:t>
            </w:r>
            <w:r>
              <w:rPr>
                <w:b/>
                <w:bCs/>
                <w:color w:val="000000" w:themeColor="text1"/>
                <w:sz w:val="24"/>
                <w14:textFill>
                  <w14:solidFill>
                    <w14:schemeClr w14:val="tx1"/>
                  </w14:solidFill>
                </w14:textFill>
              </w:rPr>
              <w:t>选址合理性分析</w:t>
            </w:r>
          </w:p>
          <w:p>
            <w:pPr>
              <w:keepNext w:val="0"/>
              <w:keepLines w:val="0"/>
              <w:pageBreakBefore w:val="0"/>
              <w:wordWrap/>
              <w:overflowPunct/>
              <w:topLinePunct w:val="0"/>
              <w:bidi w:val="0"/>
              <w:adjustRightInd w:val="0"/>
              <w:snapToGrid w:val="0"/>
              <w:spacing w:line="360" w:lineRule="auto"/>
              <w:ind w:firstLine="480" w:firstLineChars="200"/>
              <w:jc w:val="both"/>
              <w:rPr>
                <w:color w:val="000000" w:themeColor="text1"/>
                <w:spacing w:val="-6"/>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本项目位于胡杨河经济技术开发区南园区</w:t>
            </w:r>
            <w:r>
              <w:rPr>
                <w:rFonts w:hint="eastAsia"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周围无自然保护区、国家公园、风景名胜区、世界文化和自然遗产地、饮用水水源保护区、居民区、医院、学校等环境敏感目标；</w:t>
            </w:r>
            <w:r>
              <w:rPr>
                <w:rFonts w:hint="eastAsia"/>
                <w:color w:val="000000" w:themeColor="text1"/>
                <w:sz w:val="24"/>
                <w:lang w:val="en-US" w:eastAsia="zh-CN"/>
                <w14:textFill>
                  <w14:solidFill>
                    <w14:schemeClr w14:val="tx1"/>
                  </w14:solidFill>
                </w14:textFill>
              </w:rPr>
              <w:t>本项目产品为预应力混凝土管桩，属于新型建材产业，</w:t>
            </w:r>
            <w:r>
              <w:rPr>
                <w:rFonts w:hint="eastAsia"/>
                <w:color w:val="000000" w:themeColor="text1"/>
                <w:sz w:val="24"/>
                <w14:textFill>
                  <w14:solidFill>
                    <w14:schemeClr w14:val="tx1"/>
                  </w14:solidFill>
                </w14:textFill>
              </w:rPr>
              <w:t>基于建设管桩和光伏支架为基础，服务于</w:t>
            </w:r>
            <w:r>
              <w:rPr>
                <w:rFonts w:hint="eastAsia"/>
                <w:color w:val="000000" w:themeColor="text1"/>
                <w:sz w:val="24"/>
                <w:lang w:val="en-US" w:eastAsia="zh-CN"/>
                <w14:textFill>
                  <w14:solidFill>
                    <w14:schemeClr w14:val="tx1"/>
                  </w14:solidFill>
                </w14:textFill>
              </w:rPr>
              <w:t>周边</w:t>
            </w:r>
            <w:r>
              <w:rPr>
                <w:rFonts w:hint="eastAsia"/>
                <w:color w:val="000000" w:themeColor="text1"/>
                <w:sz w:val="24"/>
                <w14:textFill>
                  <w14:solidFill>
                    <w14:schemeClr w14:val="tx1"/>
                  </w14:solidFill>
                </w14:textFill>
              </w:rPr>
              <w:t>光伏发电行业</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项目建设符合园区产业定位，环境相容，项用地属于二类工业用地，符合项目所属行业用地要求和园区产业及用地布局，</w:t>
            </w:r>
            <w:r>
              <w:rPr>
                <w:rFonts w:hint="eastAsia" w:ascii="Times New Roman" w:hAnsi="Times New Roman" w:cs="Times New Roman"/>
                <w:color w:val="000000" w:themeColor="text1"/>
                <w:sz w:val="24"/>
                <w:szCs w:val="24"/>
                <w14:textFill>
                  <w14:solidFill>
                    <w14:schemeClr w14:val="tx1"/>
                  </w14:solidFill>
                </w14:textFill>
              </w:rPr>
              <w:t>其建设符胡杨河经济技术开发区南园区规划中的产业布局、用地规划等相关要求，园区依托工程可满足项目需求，同时也符合规划环评及其审查意见的要求；项目占地范围内野生动植物较少，建设建设对周围生态环境影响较小，项目产生的废气、噪声均可实现达标排放，废水和固体废物均可得到妥善处置，项目建设对周围环境影响在可接受范围内。综上所述，</w:t>
            </w:r>
            <w:r>
              <w:rPr>
                <w:rFonts w:hint="eastAsia"/>
                <w:color w:val="000000" w:themeColor="text1"/>
                <w:spacing w:val="-6"/>
                <w:sz w:val="24"/>
                <w:szCs w:val="24"/>
                <w14:textFill>
                  <w14:solidFill>
                    <w14:schemeClr w14:val="tx1"/>
                  </w14:solidFill>
                </w14:textFill>
              </w:rPr>
              <w:t>从环境保护角度分析，本项目选址是合理可行的。</w:t>
            </w:r>
          </w:p>
          <w:p>
            <w:pPr>
              <w:pStyle w:val="100"/>
              <w:keepNext w:val="0"/>
              <w:keepLines w:val="0"/>
              <w:pageBreakBefore w:val="0"/>
              <w:wordWrap/>
              <w:overflowPunct/>
              <w:topLinePunct w:val="0"/>
              <w:bidi w:val="0"/>
              <w:spacing w:line="360" w:lineRule="auto"/>
              <w:ind w:left="106" w:firstLine="482" w:firstLineChars="200"/>
              <w:jc w:val="both"/>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4、项目与《新疆生态环境保护“十四五”规划》的符合性分析</w:t>
            </w:r>
          </w:p>
          <w:p>
            <w:pPr>
              <w:pStyle w:val="100"/>
              <w:keepNext w:val="0"/>
              <w:keepLines w:val="0"/>
              <w:pageBreakBefore w:val="0"/>
              <w:wordWrap/>
              <w:overflowPunct/>
              <w:topLinePunct w:val="0"/>
              <w:bidi w:val="0"/>
              <w:spacing w:line="360" w:lineRule="auto"/>
              <w:ind w:left="109" w:right="22" w:firstLine="486"/>
              <w:jc w:val="both"/>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《新疆生态环境保护</w:t>
            </w:r>
            <w:r>
              <w:rPr>
                <w:rFonts w:ascii="Times New Roman" w:hAnsi="Times New Roman" w:eastAsia="Times New Roman" w:cs="Times New Roman"/>
                <w:color w:val="000000" w:themeColor="text1"/>
                <w:spacing w:val="2"/>
                <w:sz w:val="24"/>
                <w:szCs w:val="24"/>
                <w14:textFill>
                  <w14:solidFill>
                    <w14:schemeClr w14:val="tx1"/>
                  </w14:solidFill>
                </w14:textFill>
              </w:rPr>
              <w:t>“</w:t>
            </w:r>
            <w:r>
              <w:rPr>
                <w:color w:val="000000" w:themeColor="text1"/>
                <w:spacing w:val="2"/>
                <w:sz w:val="24"/>
                <w:szCs w:val="24"/>
                <w14:textFill>
                  <w14:solidFill>
                    <w14:schemeClr w14:val="tx1"/>
                  </w14:solidFill>
                </w14:textFill>
              </w:rPr>
              <w:t>十四五</w:t>
            </w:r>
            <w:r>
              <w:rPr>
                <w:rFonts w:ascii="Times New Roman" w:hAnsi="Times New Roman" w:eastAsia="Times New Roman" w:cs="Times New Roman"/>
                <w:color w:val="000000" w:themeColor="text1"/>
                <w:spacing w:val="2"/>
                <w:sz w:val="24"/>
                <w:szCs w:val="24"/>
                <w14:textFill>
                  <w14:solidFill>
                    <w14:schemeClr w14:val="tx1"/>
                  </w14:solidFill>
                </w14:textFill>
              </w:rPr>
              <w:t>”</w:t>
            </w:r>
            <w:r>
              <w:rPr>
                <w:color w:val="000000" w:themeColor="text1"/>
                <w:spacing w:val="2"/>
                <w:sz w:val="24"/>
                <w:szCs w:val="24"/>
                <w14:textFill>
                  <w14:solidFill>
                    <w14:schemeClr w14:val="tx1"/>
                  </w14:solidFill>
                </w14:textFill>
              </w:rPr>
              <w:t>规划》第五章加强</w:t>
            </w:r>
            <w:r>
              <w:rPr>
                <w:color w:val="000000" w:themeColor="text1"/>
                <w:spacing w:val="1"/>
                <w:sz w:val="24"/>
                <w:szCs w:val="24"/>
                <w14:textFill>
                  <w14:solidFill>
                    <w14:schemeClr w14:val="tx1"/>
                  </w14:solidFill>
                </w14:textFill>
              </w:rPr>
              <w:t>协同控制，改善大气环境，第三节持续推进涉气污染源治理：实施重点行业氮氧</w:t>
            </w:r>
            <w:r>
              <w:rPr>
                <w:color w:val="000000" w:themeColor="text1"/>
                <w:spacing w:val="-3"/>
                <w:sz w:val="24"/>
                <w:szCs w:val="24"/>
                <w14:textFill>
                  <w14:solidFill>
                    <w14:schemeClr w14:val="tx1"/>
                  </w14:solidFill>
                </w14:textFill>
              </w:rPr>
              <w:t>化物（以下简称</w:t>
            </w:r>
            <w:r>
              <w:rPr>
                <w:rFonts w:ascii="Times New Roman" w:hAnsi="Times New Roman" w:eastAsia="Times New Roman" w:cs="Times New Roman"/>
                <w:color w:val="000000" w:themeColor="text1"/>
                <w:spacing w:val="-3"/>
                <w:sz w:val="24"/>
                <w:szCs w:val="24"/>
                <w14:textFill>
                  <w14:solidFill>
                    <w14:schemeClr w14:val="tx1"/>
                  </w14:solidFill>
                </w14:textFill>
              </w:rPr>
              <w:t>“NOx”</w:t>
            </w:r>
            <w:r>
              <w:rPr>
                <w:rFonts w:ascii="Times New Roman" w:hAnsi="Times New Roman" w:eastAsia="Times New Roman" w:cs="Times New Roman"/>
                <w:color w:val="000000" w:themeColor="text1"/>
                <w:spacing w:val="-25"/>
                <w:sz w:val="24"/>
                <w:szCs w:val="24"/>
                <w14:textFill>
                  <w14:solidFill>
                    <w14:schemeClr w14:val="tx1"/>
                  </w14:solidFill>
                </w14:textFill>
              </w:rPr>
              <w:t xml:space="preserve"> </w:t>
            </w:r>
            <w:r>
              <w:rPr>
                <w:color w:val="000000" w:themeColor="text1"/>
                <w:spacing w:val="-3"/>
                <w:sz w:val="24"/>
                <w:szCs w:val="24"/>
                <w14:textFill>
                  <w14:solidFill>
                    <w14:schemeClr w14:val="tx1"/>
                  </w14:solidFill>
                </w14:textFill>
              </w:rPr>
              <w:t>）等污染物深度治理。持续推</w:t>
            </w:r>
            <w:r>
              <w:rPr>
                <w:color w:val="000000" w:themeColor="text1"/>
                <w:spacing w:val="-4"/>
                <w:sz w:val="24"/>
                <w:szCs w:val="24"/>
                <w14:textFill>
                  <w14:solidFill>
                    <w14:schemeClr w14:val="tx1"/>
                  </w14:solidFill>
                </w14:textFill>
              </w:rPr>
              <w:t>进钢铁、水泥、</w:t>
            </w:r>
            <w:r>
              <w:rPr>
                <w:color w:val="000000" w:themeColor="text1"/>
                <w:spacing w:val="2"/>
                <w:sz w:val="24"/>
                <w:szCs w:val="24"/>
                <w14:textFill>
                  <w14:solidFill>
                    <w14:schemeClr w14:val="tx1"/>
                  </w14:solidFill>
                </w14:textFill>
              </w:rPr>
              <w:t>焦化行业超低排放改造。推进玻璃、陶瓷、铸造、铁合金、有色、</w:t>
            </w:r>
            <w:r>
              <w:rPr>
                <w:color w:val="000000" w:themeColor="text1"/>
                <w:spacing w:val="-4"/>
                <w:sz w:val="24"/>
                <w:szCs w:val="24"/>
                <w14:textFill>
                  <w14:solidFill>
                    <w14:schemeClr w14:val="tx1"/>
                  </w14:solidFill>
                </w14:textFill>
              </w:rPr>
              <w:t>煤化和石化等行业采取清洁生产、提标改造、深度治理等综合措施。</w:t>
            </w:r>
            <w:r>
              <w:rPr>
                <w:color w:val="000000" w:themeColor="text1"/>
                <w:spacing w:val="1"/>
                <w:sz w:val="24"/>
                <w:szCs w:val="24"/>
                <w14:textFill>
                  <w14:solidFill>
                    <w14:schemeClr w14:val="tx1"/>
                  </w14:solidFill>
                </w14:textFill>
              </w:rPr>
              <w:t>加强自备燃煤机组污染治理设施运行管控，确保按照超低排放标准</w:t>
            </w:r>
            <w:r>
              <w:rPr>
                <w:color w:val="000000" w:themeColor="text1"/>
                <w:spacing w:val="2"/>
                <w:sz w:val="24"/>
                <w:szCs w:val="24"/>
                <w14:textFill>
                  <w14:solidFill>
                    <w14:schemeClr w14:val="tx1"/>
                  </w14:solidFill>
                </w14:textFill>
              </w:rPr>
              <w:t>运行。针对铸造、铁合金、焦化、水泥、砖瓦、石灰、耐火材料、</w:t>
            </w:r>
            <w:r>
              <w:rPr>
                <w:color w:val="000000" w:themeColor="text1"/>
                <w:spacing w:val="1"/>
                <w:sz w:val="24"/>
                <w:szCs w:val="24"/>
                <w14:textFill>
                  <w14:solidFill>
                    <w14:schemeClr w14:val="tx1"/>
                  </w14:solidFill>
                </w14:textFill>
              </w:rPr>
              <w:t xml:space="preserve">金属冶炼以及煤化工、石油化工等行业，严格控制物料储存、输送 </w:t>
            </w:r>
            <w:r>
              <w:rPr>
                <w:color w:val="000000" w:themeColor="text1"/>
                <w:spacing w:val="-4"/>
                <w:sz w:val="24"/>
                <w:szCs w:val="24"/>
                <w14:textFill>
                  <w14:solidFill>
                    <w14:schemeClr w14:val="tx1"/>
                  </w14:solidFill>
                </w14:textFill>
              </w:rPr>
              <w:t>及生产工艺过程无组织排放。重点涉气排放企业逐步取消烟气旁路，</w:t>
            </w:r>
            <w:r>
              <w:rPr>
                <w:color w:val="000000" w:themeColor="text1"/>
                <w:spacing w:val="-2"/>
                <w:sz w:val="24"/>
                <w:szCs w:val="24"/>
                <w14:textFill>
                  <w14:solidFill>
                    <w14:schemeClr w14:val="tx1"/>
                  </w14:solidFill>
                </w14:textFill>
              </w:rPr>
              <w:t>因安全生产无法取消的，安装在线监控系统。</w:t>
            </w:r>
          </w:p>
          <w:p>
            <w:pPr>
              <w:pStyle w:val="100"/>
              <w:keepNext w:val="0"/>
              <w:keepLines w:val="0"/>
              <w:pageBreakBefore w:val="0"/>
              <w:widowControl/>
              <w:wordWrap/>
              <w:overflowPunct/>
              <w:topLinePunct w:val="0"/>
              <w:bidi w:val="0"/>
              <w:spacing w:line="360" w:lineRule="auto"/>
              <w:ind w:left="113" w:right="103" w:firstLine="478"/>
              <w:jc w:val="both"/>
              <w:rPr>
                <w:color w:val="000000" w:themeColor="text1"/>
                <w:sz w:val="24"/>
                <w:szCs w:val="24"/>
                <w14:textFill>
                  <w14:solidFill>
                    <w14:schemeClr w14:val="tx1"/>
                  </w14:solidFill>
                </w14:textFill>
              </w:rPr>
            </w:pPr>
            <w:r>
              <w:rPr>
                <w:color w:val="000000" w:themeColor="text1"/>
                <w:spacing w:val="1"/>
                <w:sz w:val="24"/>
                <w:szCs w:val="24"/>
                <w14:textFill>
                  <w14:solidFill>
                    <w14:schemeClr w14:val="tx1"/>
                  </w14:solidFill>
                </w14:textFill>
              </w:rPr>
              <w:t>本项目为水泥制品制造</w:t>
            </w:r>
            <w:r>
              <w:rPr>
                <w:rFonts w:ascii="Times New Roman" w:hAnsi="Times New Roman" w:eastAsia="Times New Roman" w:cs="Times New Roman"/>
                <w:color w:val="000000" w:themeColor="text1"/>
                <w:spacing w:val="-43"/>
                <w:sz w:val="24"/>
                <w:szCs w:val="24"/>
                <w14:textFill>
                  <w14:solidFill>
                    <w14:schemeClr w14:val="tx1"/>
                  </w14:solidFill>
                </w14:textFill>
              </w:rPr>
              <w:t xml:space="preserve"> </w:t>
            </w:r>
            <w:r>
              <w:rPr>
                <w:color w:val="000000" w:themeColor="text1"/>
                <w:spacing w:val="1"/>
                <w:sz w:val="24"/>
                <w:szCs w:val="24"/>
                <w14:textFill>
                  <w14:solidFill>
                    <w14:schemeClr w14:val="tx1"/>
                  </w14:solidFill>
                </w14:textFill>
              </w:rPr>
              <w:t>项目，项目运营期采用天然气作为燃料</w:t>
            </w:r>
            <w:r>
              <w:rPr>
                <w:rFonts w:hint="eastAsia"/>
                <w:color w:val="000000" w:themeColor="text1"/>
                <w:spacing w:val="1"/>
                <w:sz w:val="24"/>
                <w:szCs w:val="24"/>
                <w:lang w:eastAsia="zh-CN"/>
                <w14:textFill>
                  <w14:solidFill>
                    <w14:schemeClr w14:val="tx1"/>
                  </w14:solidFill>
                </w14:textFill>
              </w:rPr>
              <w:t>，</w:t>
            </w:r>
            <w:r>
              <w:rPr>
                <w:color w:val="000000" w:themeColor="text1"/>
                <w:spacing w:val="1"/>
                <w:sz w:val="24"/>
                <w:szCs w:val="24"/>
                <w14:textFill>
                  <w14:solidFill>
                    <w14:schemeClr w14:val="tx1"/>
                  </w14:solidFill>
                </w14:textFill>
              </w:rPr>
              <w:t>燃烧后产生的污染物为颗粒物、二氧化硫、氮氧化物，经</w:t>
            </w:r>
            <w:r>
              <w:rPr>
                <w:rFonts w:hint="eastAsia" w:ascii="Times New Roman" w:hAnsi="Times New Roman" w:eastAsia="宋体" w:cs="Times New Roman"/>
                <w:color w:val="000000" w:themeColor="text1"/>
                <w:spacing w:val="-4"/>
                <w:sz w:val="24"/>
                <w:szCs w:val="24"/>
                <w:lang w:val="en-US" w:eastAsia="zh-CN"/>
                <w14:textFill>
                  <w14:solidFill>
                    <w14:schemeClr w14:val="tx1"/>
                  </w14:solidFill>
                </w14:textFill>
              </w:rPr>
              <w:t>8</w:t>
            </w:r>
            <w:r>
              <w:rPr>
                <w:rFonts w:ascii="Times New Roman" w:hAnsi="Times New Roman" w:eastAsia="Times New Roman" w:cs="Times New Roman"/>
                <w:color w:val="000000" w:themeColor="text1"/>
                <w:spacing w:val="-4"/>
                <w:sz w:val="24"/>
                <w:szCs w:val="24"/>
                <w14:textFill>
                  <w14:solidFill>
                    <w14:schemeClr w14:val="tx1"/>
                  </w14:solidFill>
                </w14:textFill>
              </w:rPr>
              <w:t>m</w:t>
            </w:r>
            <w:r>
              <w:rPr>
                <w:color w:val="000000" w:themeColor="text1"/>
                <w:spacing w:val="-4"/>
                <w:sz w:val="24"/>
                <w:szCs w:val="24"/>
                <w14:textFill>
                  <w14:solidFill>
                    <w14:schemeClr w14:val="tx1"/>
                  </w14:solidFill>
                </w14:textFill>
              </w:rPr>
              <w:t>高排气筒能够达标排放，因</w:t>
            </w:r>
            <w:r>
              <w:rPr>
                <w:color w:val="000000" w:themeColor="text1"/>
                <w:spacing w:val="-5"/>
                <w:sz w:val="24"/>
                <w:szCs w:val="24"/>
                <w14:textFill>
                  <w14:solidFill>
                    <w14:schemeClr w14:val="tx1"/>
                  </w14:solidFill>
                </w14:textFill>
              </w:rPr>
              <w:t>此，本项目符合《新疆生</w:t>
            </w:r>
            <w:r>
              <w:rPr>
                <w:color w:val="000000" w:themeColor="text1"/>
                <w:spacing w:val="-1"/>
                <w:sz w:val="24"/>
                <w:szCs w:val="24"/>
                <w14:textFill>
                  <w14:solidFill>
                    <w14:schemeClr w14:val="tx1"/>
                  </w14:solidFill>
                </w14:textFill>
              </w:rPr>
              <w:t>态环境保护</w:t>
            </w:r>
            <w:r>
              <w:rPr>
                <w:rFonts w:ascii="Times New Roman" w:hAnsi="Times New Roman" w:eastAsia="Times New Roman" w:cs="Times New Roman"/>
                <w:color w:val="000000" w:themeColor="text1"/>
                <w:spacing w:val="-1"/>
                <w:sz w:val="24"/>
                <w:szCs w:val="24"/>
                <w14:textFill>
                  <w14:solidFill>
                    <w14:schemeClr w14:val="tx1"/>
                  </w14:solidFill>
                </w14:textFill>
              </w:rPr>
              <w:t>“</w:t>
            </w:r>
            <w:r>
              <w:rPr>
                <w:color w:val="000000" w:themeColor="text1"/>
                <w:spacing w:val="-1"/>
                <w:sz w:val="24"/>
                <w:szCs w:val="24"/>
                <w14:textFill>
                  <w14:solidFill>
                    <w14:schemeClr w14:val="tx1"/>
                  </w14:solidFill>
                </w14:textFill>
              </w:rPr>
              <w:t>十四五</w:t>
            </w:r>
            <w:r>
              <w:rPr>
                <w:rFonts w:ascii="Times New Roman" w:hAnsi="Times New Roman" w:eastAsia="Times New Roman" w:cs="Times New Roman"/>
                <w:color w:val="000000" w:themeColor="text1"/>
                <w:spacing w:val="-1"/>
                <w:sz w:val="24"/>
                <w:szCs w:val="24"/>
                <w14:textFill>
                  <w14:solidFill>
                    <w14:schemeClr w14:val="tx1"/>
                  </w14:solidFill>
                </w14:textFill>
              </w:rPr>
              <w:t>”</w:t>
            </w:r>
            <w:r>
              <w:rPr>
                <w:color w:val="000000" w:themeColor="text1"/>
                <w:spacing w:val="-1"/>
                <w:sz w:val="24"/>
                <w:szCs w:val="24"/>
                <w14:textFill>
                  <w14:solidFill>
                    <w14:schemeClr w14:val="tx1"/>
                  </w14:solidFill>
                </w14:textFill>
              </w:rPr>
              <w:t>规划》的相关要求。</w:t>
            </w:r>
          </w:p>
          <w:p>
            <w:pPr>
              <w:pStyle w:val="100"/>
              <w:keepNext w:val="0"/>
              <w:keepLines w:val="0"/>
              <w:pageBreakBefore w:val="0"/>
              <w:widowControl/>
              <w:wordWrap/>
              <w:overflowPunct/>
              <w:topLinePunct w:val="0"/>
              <w:bidi w:val="0"/>
              <w:spacing w:line="360" w:lineRule="auto"/>
              <w:ind w:left="106" w:firstLine="482" w:firstLineChars="200"/>
              <w:jc w:val="both"/>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5、</w:t>
            </w: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项目与</w:t>
            </w:r>
            <w:bookmarkStart w:id="6" w:name="_Hlk127487291"/>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《第七师胡杨河市“十四五”生态环境保护规划（2021—2025年）》</w:t>
            </w:r>
            <w:bookmarkEnd w:id="6"/>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符合性分析</w:t>
            </w:r>
          </w:p>
          <w:p>
            <w:pPr>
              <w:pStyle w:val="115"/>
              <w:ind w:firstLine="428" w:firstLineChars="177"/>
              <w:jc w:val="both"/>
              <w:rPr>
                <w:rFonts w:hint="default" w:ascii="Times New Roman" w:hAnsi="Times New Roman" w:eastAsia="宋体" w:cs="Times New Roman"/>
                <w:color w:val="000000" w:themeColor="text1"/>
                <w:spacing w:val="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4"/>
                <w:lang w:val="en-US" w:eastAsia="zh-CN" w:bidi="ar-SA"/>
                <w14:textFill>
                  <w14:solidFill>
                    <w14:schemeClr w14:val="tx1"/>
                  </w14:solidFill>
                </w14:textFill>
              </w:rPr>
              <w:t>《规划》指出，建立以“三线一单”为核心全覆盖的生态环境分区管控体系，完善管控单元环境准入清单，深化高污染、高排放项目环境准入及管控要求，建立动态更新和调整机制。加强“三线一单”在政策制定、环境准入、经济技术开发区管理、执法监管等方面的应用。持续推进区域和行业规划环境影响评价，严禁“三高”项目进七师。</w:t>
            </w:r>
          </w:p>
          <w:p>
            <w:pPr>
              <w:pStyle w:val="115"/>
              <w:ind w:firstLine="428" w:firstLineChars="177"/>
              <w:jc w:val="both"/>
              <w:rPr>
                <w:rFonts w:hint="default" w:ascii="Times New Roman" w:hAnsi="Times New Roman" w:eastAsia="宋体" w:cs="Times New Roman"/>
                <w:color w:val="000000" w:themeColor="text1"/>
                <w:spacing w:val="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4"/>
                <w:lang w:val="en-US" w:eastAsia="zh-CN" w:bidi="ar-SA"/>
                <w14:textFill>
                  <w14:solidFill>
                    <w14:schemeClr w14:val="tx1"/>
                  </w14:solidFill>
                </w14:textFill>
              </w:rPr>
              <w:t>按照产业结构、能源利用、运营管理、基础设施等绿色化要求，开展绿色园区的规划、建设和运营；优先选择胡杨河经济技术开发区作为试点，推进开发区绿色循环化改造，按照循环经济“减量化、再利用、资源化”的理念，推动企业循环式生产、产业循环式组合，搭建资源共享、废物处理、服务高效的公共平台，促进废物交换利用、能量梯级利用、水的分类利用和循环使用，实现绿色循环低碳发展。</w:t>
            </w:r>
          </w:p>
          <w:p>
            <w:pPr>
              <w:pStyle w:val="115"/>
              <w:ind w:firstLine="428" w:firstLineChars="177"/>
              <w:jc w:val="both"/>
              <w:rPr>
                <w:rFonts w:hint="default" w:ascii="Times New Roman" w:hAnsi="Times New Roman" w:eastAsia="宋体" w:cs="Times New Roman"/>
                <w:color w:val="000000" w:themeColor="text1"/>
                <w:spacing w:val="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4"/>
                <w:lang w:val="en-US" w:eastAsia="zh-CN" w:bidi="ar-SA"/>
                <w14:textFill>
                  <w14:solidFill>
                    <w14:schemeClr w14:val="tx1"/>
                  </w14:solidFill>
                </w14:textFill>
              </w:rPr>
              <w:t>本项目为水泥制品制造项目。同时，本项目符合第七师“三线一单”环境管控要求，不属于“三高”项目，因此，本项目建设符合《第七师胡杨河市“十四五”生态环境保护规划（2021—2025年）》相关要求。</w:t>
            </w:r>
          </w:p>
          <w:p>
            <w:pPr>
              <w:pStyle w:val="100"/>
              <w:keepNext w:val="0"/>
              <w:keepLines w:val="0"/>
              <w:pageBreakBefore w:val="0"/>
              <w:widowControl/>
              <w:wordWrap/>
              <w:overflowPunct/>
              <w:topLinePunct w:val="0"/>
              <w:bidi w:val="0"/>
              <w:spacing w:line="360" w:lineRule="auto"/>
              <w:ind w:left="106" w:firstLine="482" w:firstLineChars="200"/>
              <w:jc w:val="both"/>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与《工业料场堆场扬尘整治技术规范》（DB65/T4061-2017）符合性分析</w:t>
            </w:r>
          </w:p>
          <w:p>
            <w:pPr>
              <w:pStyle w:val="100"/>
              <w:keepNext w:val="0"/>
              <w:keepLines w:val="0"/>
              <w:pageBreakBefore w:val="0"/>
              <w:wordWrap/>
              <w:overflowPunct/>
              <w:topLinePunct w:val="0"/>
              <w:bidi w:val="0"/>
              <w:spacing w:line="360" w:lineRule="auto"/>
              <w:ind w:left="109" w:right="22" w:firstLine="486"/>
              <w:jc w:val="both"/>
              <w:rPr>
                <w:rFonts w:hint="default" w:ascii="Times New Roman" w:hAnsi="Times New Roman" w:cs="Times New Roman"/>
                <w:color w:val="000000" w:themeColor="text1"/>
                <w:spacing w:val="1"/>
                <w:sz w:val="24"/>
                <w:szCs w:val="24"/>
                <w14:textFill>
                  <w14:solidFill>
                    <w14:schemeClr w14:val="tx1"/>
                  </w14:solidFill>
                </w14:textFill>
              </w:rPr>
            </w:pPr>
            <w:r>
              <w:rPr>
                <w:rFonts w:hint="default" w:ascii="Times New Roman" w:hAnsi="Times New Roman" w:cs="Times New Roman"/>
                <w:color w:val="000000" w:themeColor="text1"/>
                <w:spacing w:val="1"/>
                <w:sz w:val="24"/>
                <w:szCs w:val="24"/>
                <w14:textFill>
                  <w14:solidFill>
                    <w14:schemeClr w14:val="tx1"/>
                  </w14:solidFill>
                </w14:textFill>
              </w:rPr>
              <w:t>根据《工业料场堆场扬尘整治技术规范》（DB65/T4061-2017）的文件要求：“5.7工业料堆场内应采用连续输送设备将物料送往用户，避免二次中转倒运。5.8对工业物料堆场内装卸、运输等作业过 程中，易产生扬尘污染的物料必须采取封闭、遮盖、洒水降尘措施，密闭输送物料必须在装料、卸料处配备吸尘、喷淋防尘措施。”</w:t>
            </w:r>
          </w:p>
          <w:p>
            <w:pPr>
              <w:pStyle w:val="100"/>
              <w:keepNext w:val="0"/>
              <w:keepLines w:val="0"/>
              <w:pageBreakBefore w:val="0"/>
              <w:wordWrap/>
              <w:overflowPunct/>
              <w:topLinePunct w:val="0"/>
              <w:bidi w:val="0"/>
              <w:spacing w:line="360" w:lineRule="auto"/>
              <w:ind w:left="109" w:right="22" w:firstLine="486"/>
              <w:jc w:val="both"/>
              <w:rPr>
                <w:rFonts w:hint="default" w:ascii="Times New Roman" w:hAnsi="Times New Roman" w:cs="Times New Roman"/>
                <w:color w:val="000000" w:themeColor="text1"/>
                <w:spacing w:val="1"/>
                <w:sz w:val="24"/>
                <w:szCs w:val="24"/>
                <w14:textFill>
                  <w14:solidFill>
                    <w14:schemeClr w14:val="tx1"/>
                  </w14:solidFill>
                </w14:textFill>
              </w:rPr>
            </w:pPr>
            <w:r>
              <w:rPr>
                <w:rFonts w:hint="default" w:ascii="Times New Roman" w:hAnsi="Times New Roman" w:cs="Times New Roman"/>
                <w:color w:val="000000" w:themeColor="text1"/>
                <w:spacing w:val="1"/>
                <w:sz w:val="24"/>
                <w:szCs w:val="24"/>
                <w14:textFill>
                  <w14:solidFill>
                    <w14:schemeClr w14:val="tx1"/>
                  </w14:solidFill>
                </w14:textFill>
              </w:rPr>
              <w:t>本项目运营期物料为</w:t>
            </w:r>
            <w:r>
              <w:rPr>
                <w:rFonts w:hint="default" w:ascii="Times New Roman" w:hAnsi="Times New Roman" w:cs="Times New Roman"/>
                <w:color w:val="000000" w:themeColor="text1"/>
                <w:spacing w:val="1"/>
                <w:sz w:val="24"/>
                <w:szCs w:val="24"/>
                <w:lang w:val="en-US" w:eastAsia="zh-CN"/>
                <w14:textFill>
                  <w14:solidFill>
                    <w14:schemeClr w14:val="tx1"/>
                  </w14:solidFill>
                </w14:textFill>
              </w:rPr>
              <w:t>矿粉、</w:t>
            </w:r>
            <w:r>
              <w:rPr>
                <w:rFonts w:hint="default" w:ascii="Times New Roman" w:hAnsi="Times New Roman" w:cs="Times New Roman"/>
                <w:color w:val="000000" w:themeColor="text1"/>
                <w:spacing w:val="1"/>
                <w:sz w:val="24"/>
                <w:szCs w:val="24"/>
                <w14:textFill>
                  <w14:solidFill>
                    <w14:schemeClr w14:val="tx1"/>
                  </w14:solidFill>
                </w14:textFill>
              </w:rPr>
              <w:t>水泥、砂石料，储存在密闭</w:t>
            </w:r>
            <w:r>
              <w:rPr>
                <w:rFonts w:hint="default" w:ascii="Times New Roman" w:hAnsi="Times New Roman" w:cs="Times New Roman"/>
                <w:color w:val="000000" w:themeColor="text1"/>
                <w:spacing w:val="1"/>
                <w:sz w:val="24"/>
                <w:szCs w:val="24"/>
                <w:lang w:val="en-US" w:eastAsia="zh-CN"/>
                <w14:textFill>
                  <w14:solidFill>
                    <w14:schemeClr w14:val="tx1"/>
                  </w14:solidFill>
                </w14:textFill>
              </w:rPr>
              <w:t>通筒仓和</w:t>
            </w:r>
            <w:r>
              <w:rPr>
                <w:rFonts w:hint="default" w:ascii="Times New Roman" w:hAnsi="Times New Roman" w:cs="Times New Roman"/>
                <w:color w:val="000000" w:themeColor="text1"/>
                <w:spacing w:val="1"/>
                <w:sz w:val="24"/>
                <w:szCs w:val="24"/>
                <w14:textFill>
                  <w14:solidFill>
                    <w14:schemeClr w14:val="tx1"/>
                  </w14:solidFill>
                </w14:textFill>
              </w:rPr>
              <w:t>原料库房中，</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经三面封闭和洒水降尘，</w:t>
            </w:r>
            <w:r>
              <w:rPr>
                <w:rFonts w:hint="default" w:ascii="Times New Roman" w:hAnsi="Times New Roman" w:cs="Times New Roman"/>
                <w:color w:val="000000" w:themeColor="text1"/>
                <w:spacing w:val="1"/>
                <w:sz w:val="24"/>
                <w:szCs w:val="24"/>
                <w14:textFill>
                  <w14:solidFill>
                    <w14:schemeClr w14:val="tx1"/>
                  </w14:solidFill>
                </w14:textFill>
              </w:rPr>
              <w:t>能够有效降低粉尘的无组织排放。综上，本项目的料场堆场扬尘符合《工业料场堆场扬尘整治技术规范》（DB65/T4061-2017）要求。</w:t>
            </w:r>
          </w:p>
          <w:p>
            <w:pPr>
              <w:pStyle w:val="100"/>
              <w:keepNext w:val="0"/>
              <w:keepLines w:val="0"/>
              <w:pageBreakBefore w:val="0"/>
              <w:wordWrap/>
              <w:overflowPunct/>
              <w:topLinePunct w:val="0"/>
              <w:bidi w:val="0"/>
              <w:spacing w:line="360" w:lineRule="auto"/>
              <w:ind w:left="106" w:firstLine="482" w:firstLineChars="200"/>
              <w:jc w:val="both"/>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7</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与《建设项目环境保护管理条例》的符合性分析</w:t>
            </w:r>
          </w:p>
          <w:p>
            <w:pPr>
              <w:pStyle w:val="100"/>
              <w:keepNext w:val="0"/>
              <w:keepLines w:val="0"/>
              <w:pageBreakBefore w:val="0"/>
              <w:wordWrap/>
              <w:overflowPunct/>
              <w:topLinePunct w:val="0"/>
              <w:bidi w:val="0"/>
              <w:spacing w:line="360" w:lineRule="auto"/>
              <w:ind w:left="109" w:right="22" w:firstLine="486"/>
              <w:jc w:val="both"/>
              <w:rPr>
                <w:rFonts w:hint="default" w:ascii="Times New Roman" w:hAnsi="Times New Roman" w:eastAsia="宋体" w:cs="Times New Roman"/>
                <w:color w:val="000000" w:themeColor="text1"/>
                <w:spacing w:val="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根据</w:t>
            </w:r>
            <w:r>
              <w:rPr>
                <w:rFonts w:hint="default" w:ascii="Times New Roman" w:hAnsi="Times New Roman" w:eastAsia="宋体" w:cs="Times New Roman"/>
                <w:color w:val="000000" w:themeColor="text1"/>
                <w:spacing w:val="1"/>
                <w:sz w:val="24"/>
                <w:szCs w:val="24"/>
                <w:lang w:val="zh-CN"/>
                <w14:textFill>
                  <w14:solidFill>
                    <w14:schemeClr w14:val="tx1"/>
                  </w14:solidFill>
                </w14:textFill>
              </w:rPr>
              <w:t>《建设项目环境保护管理条例》</w:t>
            </w:r>
            <w:r>
              <w:rPr>
                <w:rFonts w:hint="default" w:ascii="Times New Roman" w:hAnsi="Times New Roman" w:eastAsia="宋体" w:cs="Times New Roman"/>
                <w:color w:val="000000" w:themeColor="text1"/>
                <w:spacing w:val="1"/>
                <w:sz w:val="24"/>
                <w:szCs w:val="24"/>
                <w14:textFill>
                  <w14:solidFill>
                    <w14:schemeClr w14:val="tx1"/>
                  </w14:solidFill>
                </w14:textFill>
              </w:rPr>
              <w:t>（2017修订）</w:t>
            </w:r>
            <w:r>
              <w:rPr>
                <w:rFonts w:hint="default" w:ascii="Times New Roman" w:hAnsi="Times New Roman" w:eastAsia="宋体" w:cs="Times New Roman"/>
                <w:color w:val="000000" w:themeColor="text1"/>
                <w:spacing w:val="1"/>
                <w:sz w:val="24"/>
                <w:szCs w:val="24"/>
                <w:lang w:val="zh-CN"/>
                <w14:textFill>
                  <w14:solidFill>
                    <w14:schemeClr w14:val="tx1"/>
                  </w14:solidFill>
                </w14:textFill>
              </w:rPr>
              <w:t>的规定，</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pacing w:val="1"/>
                <w:sz w:val="24"/>
                <w:szCs w:val="24"/>
                <w14:textFill>
                  <w14:solidFill>
                    <w14:schemeClr w14:val="tx1"/>
                  </w14:solidFill>
                </w14:textFill>
              </w:rPr>
              <w:t>项目与该管理条例的符合性分析见</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下表</w:t>
            </w:r>
            <w:r>
              <w:rPr>
                <w:rFonts w:hint="default" w:ascii="Times New Roman" w:hAnsi="Times New Roman" w:eastAsia="宋体" w:cs="Times New Roman"/>
                <w:color w:val="000000" w:themeColor="text1"/>
                <w:spacing w:val="1"/>
                <w:sz w:val="24"/>
                <w:szCs w:val="24"/>
                <w14:textFill>
                  <w14:solidFill>
                    <w14:schemeClr w14:val="tx1"/>
                  </w14:solidFill>
                </w14:textFill>
              </w:rPr>
              <w:t>。</w:t>
            </w:r>
          </w:p>
          <w:p>
            <w:pPr>
              <w:pStyle w:val="3"/>
              <w:adjustRightInd w:val="0"/>
              <w:snapToGrid w:val="0"/>
              <w:spacing w:after="0" w:line="276" w:lineRule="auto"/>
              <w:jc w:val="cente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bookmarkStart w:id="7" w:name="_Ref50373847"/>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表</w:t>
            </w:r>
            <w:bookmarkEnd w:id="7"/>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1-</w:t>
            </w: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项目与《建设项目环境保护管理条例》符合性分析</w:t>
            </w:r>
          </w:p>
          <w:tbl>
            <w:tblPr>
              <w:tblStyle w:val="24"/>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92"/>
              <w:gridCol w:w="2355"/>
              <w:gridCol w:w="417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148" w:type="pct"/>
                  <w:gridSpan w:val="2"/>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要求</w:t>
                  </w:r>
                </w:p>
              </w:tc>
              <w:tc>
                <w:tcPr>
                  <w:tcW w:w="2851" w:type="pct"/>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58" w:hRule="atLeast"/>
              </w:trPr>
              <w:tc>
                <w:tcPr>
                  <w:tcW w:w="541" w:type="pct"/>
                  <w:vMerge w:val="restart"/>
                  <w:shd w:val="clear" w:color="auto" w:fill="auto"/>
                  <w:vAlign w:val="center"/>
                </w:tcPr>
                <w:p>
                  <w:pPr>
                    <w:adjustRightInd w:val="0"/>
                    <w:snapToGrid w:val="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第十一条 建设项目有下列情形之一的，环境保护行政主管部门应当对环境影响报告书、环境影响报告表作出不予批准的决定</w:t>
                  </w:r>
                </w:p>
              </w:tc>
              <w:tc>
                <w:tcPr>
                  <w:tcW w:w="1607" w:type="pct"/>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（一）建设项目类型及其选址、布局、规模等不符合环境保护法律法规和相关法定规划。</w:t>
                  </w:r>
                </w:p>
              </w:tc>
              <w:tc>
                <w:tcPr>
                  <w:tcW w:w="2851" w:type="pct"/>
                  <w:shd w:val="clear" w:color="auto" w:fill="auto"/>
                  <w:vAlign w:val="center"/>
                </w:tcPr>
                <w:p>
                  <w:pPr>
                    <w:adjustRightInd w:val="0"/>
                    <w:snapToGrid w:val="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根据前述分析，项目类型、规模、布局等符合《产业结构调整指导目录（2019年本）》、《限制用地项目目录（2012年本）》和《禁止用地项目目录（2012年本）》等环境保</w:t>
                  </w:r>
                  <w:r>
                    <w:rPr>
                      <w:rFonts w:hint="default" w:ascii="Times New Roman" w:hAnsi="Times New Roman" w:eastAsia="宋体" w:cs="Times New Roman"/>
                      <w:color w:val="000000" w:themeColor="text1"/>
                      <w:kern w:val="2"/>
                      <w:sz w:val="21"/>
                      <w:szCs w:val="21"/>
                      <w:lang w:eastAsia="zh-CN"/>
                      <w14:textFill>
                        <w14:solidFill>
                          <w14:schemeClr w14:val="tx1"/>
                        </w14:solidFill>
                      </w14:textFill>
                    </w:rPr>
                    <w:t>护法律法规。本项目用地</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为</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工业用地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88" w:hRule="atLeast"/>
              </w:trPr>
              <w:tc>
                <w:tcPr>
                  <w:tcW w:w="541" w:type="pct"/>
                  <w:vMerge w:val="continue"/>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607" w:type="pct"/>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（二）所在区域环境质量未达到国家或者地方环境质量标准，且建设项目拟采取的措施不能满足区域环境质量改善目标管理要求。</w:t>
                  </w:r>
                </w:p>
              </w:tc>
              <w:tc>
                <w:tcPr>
                  <w:tcW w:w="2851" w:type="pct"/>
                  <w:shd w:val="clear" w:color="auto" w:fill="auto"/>
                  <w:vAlign w:val="center"/>
                </w:tcPr>
                <w:p>
                  <w:pPr>
                    <w:adjustRightInd w:val="0"/>
                    <w:snapToGrid w:val="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根据项目“三线一单”符合性分析，项目建设采取严格的污染防治措施，不会对周围大气、水环境质量等造成影响，满足区域环境质量改善目标管理的要求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41" w:type="pct"/>
                  <w:vMerge w:val="continue"/>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607" w:type="pct"/>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（三）建设项目采取的污染防治措施无法确保污染物排放达到国家和地方排放标准，或者未采取必要措施预防和控制生态破坏。</w:t>
                  </w:r>
                </w:p>
              </w:tc>
              <w:tc>
                <w:tcPr>
                  <w:tcW w:w="2851" w:type="pct"/>
                  <w:shd w:val="clear" w:color="auto" w:fill="auto"/>
                  <w:vAlign w:val="center"/>
                </w:tcPr>
                <w:p>
                  <w:pPr>
                    <w:adjustRightInd w:val="0"/>
                    <w:snapToGrid w:val="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根据分析，</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本</w:t>
                  </w:r>
                  <w:r>
                    <w:rPr>
                      <w:rFonts w:hint="default" w:ascii="Times New Roman" w:hAnsi="Times New Roman" w:eastAsia="宋体" w:cs="Times New Roman"/>
                      <w:color w:val="000000" w:themeColor="text1"/>
                      <w:kern w:val="0"/>
                      <w:sz w:val="21"/>
                      <w:szCs w:val="21"/>
                      <w14:textFill>
                        <w14:solidFill>
                          <w14:schemeClr w14:val="tx1"/>
                        </w14:solidFill>
                      </w14:textFill>
                    </w:rPr>
                    <w:t>项目污染物排放浓度满足相应国家和地方排放标准要求，采取</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环评提出的</w:t>
                  </w:r>
                  <w:r>
                    <w:rPr>
                      <w:rFonts w:hint="default" w:ascii="Times New Roman" w:hAnsi="Times New Roman" w:eastAsia="宋体" w:cs="Times New Roman"/>
                      <w:color w:val="000000" w:themeColor="text1"/>
                      <w:kern w:val="0"/>
                      <w:sz w:val="21"/>
                      <w:szCs w:val="21"/>
                      <w14:textFill>
                        <w14:solidFill>
                          <w14:schemeClr w14:val="tx1"/>
                        </w14:solidFill>
                      </w14:textFill>
                    </w:rPr>
                    <w:t>废气、废水、噪声、固废</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防治</w:t>
                  </w:r>
                  <w:r>
                    <w:rPr>
                      <w:rFonts w:hint="default" w:ascii="Times New Roman" w:hAnsi="Times New Roman" w:eastAsia="宋体" w:cs="Times New Roman"/>
                      <w:color w:val="000000" w:themeColor="text1"/>
                      <w:kern w:val="0"/>
                      <w:sz w:val="21"/>
                      <w:szCs w:val="21"/>
                      <w14:textFill>
                        <w14:solidFill>
                          <w14:schemeClr w14:val="tx1"/>
                        </w14:solidFill>
                      </w14:textFill>
                    </w:rPr>
                    <w:t>措施</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后，污染物可达标排放，对周围环境影响较小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41" w:type="pct"/>
                  <w:vMerge w:val="continue"/>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607" w:type="pct"/>
                  <w:shd w:val="clear" w:color="auto" w:fill="auto"/>
                  <w:vAlign w:val="center"/>
                </w:tcPr>
                <w:p>
                  <w:pPr>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（四）改建、扩建和技术改造项目，未针对项目原有环境污染和生态破坏提出有效防治措施。</w:t>
                  </w:r>
                </w:p>
              </w:tc>
              <w:tc>
                <w:tcPr>
                  <w:tcW w:w="2851" w:type="pct"/>
                  <w:shd w:val="clear" w:color="auto" w:fill="auto"/>
                  <w:vAlign w:val="center"/>
                </w:tcPr>
                <w:p>
                  <w:pPr>
                    <w:adjustRightInd w:val="0"/>
                    <w:snapToGrid w:val="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属于新建项目，</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项目用地</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工业用地</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地块前期为空地，不存在</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原有环境污染和生态破坏</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问题</w:t>
                  </w:r>
                </w:p>
              </w:tc>
            </w:tr>
          </w:tbl>
          <w:p>
            <w:pPr>
              <w:keepNext w:val="0"/>
              <w:keepLines w:val="0"/>
              <w:pageBreakBefore w:val="0"/>
              <w:wordWrap/>
              <w:overflowPunct/>
              <w:topLinePunct w:val="0"/>
              <w:bidi w:val="0"/>
              <w:spacing w:line="360" w:lineRule="auto"/>
              <w:ind w:firstLine="484" w:firstLineChars="200"/>
              <w:rPr>
                <w:rFonts w:hint="default" w:ascii="Times New Roman" w:hAnsi="Times New Roman" w:eastAsia="宋体" w:cs="Times New Roman"/>
                <w:color w:val="000000" w:themeColor="text1"/>
                <w:spacing w:val="1"/>
                <w:kern w:val="0"/>
                <w:sz w:val="24"/>
                <w:szCs w:val="24"/>
                <w:lang w:val="zh-CN"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4"/>
                <w:lang w:val="zh-CN" w:eastAsia="zh-CN" w:bidi="ar-SA"/>
                <w14:textFill>
                  <w14:solidFill>
                    <w14:schemeClr w14:val="tx1"/>
                  </w14:solidFill>
                </w14:textFill>
              </w:rPr>
              <w:t>由上表可知，</w:t>
            </w:r>
            <w:r>
              <w:rPr>
                <w:rFonts w:hint="eastAsia" w:ascii="Times New Roman" w:hAnsi="Times New Roman" w:eastAsia="宋体" w:cs="Times New Roman"/>
                <w:color w:val="000000" w:themeColor="text1"/>
                <w:spacing w:val="1"/>
                <w:kern w:val="0"/>
                <w:sz w:val="24"/>
                <w:szCs w:val="24"/>
                <w:lang w:val="zh-CN" w:eastAsia="zh-CN" w:bidi="ar-SA"/>
                <w14:textFill>
                  <w14:solidFill>
                    <w14:schemeClr w14:val="tx1"/>
                  </w14:solidFill>
                </w14:textFill>
              </w:rPr>
              <w:t>本</w:t>
            </w:r>
            <w:r>
              <w:rPr>
                <w:rFonts w:hint="default" w:ascii="Times New Roman" w:hAnsi="Times New Roman" w:eastAsia="宋体" w:cs="Times New Roman"/>
                <w:color w:val="000000" w:themeColor="text1"/>
                <w:spacing w:val="1"/>
                <w:kern w:val="0"/>
                <w:sz w:val="24"/>
                <w:szCs w:val="24"/>
                <w:lang w:val="zh-CN" w:eastAsia="zh-CN" w:bidi="ar-SA"/>
                <w14:textFill>
                  <w14:solidFill>
                    <w14:schemeClr w14:val="tx1"/>
                  </w14:solidFill>
                </w14:textFill>
              </w:rPr>
              <w:t>项目的建设可满足《建设项目环境保护管理条例》的要求。</w:t>
            </w:r>
          </w:p>
          <w:p>
            <w:pPr>
              <w:pStyle w:val="100"/>
              <w:keepNext w:val="0"/>
              <w:keepLines w:val="0"/>
              <w:pageBreakBefore w:val="0"/>
              <w:wordWrap/>
              <w:overflowPunct/>
              <w:topLinePunct w:val="0"/>
              <w:bidi w:val="0"/>
              <w:spacing w:line="360" w:lineRule="auto"/>
              <w:ind w:left="106" w:firstLine="482" w:firstLineChars="200"/>
              <w:jc w:val="both"/>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8</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、项目与《新疆维吾尔自治区大气污染防治条例》（2019版）符合性分析</w:t>
            </w:r>
          </w:p>
          <w:p>
            <w:pPr>
              <w:pStyle w:val="100"/>
              <w:keepNext w:val="0"/>
              <w:keepLines w:val="0"/>
              <w:pageBreakBefore w:val="0"/>
              <w:wordWrap/>
              <w:overflowPunct/>
              <w:topLinePunct w:val="0"/>
              <w:bidi w:val="0"/>
              <w:spacing w:line="360" w:lineRule="auto"/>
              <w:ind w:left="109" w:right="22" w:firstLine="486"/>
              <w:jc w:val="both"/>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《新疆维吾尔自治区大气污染防治条例》（2019版）中“第三章 防治措施，</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第四节 扬尘污染防治第三十七条 各级人民政府应当加强对建设施工、矿产资源开采、物料运输的扬尘和沙尘污染的治理，保持道路清洁、控制料堆和渣土堆放，科学合理扩大绿地、水面、湿地、地面铺装和防风固沙绿化面积，防治扬尘污染</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第三十九条 运输、处置建筑垃圾，应当经工程所在地的县（市、区）人民政府确定的监督管理部门同意，按照规定的运输时间、路线和要求清运到指定的场所处理；在场地内堆存的，应当有效覆盖</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第四十条</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城市建成区内的施工工地，禁止现场搅拌混凝土；施工现场设置砂浆搅拌机的，应当配备降尘防尘装置。</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w:t>
            </w:r>
          </w:p>
          <w:p>
            <w:pPr>
              <w:pStyle w:val="100"/>
              <w:keepNext w:val="0"/>
              <w:keepLines w:val="0"/>
              <w:pageBreakBefore w:val="0"/>
              <w:wordWrap/>
              <w:overflowPunct/>
              <w:topLinePunct w:val="0"/>
              <w:bidi w:val="0"/>
              <w:spacing w:line="360" w:lineRule="auto"/>
              <w:ind w:right="22" w:firstLine="484" w:firstLineChars="200"/>
              <w:jc w:val="both"/>
              <w:rPr>
                <w:rFonts w:hint="default" w:ascii="Times New Roman" w:hAnsi="Times New Roman" w:eastAsia="宋体" w:cs="Times New Roman"/>
                <w:color w:val="000000" w:themeColor="text1"/>
                <w:spacing w:val="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本项目</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各类物料暂存于筒仓或原料库内；本项目不在城市建成区，项目区周边为</w:t>
            </w:r>
            <w:r>
              <w:rPr>
                <w:rFonts w:hint="eastAsia" w:ascii="Times New Roman" w:hAnsi="Times New Roman" w:cs="Times New Roman"/>
                <w:color w:val="000000" w:themeColor="text1"/>
                <w:spacing w:val="1"/>
                <w:sz w:val="24"/>
                <w:szCs w:val="24"/>
                <w:lang w:val="en-US" w:eastAsia="zh-CN"/>
                <w14:textFill>
                  <w14:solidFill>
                    <w14:schemeClr w14:val="tx1"/>
                  </w14:solidFill>
                </w14:textFill>
              </w:rPr>
              <w:t>园区厂房和</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现状道路；搅拌设备、筒仓等均带除尘处理装置</w:t>
            </w:r>
            <w:r>
              <w:rPr>
                <w:rFonts w:hint="default" w:ascii="Times New Roman" w:hAnsi="Times New Roman" w:eastAsia="宋体" w:cs="Times New Roman"/>
                <w:color w:val="000000" w:themeColor="text1"/>
                <w:spacing w:val="1"/>
                <w:sz w:val="24"/>
                <w:szCs w:val="24"/>
                <w14:textFill>
                  <w14:solidFill>
                    <w14:schemeClr w14:val="tx1"/>
                  </w14:solidFill>
                </w14:textFill>
              </w:rPr>
              <w:t>。</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综上所述，本项目符合《新疆维吾尔自治区大气污染防治条例》。</w:t>
            </w:r>
          </w:p>
          <w:p>
            <w:pPr>
              <w:pStyle w:val="100"/>
              <w:keepNext w:val="0"/>
              <w:keepLines w:val="0"/>
              <w:pageBreakBefore w:val="0"/>
              <w:wordWrap/>
              <w:overflowPunct/>
              <w:topLinePunct w:val="0"/>
              <w:bidi w:val="0"/>
              <w:spacing w:line="360" w:lineRule="auto"/>
              <w:ind w:left="109" w:right="22" w:firstLine="486"/>
              <w:jc w:val="both"/>
              <w:rPr>
                <w:rFonts w:hint="default" w:ascii="Times New Roman" w:hAnsi="Times New Roman" w:cs="Times New Roman"/>
                <w:color w:val="000000" w:themeColor="text1"/>
                <w:spacing w:val="1"/>
                <w:sz w:val="24"/>
                <w:szCs w:val="24"/>
                <w14:textFill>
                  <w14:solidFill>
                    <w14:schemeClr w14:val="tx1"/>
                  </w14:solidFill>
                </w14:textFill>
              </w:rPr>
            </w:pPr>
          </w:p>
          <w:p>
            <w:pPr>
              <w:pStyle w:val="100"/>
              <w:keepNext w:val="0"/>
              <w:keepLines w:val="0"/>
              <w:pageBreakBefore w:val="0"/>
              <w:wordWrap/>
              <w:overflowPunct/>
              <w:topLinePunct w:val="0"/>
              <w:bidi w:val="0"/>
              <w:spacing w:line="360" w:lineRule="auto"/>
              <w:ind w:left="109" w:right="22" w:firstLine="486"/>
              <w:jc w:val="both"/>
              <w:rPr>
                <w:rFonts w:hint="default" w:ascii="Times New Roman" w:hAnsi="Times New Roman" w:cs="Times New Roman"/>
                <w:color w:val="000000" w:themeColor="text1"/>
                <w:spacing w:val="1"/>
                <w:sz w:val="24"/>
                <w:szCs w:val="24"/>
                <w14:textFill>
                  <w14:solidFill>
                    <w14:schemeClr w14:val="tx1"/>
                  </w14:solidFill>
                </w14:textFill>
              </w:rPr>
            </w:pPr>
          </w:p>
          <w:p>
            <w:pPr>
              <w:keepNext w:val="0"/>
              <w:keepLines w:val="0"/>
              <w:pageBreakBefore w:val="0"/>
              <w:wordWrap/>
              <w:overflowPunct/>
              <w:topLinePunct w:val="0"/>
              <w:bidi w:val="0"/>
              <w:spacing w:line="360" w:lineRule="auto"/>
              <w:rPr>
                <w:rFonts w:hint="eastAsia"/>
                <w:color w:val="000000" w:themeColor="text1"/>
                <w:lang w:val="en-US" w:eastAsia="zh-CN"/>
                <w14:textFill>
                  <w14:solidFill>
                    <w14:schemeClr w14:val="tx1"/>
                  </w14:solidFill>
                </w14:textFill>
              </w:rPr>
            </w:pPr>
          </w:p>
          <w:p>
            <w:pPr>
              <w:keepNext w:val="0"/>
              <w:keepLines w:val="0"/>
              <w:pageBreakBefore w:val="0"/>
              <w:wordWrap/>
              <w:overflowPunct/>
              <w:topLinePunct w:val="0"/>
              <w:bidi w:val="0"/>
              <w:spacing w:line="360" w:lineRule="auto"/>
              <w:rPr>
                <w:rFonts w:hint="eastAsia"/>
                <w:color w:val="000000" w:themeColor="text1"/>
                <w:lang w:val="en-US" w:eastAsia="zh-CN"/>
                <w14:textFill>
                  <w14:solidFill>
                    <w14:schemeClr w14:val="tx1"/>
                  </w14:solidFill>
                </w14:textFill>
              </w:rPr>
            </w:pPr>
          </w:p>
          <w:p>
            <w:pPr>
              <w:keepNext w:val="0"/>
              <w:keepLines w:val="0"/>
              <w:pageBreakBefore w:val="0"/>
              <w:wordWrap/>
              <w:overflowPunct/>
              <w:topLinePunct w:val="0"/>
              <w:bidi w:val="0"/>
              <w:spacing w:line="360" w:lineRule="auto"/>
              <w:rPr>
                <w:rFonts w:hint="eastAsia"/>
                <w:color w:val="000000" w:themeColor="text1"/>
                <w:lang w:val="en-US" w:eastAsia="zh-CN"/>
                <w14:textFill>
                  <w14:solidFill>
                    <w14:schemeClr w14:val="tx1"/>
                  </w14:solidFill>
                </w14:textFill>
              </w:rPr>
            </w:pPr>
          </w:p>
          <w:p>
            <w:pPr>
              <w:keepNext w:val="0"/>
              <w:keepLines w:val="0"/>
              <w:pageBreakBefore w:val="0"/>
              <w:wordWrap/>
              <w:overflowPunct/>
              <w:topLinePunct w:val="0"/>
              <w:bidi w:val="0"/>
              <w:spacing w:line="360" w:lineRule="auto"/>
              <w:rPr>
                <w:rFonts w:hint="eastAsia"/>
                <w:color w:val="000000" w:themeColor="text1"/>
                <w:lang w:val="en-US" w:eastAsia="zh-CN"/>
                <w14:textFill>
                  <w14:solidFill>
                    <w14:schemeClr w14:val="tx1"/>
                  </w14:solidFill>
                </w14:textFill>
              </w:rPr>
            </w:pPr>
          </w:p>
          <w:p>
            <w:pPr>
              <w:keepNext w:val="0"/>
              <w:keepLines w:val="0"/>
              <w:pageBreakBefore w:val="0"/>
              <w:wordWrap/>
              <w:overflowPunct/>
              <w:topLinePunct w:val="0"/>
              <w:bidi w:val="0"/>
              <w:spacing w:line="360" w:lineRule="auto"/>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lang w:val="en-US" w:eastAsia="zh-CN"/>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6"/>
              <w:rPr>
                <w:color w:val="000000" w:themeColor="text1"/>
                <w14:textFill>
                  <w14:solidFill>
                    <w14:schemeClr w14:val="tx1"/>
                  </w14:solidFill>
                </w14:textFill>
              </w:rPr>
            </w:pPr>
          </w:p>
        </w:tc>
      </w:tr>
    </w:tbl>
    <w:p>
      <w:pPr>
        <w:spacing w:line="360" w:lineRule="auto"/>
        <w:outlineLvl w:val="0"/>
        <w:rPr>
          <w:rFonts w:eastAsia="黑体"/>
          <w:color w:val="000000" w:themeColor="text1"/>
          <w:sz w:val="30"/>
          <w14:textFill>
            <w14:solidFill>
              <w14:schemeClr w14:val="tx1"/>
            </w14:solidFill>
          </w14:textFill>
        </w:rPr>
        <w:sectPr>
          <w:footerReference r:id="rId4" w:type="default"/>
          <w:pgSz w:w="11906" w:h="16838"/>
          <w:pgMar w:top="1701" w:right="1531" w:bottom="1701" w:left="1531" w:header="851" w:footer="1077" w:gutter="0"/>
          <w:pgNumType w:start="1"/>
          <w:cols w:space="720" w:num="1"/>
          <w:docGrid w:linePitch="312" w:charSpace="0"/>
        </w:sectPr>
      </w:pPr>
    </w:p>
    <w:p>
      <w:pPr>
        <w:pStyle w:val="2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vAlign w:val="center"/>
          </w:tcPr>
          <w:p>
            <w:pPr>
              <w:pStyle w:val="20"/>
              <w:adjustRightInd w:val="0"/>
              <w:snapToGrid w:val="0"/>
              <w:spacing w:before="0" w:beforeAutospacing="0" w:after="0" w:afterAutospacing="0"/>
              <w:jc w:val="center"/>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建设内容</w:t>
            </w:r>
          </w:p>
        </w:tc>
        <w:tc>
          <w:tcPr>
            <w:tcW w:w="8606" w:type="dxa"/>
          </w:tcPr>
          <w:p>
            <w:pPr>
              <w:adjustRightInd w:val="0"/>
              <w:snapToGrid w:val="0"/>
              <w:spacing w:line="56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1、项目背景</w:t>
            </w:r>
          </w:p>
          <w:p>
            <w:pPr>
              <w:adjustRightInd w:val="0"/>
              <w:snapToGrid w:val="0"/>
              <w:spacing w:line="560" w:lineRule="exact"/>
              <w:ind w:firstLine="480" w:firstLineChars="200"/>
              <w:rPr>
                <w:rFonts w:hint="eastAsia"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在当前“碳达峰、碳中和”大背景下，积极推动以光伏发电为代表的绿色能源对于调整能源结构具有积极的意义。</w:t>
            </w:r>
            <w:r>
              <w:rPr>
                <w:rFonts w:hint="eastAsia"/>
                <w:color w:val="000000" w:themeColor="text1"/>
                <w:sz w:val="24"/>
                <w:lang w:eastAsia="zh-CN"/>
                <w14:textFill>
                  <w14:solidFill>
                    <w14:schemeClr w14:val="tx1"/>
                  </w14:solidFill>
                </w14:textFill>
              </w:rPr>
              <w:t>胡杨河常益恒轩建材有限公司</w:t>
            </w:r>
            <w:r>
              <w:rPr>
                <w:rFonts w:hint="eastAsia"/>
                <w:color w:val="000000" w:themeColor="text1"/>
                <w:sz w:val="24"/>
                <w14:textFill>
                  <w14:solidFill>
                    <w14:schemeClr w14:val="tx1"/>
                  </w14:solidFill>
                </w14:textFill>
              </w:rPr>
              <w:t>年产</w:t>
            </w:r>
            <w:r>
              <w:rPr>
                <w:rFonts w:hint="eastAsia"/>
                <w:color w:val="000000" w:themeColor="text1"/>
                <w:sz w:val="24"/>
                <w:lang w:val="en-US" w:eastAsia="zh-CN"/>
                <w14:textFill>
                  <w14:solidFill>
                    <w14:schemeClr w14:val="tx1"/>
                  </w14:solidFill>
                </w14:textFill>
              </w:rPr>
              <w:t>180</w:t>
            </w:r>
            <w:r>
              <w:rPr>
                <w:rFonts w:hint="eastAsia"/>
                <w:color w:val="000000" w:themeColor="text1"/>
                <w:sz w:val="24"/>
                <w14:textFill>
                  <w14:solidFill>
                    <w14:schemeClr w14:val="tx1"/>
                  </w14:solidFill>
                </w14:textFill>
              </w:rPr>
              <w:t>万米预应力混凝土管桩生产项目是基于建设管桩和光伏支架为基础，服务于当地光伏发电行业。有利于节约能源，有利于推进清洁能源的发展，有利于当地经济发展，因此项目建设是必要</w:t>
            </w:r>
            <w:r>
              <w:rPr>
                <w:rFonts w:hint="default" w:ascii="Times New Roman" w:hAnsi="Times New Roman" w:cs="Times New Roman"/>
                <w:color w:val="000000" w:themeColor="text1"/>
                <w:sz w:val="24"/>
                <w14:textFill>
                  <w14:solidFill>
                    <w14:schemeClr w14:val="tx1"/>
                  </w14:solidFill>
                </w14:textFill>
              </w:rPr>
              <w:t>的。在此背景下，</w:t>
            </w:r>
            <w:r>
              <w:rPr>
                <w:rFonts w:hint="default" w:ascii="Times New Roman" w:hAnsi="Times New Roman" w:cs="Times New Roman"/>
                <w:color w:val="000000" w:themeColor="text1"/>
                <w:sz w:val="24"/>
                <w:lang w:eastAsia="zh-CN"/>
                <w14:textFill>
                  <w14:solidFill>
                    <w14:schemeClr w14:val="tx1"/>
                  </w14:solidFill>
                </w14:textFill>
              </w:rPr>
              <w:t>胡杨河常益恒轩建材有限公司</w:t>
            </w:r>
            <w:r>
              <w:rPr>
                <w:rFonts w:hint="default" w:ascii="Times New Roman" w:hAnsi="Times New Roman" w:cs="Times New Roman"/>
                <w:color w:val="000000" w:themeColor="text1"/>
                <w:sz w:val="24"/>
                <w14:textFill>
                  <w14:solidFill>
                    <w14:schemeClr w14:val="tx1"/>
                  </w14:solidFill>
                </w14:textFill>
              </w:rPr>
              <w:t>启动了</w:t>
            </w:r>
            <w:r>
              <w:rPr>
                <w:rFonts w:hint="default" w:ascii="Times New Roman" w:hAnsi="Times New Roman" w:cs="Times New Roman"/>
                <w:color w:val="000000" w:themeColor="text1"/>
                <w:sz w:val="24"/>
                <w:lang w:eastAsia="zh-CN"/>
                <w14:textFill>
                  <w14:solidFill>
                    <w14:schemeClr w14:val="tx1"/>
                  </w14:solidFill>
                </w14:textFill>
              </w:rPr>
              <w:t>胡杨河常益恒轩建材有限公司年产</w:t>
            </w:r>
            <w:r>
              <w:rPr>
                <w:rFonts w:hint="default" w:ascii="Times New Roman" w:hAnsi="Times New Roman" w:cs="Times New Roman"/>
                <w:color w:val="000000" w:themeColor="text1"/>
                <w:sz w:val="24"/>
                <w:lang w:val="en-US" w:eastAsia="zh-CN"/>
                <w14:textFill>
                  <w14:solidFill>
                    <w14:schemeClr w14:val="tx1"/>
                  </w14:solidFill>
                </w14:textFill>
              </w:rPr>
              <w:t>180</w:t>
            </w:r>
            <w:r>
              <w:rPr>
                <w:rFonts w:hint="default" w:ascii="Times New Roman" w:hAnsi="Times New Roman" w:cs="Times New Roman"/>
                <w:color w:val="000000" w:themeColor="text1"/>
                <w:sz w:val="24"/>
                <w:lang w:eastAsia="zh-CN"/>
                <w14:textFill>
                  <w14:solidFill>
                    <w14:schemeClr w14:val="tx1"/>
                  </w14:solidFill>
                </w14:textFill>
              </w:rPr>
              <w:t>万米预应力混凝土管桩生产项目</w:t>
            </w:r>
            <w:r>
              <w:rPr>
                <w:rFonts w:hint="default" w:ascii="Times New Roman" w:hAnsi="Times New Roman" w:cs="Times New Roman"/>
                <w:color w:val="000000" w:themeColor="text1"/>
                <w:sz w:val="24"/>
                <w14:textFill>
                  <w14:solidFill>
                    <w14:schemeClr w14:val="tx1"/>
                  </w14:solidFill>
                </w14:textFill>
              </w:rPr>
              <w:t>，拟投资</w:t>
            </w:r>
            <w:r>
              <w:rPr>
                <w:rFonts w:hint="default" w:ascii="Times New Roman" w:hAnsi="Times New Roman" w:cs="Times New Roman"/>
                <w:color w:val="000000" w:themeColor="text1"/>
                <w:sz w:val="24"/>
                <w:lang w:val="en-US" w:eastAsia="zh-CN"/>
                <w14:textFill>
                  <w14:solidFill>
                    <w14:schemeClr w14:val="tx1"/>
                  </w14:solidFill>
                </w14:textFill>
              </w:rPr>
              <w:t>2900</w:t>
            </w:r>
            <w:r>
              <w:rPr>
                <w:rFonts w:hint="default" w:ascii="Times New Roman" w:hAnsi="Times New Roman" w:cs="Times New Roman"/>
                <w:color w:val="000000" w:themeColor="text1"/>
                <w:sz w:val="24"/>
                <w14:textFill>
                  <w14:solidFill>
                    <w14:schemeClr w14:val="tx1"/>
                  </w14:solidFill>
                </w14:textFill>
              </w:rPr>
              <w:t>万元，</w:t>
            </w:r>
            <w:r>
              <w:rPr>
                <w:rFonts w:hint="eastAsia" w:ascii="Times New Roman" w:hAnsi="Times New Roman" w:cs="Times New Roman"/>
                <w:color w:val="000000" w:themeColor="text1"/>
                <w:sz w:val="24"/>
                <w:lang w:val="en-US" w:eastAsia="zh-CN"/>
                <w14:textFill>
                  <w14:solidFill>
                    <w14:schemeClr w14:val="tx1"/>
                  </w14:solidFill>
                </w14:textFill>
              </w:rPr>
              <w:t>租赁</w:t>
            </w:r>
            <w:r>
              <w:rPr>
                <w:rFonts w:hint="eastAsia" w:cs="宋体"/>
                <w:color w:val="000000" w:themeColor="text1"/>
                <w:sz w:val="24"/>
                <w:highlight w:val="none"/>
                <w:lang w:val="en-US" w:eastAsia="zh-CN"/>
                <w14:textFill>
                  <w14:solidFill>
                    <w14:schemeClr w14:val="tx1"/>
                  </w14:solidFill>
                </w14:textFill>
              </w:rPr>
              <w:t>胡杨河经济技术开发区厂房，</w:t>
            </w:r>
            <w:r>
              <w:rPr>
                <w:rFonts w:hint="default" w:ascii="Times New Roman" w:hAnsi="Times New Roman" w:cs="Times New Roman"/>
                <w:color w:val="000000" w:themeColor="text1"/>
                <w:sz w:val="24"/>
                <w14:textFill>
                  <w14:solidFill>
                    <w14:schemeClr w14:val="tx1"/>
                  </w14:solidFill>
                </w14:textFill>
              </w:rPr>
              <w:t>建设年产</w:t>
            </w:r>
            <w:r>
              <w:rPr>
                <w:rFonts w:hint="default" w:ascii="Times New Roman" w:hAnsi="Times New Roman" w:cs="Times New Roman"/>
                <w:color w:val="000000" w:themeColor="text1"/>
                <w:sz w:val="24"/>
                <w:lang w:val="en-US" w:eastAsia="zh-CN"/>
                <w14:textFill>
                  <w14:solidFill>
                    <w14:schemeClr w14:val="tx1"/>
                  </w14:solidFill>
                </w14:textFill>
              </w:rPr>
              <w:t>180</w:t>
            </w:r>
            <w:r>
              <w:rPr>
                <w:rFonts w:hint="default" w:ascii="Times New Roman" w:hAnsi="Times New Roman" w:cs="Times New Roman"/>
                <w:color w:val="000000" w:themeColor="text1"/>
                <w:sz w:val="24"/>
                <w14:textFill>
                  <w14:solidFill>
                    <w14:schemeClr w14:val="tx1"/>
                  </w14:solidFill>
                </w14:textFill>
              </w:rPr>
              <w:t>米预应力混凝土管桩生产线，配套</w:t>
            </w:r>
            <w:r>
              <w:rPr>
                <w:rFonts w:hint="eastAsia" w:ascii="Times New Roman" w:hAnsi="Times New Roman" w:cs="Times New Roman"/>
                <w:color w:val="000000" w:themeColor="text1"/>
                <w:sz w:val="24"/>
                <w:lang w:val="en-US" w:eastAsia="zh-CN"/>
                <w14:textFill>
                  <w14:solidFill>
                    <w14:schemeClr w14:val="tx1"/>
                  </w14:solidFill>
                </w14:textFill>
              </w:rPr>
              <w:t>原材料</w:t>
            </w:r>
            <w:r>
              <w:rPr>
                <w:rFonts w:hint="default" w:ascii="Times New Roman" w:hAnsi="Times New Roman" w:cs="Times New Roman"/>
                <w:color w:val="000000" w:themeColor="text1"/>
                <w:sz w:val="24"/>
                <w14:textFill>
                  <w14:solidFill>
                    <w14:schemeClr w14:val="tx1"/>
                  </w14:solidFill>
                </w14:textFill>
              </w:rPr>
              <w:t>堆场、</w:t>
            </w:r>
            <w:r>
              <w:rPr>
                <w:rFonts w:hint="eastAsia" w:ascii="Times New Roman" w:hAnsi="Times New Roman" w:cs="Times New Roman"/>
                <w:color w:val="000000" w:themeColor="text1"/>
                <w:sz w:val="24"/>
                <w:lang w:val="en-US" w:eastAsia="zh-CN"/>
                <w14:textFill>
                  <w14:solidFill>
                    <w14:schemeClr w14:val="tx1"/>
                  </w14:solidFill>
                </w14:textFill>
              </w:rPr>
              <w:t>管桩成品堆场</w:t>
            </w:r>
            <w:r>
              <w:rPr>
                <w:rFonts w:hint="default" w:ascii="Times New Roman" w:hAnsi="Times New Roman" w:cs="Times New Roman"/>
                <w:color w:val="000000" w:themeColor="text1"/>
                <w:sz w:val="24"/>
                <w14:textFill>
                  <w14:solidFill>
                    <w14:schemeClr w14:val="tx1"/>
                  </w14:solidFill>
                </w14:textFill>
              </w:rPr>
              <w:t>及相关附属</w:t>
            </w:r>
            <w:r>
              <w:rPr>
                <w:rFonts w:hint="eastAsia" w:ascii="宋体" w:hAnsi="宋体"/>
                <w:color w:val="000000" w:themeColor="text1"/>
                <w:sz w:val="24"/>
                <w14:textFill>
                  <w14:solidFill>
                    <w14:schemeClr w14:val="tx1"/>
                  </w14:solidFill>
                </w14:textFill>
              </w:rPr>
              <w:t>设施等。</w:t>
            </w:r>
          </w:p>
          <w:p>
            <w:pPr>
              <w:adjustRightInd w:val="0"/>
              <w:snapToGrid w:val="0"/>
              <w:spacing w:line="56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根据《中华</w:t>
            </w:r>
            <w:r>
              <w:rPr>
                <w:rFonts w:hint="default" w:ascii="Times New Roman" w:hAnsi="Times New Roman" w:cs="Times New Roman"/>
                <w:color w:val="000000" w:themeColor="text1"/>
                <w:sz w:val="24"/>
                <w14:textFill>
                  <w14:solidFill>
                    <w14:schemeClr w14:val="tx1"/>
                  </w14:solidFill>
                </w14:textFill>
              </w:rPr>
              <w:t>人民共和国环境保护法》、《中华人民共和国环境影响评价法》以及国务院令 682 号《建设项目环境保护管理条例》的有关规定，应对该建设项目进行环境影响评价。对照《建设项目环境影响评价分类管理名录》（2021年版），</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二十七、非金属矿物制品业</w:t>
            </w:r>
            <w:r>
              <w:rPr>
                <w:rFonts w:hint="default" w:ascii="Times New Roman" w:hAnsi="Times New Roman" w:cs="Times New Roman"/>
                <w:color w:val="000000" w:themeColor="text1"/>
                <w:sz w:val="24"/>
                <w:lang w:val="en-US" w:eastAsia="zh-CN"/>
                <w14:textFill>
                  <w14:solidFill>
                    <w14:schemeClr w14:val="tx1"/>
                  </w14:solidFill>
                </w14:textFill>
              </w:rPr>
              <w:t>30-</w:t>
            </w:r>
            <w:r>
              <w:rPr>
                <w:rFonts w:hint="default" w:ascii="Times New Roman" w:hAnsi="Times New Roman" w:cs="Times New Roman"/>
                <w:color w:val="000000" w:themeColor="text1"/>
                <w:sz w:val="24"/>
                <w14:textFill>
                  <w14:solidFill>
                    <w14:schemeClr w14:val="tx1"/>
                  </w14:solidFill>
                </w14:textFill>
              </w:rPr>
              <w:t>55、石膏</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水泥制品及类似制品</w:t>
            </w:r>
            <w:r>
              <w:rPr>
                <w:rFonts w:hint="default" w:ascii="Times New Roman" w:hAnsi="Times New Roman" w:cs="Times New Roman"/>
                <w:color w:val="000000" w:themeColor="text1"/>
                <w:sz w:val="24"/>
                <w14:textFill>
                  <w14:solidFill>
                    <w14:schemeClr w14:val="tx1"/>
                  </w14:solidFill>
                </w14:textFill>
              </w:rPr>
              <w:t>制造302-</w:t>
            </w:r>
            <w:r>
              <w:rPr>
                <w:rFonts w:ascii="宋体" w:hAnsi="宋体" w:eastAsia="宋体" w:cs="宋体"/>
                <w:color w:val="000000" w:themeColor="text1"/>
                <w:sz w:val="24"/>
                <w:szCs w:val="24"/>
                <w14:textFill>
                  <w14:solidFill>
                    <w14:schemeClr w14:val="tx1"/>
                  </w14:solidFill>
                </w14:textFill>
              </w:rPr>
              <w:t>商品混凝土</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砼结构构件制造</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水泥制品制造</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类项目，应编制环境影响报告表</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本项目预应力混凝土管桩</w:t>
            </w:r>
            <w:r>
              <w:rPr>
                <w:rFonts w:hint="default" w:ascii="Times New Roman" w:hAnsi="Times New Roman" w:cs="Times New Roman"/>
                <w:color w:val="000000" w:themeColor="text1"/>
                <w:sz w:val="24"/>
                <w:lang w:val="en-US" w:eastAsia="zh-CN"/>
                <w14:textFill>
                  <w14:solidFill>
                    <w14:schemeClr w14:val="tx1"/>
                  </w14:solidFill>
                </w14:textFill>
              </w:rPr>
              <w:t>生产</w:t>
            </w:r>
            <w:r>
              <w:rPr>
                <w:rFonts w:hint="default" w:ascii="Times New Roman" w:hAnsi="Times New Roman" w:cs="Times New Roman"/>
                <w:color w:val="000000" w:themeColor="text1"/>
                <w:sz w:val="24"/>
                <w14:textFill>
                  <w14:solidFill>
                    <w14:schemeClr w14:val="tx1"/>
                  </w14:solidFill>
                </w14:textFill>
              </w:rPr>
              <w:t>属于</w:t>
            </w:r>
            <w:r>
              <w:rPr>
                <w:rFonts w:hint="eastAsia" w:ascii="Times New Roman" w:hAnsi="Times New Roman" w:cs="Times New Roman"/>
                <w:color w:val="000000" w:themeColor="text1"/>
                <w:sz w:val="24"/>
                <w:lang w:val="en-US" w:eastAsia="zh-CN"/>
                <w14:textFill>
                  <w14:solidFill>
                    <w14:schemeClr w14:val="tx1"/>
                  </w14:solidFill>
                </w14:textFill>
              </w:rPr>
              <w:t>水泥制品制造，因此应编制环境影响报告表</w:t>
            </w:r>
            <w:r>
              <w:rPr>
                <w:rFonts w:hint="default" w:ascii="Times New Roman" w:hAnsi="Times New Roman" w:cs="Times New Roman"/>
                <w:color w:val="000000" w:themeColor="text1"/>
                <w:sz w:val="24"/>
                <w14:textFill>
                  <w14:solidFill>
                    <w14:schemeClr w14:val="tx1"/>
                  </w14:solidFill>
                </w14:textFill>
              </w:rPr>
              <w:t>。</w:t>
            </w:r>
          </w:p>
          <w:p>
            <w:pPr>
              <w:adjustRightInd w:val="0"/>
              <w:snapToGrid w:val="0"/>
              <w:spacing w:line="560" w:lineRule="exact"/>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为此，受建设方委托，我公司承担了本项目的环境影响评价工作，接受委托后结合该工程的性质、特点以及该区域环境功能特征，通过现场勘察调研，以及查阅有关资料；在工程分析基础上，按照相关导则和标准的要求，编制了本项目的环境影响报告表。</w:t>
            </w:r>
          </w:p>
          <w:p>
            <w:pPr>
              <w:adjustRightInd w:val="0"/>
              <w:snapToGrid w:val="0"/>
              <w:spacing w:line="52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建设内容</w:t>
            </w:r>
          </w:p>
          <w:p>
            <w:pPr>
              <w:spacing w:line="520" w:lineRule="exact"/>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年产</w:t>
            </w:r>
            <w:r>
              <w:rPr>
                <w:rFonts w:hint="eastAsia" w:cs="Times New Roman"/>
                <w:color w:val="000000" w:themeColor="text1"/>
                <w:sz w:val="24"/>
                <w:lang w:val="en-US" w:eastAsia="zh-CN"/>
                <w14:textFill>
                  <w14:solidFill>
                    <w14:schemeClr w14:val="tx1"/>
                  </w14:solidFill>
                </w14:textFill>
              </w:rPr>
              <w:t>18</w:t>
            </w:r>
            <w:r>
              <w:rPr>
                <w:rFonts w:hint="default" w:ascii="Times New Roman" w:hAnsi="Times New Roman" w:cs="Times New Roman"/>
                <w:color w:val="000000" w:themeColor="text1"/>
                <w:sz w:val="24"/>
                <w14:textFill>
                  <w14:solidFill>
                    <w14:schemeClr w14:val="tx1"/>
                  </w14:solidFill>
                </w14:textFill>
              </w:rPr>
              <w:t>0万米预应力混凝土管桩</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新</w:t>
            </w:r>
            <w:r>
              <w:rPr>
                <w:rFonts w:hint="default" w:ascii="Times New Roman" w:hAnsi="Times New Roman" w:cs="Times New Roman"/>
                <w:color w:val="000000" w:themeColor="text1"/>
                <w:sz w:val="24"/>
                <w14:textFill>
                  <w14:solidFill>
                    <w14:schemeClr w14:val="tx1"/>
                  </w14:solidFill>
                </w14:textFill>
              </w:rPr>
              <w:t>建年产</w:t>
            </w:r>
            <w:r>
              <w:rPr>
                <w:rFonts w:hint="eastAsia" w:cs="Times New Roman"/>
                <w:color w:val="000000" w:themeColor="text1"/>
                <w:sz w:val="24"/>
                <w:lang w:val="en-US" w:eastAsia="zh-CN"/>
                <w14:textFill>
                  <w14:solidFill>
                    <w14:schemeClr w14:val="tx1"/>
                  </w14:solidFill>
                </w14:textFill>
              </w:rPr>
              <w:t>18</w:t>
            </w:r>
            <w:r>
              <w:rPr>
                <w:rFonts w:hint="default" w:ascii="Times New Roman" w:hAnsi="Times New Roman" w:cs="Times New Roman"/>
                <w:color w:val="000000" w:themeColor="text1"/>
                <w:sz w:val="24"/>
                <w14:textFill>
                  <w14:solidFill>
                    <w14:schemeClr w14:val="tx1"/>
                  </w14:solidFill>
                </w14:textFill>
              </w:rPr>
              <w:t>0万米预应力混凝土管桩生产线</w:t>
            </w:r>
            <w:r>
              <w:rPr>
                <w:rFonts w:hint="eastAsia" w:cs="Times New Roman"/>
                <w:color w:val="000000" w:themeColor="text1"/>
                <w:sz w:val="24"/>
                <w:lang w:val="en-US" w:eastAsia="zh-CN"/>
                <w14:textFill>
                  <w14:solidFill>
                    <w14:schemeClr w14:val="tx1"/>
                  </w14:solidFill>
                </w14:textFill>
              </w:rPr>
              <w:t>1条</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购置砼拌合机、预应力桩钢筋编笼机、装载机、张拉机、</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t</w:t>
            </w:r>
            <w:r>
              <w:rPr>
                <w:rFonts w:hint="default" w:ascii="Times New Roman" w:hAnsi="Times New Roman" w:cs="Times New Roman"/>
                <w:color w:val="000000" w:themeColor="text1"/>
                <w:sz w:val="24"/>
                <w14:textFill>
                  <w14:solidFill>
                    <w14:schemeClr w14:val="tx1"/>
                  </w14:solidFill>
                </w14:textFill>
              </w:rPr>
              <w:t>天然气锅炉等</w:t>
            </w:r>
            <w:r>
              <w:rPr>
                <w:rFonts w:hint="default" w:ascii="Times New Roman" w:hAnsi="Times New Roman" w:cs="Times New Roman"/>
                <w:color w:val="000000" w:themeColor="text1"/>
                <w:sz w:val="24"/>
                <w:lang w:val="en-US" w:eastAsia="zh-CN"/>
                <w14:textFill>
                  <w14:solidFill>
                    <w14:schemeClr w14:val="tx1"/>
                  </w14:solidFill>
                </w14:textFill>
              </w:rPr>
              <w:t>设备</w:t>
            </w:r>
            <w:r>
              <w:rPr>
                <w:rFonts w:hint="default" w:ascii="Times New Roman" w:hAnsi="Times New Roman" w:cs="Times New Roman"/>
                <w:color w:val="000000" w:themeColor="text1"/>
                <w:sz w:val="24"/>
                <w14:textFill>
                  <w14:solidFill>
                    <w14:schemeClr w14:val="tx1"/>
                  </w14:solidFill>
                </w14:textFill>
              </w:rPr>
              <w:t>及相关配套设施。配套</w:t>
            </w:r>
            <w:r>
              <w:rPr>
                <w:rFonts w:hint="eastAsia" w:cs="Times New Roman"/>
                <w:color w:val="000000" w:themeColor="text1"/>
                <w:sz w:val="24"/>
                <w:lang w:val="en-US" w:eastAsia="zh-CN"/>
                <w14:textFill>
                  <w14:solidFill>
                    <w14:schemeClr w14:val="tx1"/>
                  </w14:solidFill>
                </w14:textFill>
              </w:rPr>
              <w:t>原材料</w:t>
            </w:r>
            <w:r>
              <w:rPr>
                <w:rFonts w:hint="default" w:ascii="Times New Roman" w:hAnsi="Times New Roman" w:cs="Times New Roman"/>
                <w:color w:val="000000" w:themeColor="text1"/>
                <w:sz w:val="24"/>
                <w14:textFill>
                  <w14:solidFill>
                    <w14:schemeClr w14:val="tx1"/>
                  </w14:solidFill>
                </w14:textFill>
              </w:rPr>
              <w:t>堆场、</w:t>
            </w:r>
            <w:r>
              <w:rPr>
                <w:rFonts w:hint="eastAsia" w:ascii="Times New Roman" w:hAnsi="Times New Roman" w:cs="Times New Roman"/>
                <w:color w:val="000000" w:themeColor="text1"/>
                <w:sz w:val="24"/>
                <w:lang w:val="en-US" w:eastAsia="zh-CN"/>
                <w14:textFill>
                  <w14:solidFill>
                    <w14:schemeClr w14:val="tx1"/>
                  </w14:solidFill>
                </w14:textFill>
              </w:rPr>
              <w:t>管桩成品堆场</w:t>
            </w:r>
            <w:r>
              <w:rPr>
                <w:rFonts w:hint="default" w:ascii="Times New Roman" w:hAnsi="Times New Roman" w:cs="Times New Roman"/>
                <w:color w:val="000000" w:themeColor="text1"/>
                <w:sz w:val="24"/>
                <w14:textFill>
                  <w14:solidFill>
                    <w14:schemeClr w14:val="tx1"/>
                  </w14:solidFill>
                </w14:textFill>
              </w:rPr>
              <w:t>及相关附属</w:t>
            </w:r>
            <w:r>
              <w:rPr>
                <w:rFonts w:hint="eastAsia" w:ascii="宋体" w:hAnsi="宋体"/>
                <w:color w:val="000000" w:themeColor="text1"/>
                <w:sz w:val="24"/>
                <w14:textFill>
                  <w14:solidFill>
                    <w14:schemeClr w14:val="tx1"/>
                  </w14:solidFill>
                </w14:textFill>
              </w:rPr>
              <w:t>设施等</w:t>
            </w:r>
            <w:r>
              <w:rPr>
                <w:rFonts w:hint="default" w:ascii="Times New Roman" w:hAnsi="Times New Roman" w:cs="Times New Roman"/>
                <w:color w:val="000000" w:themeColor="text1"/>
                <w:sz w:val="24"/>
                <w:lang w:eastAsia="zh-CN"/>
                <w14:textFill>
                  <w14:solidFill>
                    <w14:schemeClr w14:val="tx1"/>
                  </w14:solidFill>
                </w14:textFill>
              </w:rPr>
              <w:t>。</w:t>
            </w:r>
          </w:p>
          <w:p>
            <w:pPr>
              <w:spacing w:line="560" w:lineRule="exact"/>
              <w:ind w:firstLine="480" w:firstLineChars="200"/>
              <w:rPr>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具体建设内容见</w:t>
            </w:r>
            <w:r>
              <w:rPr>
                <w:rFonts w:hint="eastAsia"/>
                <w:color w:val="000000" w:themeColor="text1"/>
                <w:sz w:val="24"/>
                <w14:textFill>
                  <w14:solidFill>
                    <w14:schemeClr w14:val="tx1"/>
                  </w14:solidFill>
                </w14:textFill>
              </w:rPr>
              <w:t>下</w:t>
            </w:r>
            <w:r>
              <w:rPr>
                <w:color w:val="000000" w:themeColor="text1"/>
                <w:sz w:val="24"/>
                <w14:textFill>
                  <w14:solidFill>
                    <w14:schemeClr w14:val="tx1"/>
                  </w14:solidFill>
                </w14:textFill>
              </w:rPr>
              <w:t>表。</w:t>
            </w:r>
          </w:p>
          <w:p>
            <w:pPr>
              <w:jc w:val="center"/>
              <w:rPr>
                <w:color w:val="000000" w:themeColor="text1"/>
                <w14:textFill>
                  <w14:solidFill>
                    <w14:schemeClr w14:val="tx1"/>
                  </w14:solidFill>
                </w14:textFill>
              </w:rPr>
            </w:pPr>
            <w:r>
              <w:rPr>
                <w:b/>
                <w:color w:val="000000" w:themeColor="text1"/>
                <w14:textFill>
                  <w14:solidFill>
                    <w14:schemeClr w14:val="tx1"/>
                  </w14:solidFill>
                </w14:textFill>
              </w:rPr>
              <w:t>表2-</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 xml:space="preserve">   建设项目组成一览表</w:t>
            </w:r>
          </w:p>
          <w:tbl>
            <w:tblPr>
              <w:tblStyle w:val="24"/>
              <w:tblW w:w="477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1"/>
              <w:gridCol w:w="1562"/>
              <w:gridCol w:w="57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Align w:val="center"/>
                </w:tcPr>
                <w:p>
                  <w:pPr>
                    <w:spacing w:line="320" w:lineRule="exact"/>
                    <w:jc w:val="center"/>
                    <w:rPr>
                      <w:bCs/>
                      <w:color w:val="000000" w:themeColor="text1"/>
                      <w:szCs w:val="21"/>
                      <w:lang w:val="en-CA"/>
                      <w14:textFill>
                        <w14:solidFill>
                          <w14:schemeClr w14:val="tx1"/>
                        </w14:solidFill>
                      </w14:textFill>
                    </w:rPr>
                  </w:pPr>
                  <w:r>
                    <w:rPr>
                      <w:bCs/>
                      <w:color w:val="000000" w:themeColor="text1"/>
                      <w:szCs w:val="21"/>
                      <w:lang w:val="en-CA"/>
                      <w14:textFill>
                        <w14:solidFill>
                          <w14:schemeClr w14:val="tx1"/>
                        </w14:solidFill>
                      </w14:textFill>
                    </w:rPr>
                    <w:t>项目</w:t>
                  </w:r>
                </w:p>
                <w:p>
                  <w:pPr>
                    <w:spacing w:line="320" w:lineRule="exact"/>
                    <w:jc w:val="center"/>
                    <w:rPr>
                      <w:bCs/>
                      <w:color w:val="000000" w:themeColor="text1"/>
                      <w:szCs w:val="21"/>
                      <w:lang w:val="en-CA"/>
                      <w14:textFill>
                        <w14:solidFill>
                          <w14:schemeClr w14:val="tx1"/>
                        </w14:solidFill>
                      </w14:textFill>
                    </w:rPr>
                  </w:pPr>
                  <w:r>
                    <w:rPr>
                      <w:bCs/>
                      <w:color w:val="000000" w:themeColor="text1"/>
                      <w:szCs w:val="21"/>
                      <w:lang w:val="en-CA"/>
                      <w14:textFill>
                        <w14:solidFill>
                          <w14:schemeClr w14:val="tx1"/>
                        </w14:solidFill>
                      </w14:textFill>
                    </w:rPr>
                    <w:t>类别</w:t>
                  </w:r>
                </w:p>
              </w:tc>
              <w:tc>
                <w:tcPr>
                  <w:tcW w:w="975" w:type="pct"/>
                  <w:tcBorders>
                    <w:left w:val="single" w:color="auto" w:sz="4" w:space="0"/>
                  </w:tcBorders>
                  <w:vAlign w:val="center"/>
                </w:tcPr>
                <w:p>
                  <w:pPr>
                    <w:spacing w:line="320" w:lineRule="exact"/>
                    <w:jc w:val="center"/>
                    <w:rPr>
                      <w:bCs/>
                      <w:color w:val="000000" w:themeColor="text1"/>
                      <w:szCs w:val="21"/>
                      <w:lang w:val="en-CA"/>
                      <w14:textFill>
                        <w14:solidFill>
                          <w14:schemeClr w14:val="tx1"/>
                        </w14:solidFill>
                      </w14:textFill>
                    </w:rPr>
                  </w:pPr>
                  <w:r>
                    <w:rPr>
                      <w:bCs/>
                      <w:color w:val="000000" w:themeColor="text1"/>
                      <w:szCs w:val="21"/>
                      <w:lang w:val="en-CA"/>
                      <w14:textFill>
                        <w14:solidFill>
                          <w14:schemeClr w14:val="tx1"/>
                        </w14:solidFill>
                      </w14:textFill>
                    </w:rPr>
                    <w:t>工程名称</w:t>
                  </w:r>
                </w:p>
              </w:tc>
              <w:tc>
                <w:tcPr>
                  <w:tcW w:w="3605" w:type="pct"/>
                  <w:vAlign w:val="center"/>
                </w:tcPr>
                <w:p>
                  <w:pPr>
                    <w:spacing w:line="320" w:lineRule="exact"/>
                    <w:jc w:val="center"/>
                    <w:rPr>
                      <w:bCs/>
                      <w:color w:val="000000" w:themeColor="text1"/>
                      <w:szCs w:val="21"/>
                      <w:lang w:val="en-CA"/>
                      <w14:textFill>
                        <w14:solidFill>
                          <w14:schemeClr w14:val="tx1"/>
                        </w14:solidFill>
                      </w14:textFill>
                    </w:rPr>
                  </w:pPr>
                  <w:r>
                    <w:rPr>
                      <w:bCs/>
                      <w:color w:val="000000" w:themeColor="text1"/>
                      <w:szCs w:val="21"/>
                      <w:lang w:val="en-CA"/>
                      <w14:textFill>
                        <w14:solidFill>
                          <w14:schemeClr w14:val="tx1"/>
                        </w14:solidFill>
                      </w14:textFill>
                    </w:rPr>
                    <w:t>建设内容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Align w:val="center"/>
                </w:tcPr>
                <w:p>
                  <w:pPr>
                    <w:adjustRightInd w:val="0"/>
                    <w:snapToGrid w:val="0"/>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主体</w:t>
                  </w:r>
                </w:p>
                <w:p>
                  <w:pPr>
                    <w:adjustRightInd w:val="0"/>
                    <w:snapToGrid w:val="0"/>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975" w:type="pct"/>
                  <w:vAlign w:val="center"/>
                </w:tcPr>
                <w:p>
                  <w:pPr>
                    <w:widowControl/>
                    <w:jc w:val="center"/>
                    <w:textAlignment w:val="bottom"/>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生产厂房</w:t>
                  </w:r>
                </w:p>
              </w:tc>
              <w:tc>
                <w:tcPr>
                  <w:tcW w:w="3605" w:type="pct"/>
                  <w:vAlign w:val="center"/>
                </w:tcPr>
                <w:p>
                  <w:pPr>
                    <w:widowControl/>
                    <w:textAlignment w:val="bottom"/>
                    <w:rPr>
                      <w:rFonts w:hint="default"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14:textFill>
                        <w14:solidFill>
                          <w14:schemeClr w14:val="tx1"/>
                        </w14:solidFill>
                      </w14:textFill>
                    </w:rPr>
                    <w:t>租赁胡杨河经济技术开发区孵化园内28#标注化厂房，地上1</w:t>
                  </w:r>
                  <w:r>
                    <w:rPr>
                      <w:rFonts w:hint="eastAsia"/>
                      <w:color w:val="000000" w:themeColor="text1"/>
                      <w:szCs w:val="21"/>
                      <w14:textFill>
                        <w14:solidFill>
                          <w14:schemeClr w14:val="tx1"/>
                        </w14:solidFill>
                      </w14:textFill>
                    </w:rPr>
                    <w:t>层，建筑</w:t>
                  </w:r>
                  <w:r>
                    <w:rPr>
                      <w:color w:val="000000" w:themeColor="text1"/>
                      <w:szCs w:val="21"/>
                      <w14:textFill>
                        <w14:solidFill>
                          <w14:schemeClr w14:val="tx1"/>
                        </w14:solidFill>
                      </w14:textFill>
                    </w:rPr>
                    <w:t>面积</w:t>
                  </w:r>
                  <w:r>
                    <w:rPr>
                      <w:rFonts w:hint="eastAsia"/>
                      <w:color w:val="000000" w:themeColor="text1"/>
                      <w:szCs w:val="21"/>
                      <w:lang w:val="en-US" w:eastAsia="zh-CN" w:bidi="ar"/>
                      <w14:textFill>
                        <w14:solidFill>
                          <w14:schemeClr w14:val="tx1"/>
                        </w14:solidFill>
                      </w14:textFill>
                    </w:rPr>
                    <w:t>5000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厂房内主要生产线：</w:t>
                  </w:r>
                  <w:r>
                    <w:rPr>
                      <w:rFonts w:hint="eastAsia" w:eastAsiaTheme="minorEastAsia"/>
                      <w:color w:val="000000" w:themeColor="text1"/>
                      <w:szCs w:val="21"/>
                      <w14:textFill>
                        <w14:solidFill>
                          <w14:schemeClr w14:val="tx1"/>
                        </w14:solidFill>
                      </w14:textFill>
                    </w:rPr>
                    <w:t>预应力管桩钢筋</w:t>
                  </w:r>
                  <w:r>
                    <w:rPr>
                      <w:rFonts w:hint="eastAsia"/>
                      <w:color w:val="000000" w:themeColor="text1"/>
                      <w:szCs w:val="21"/>
                      <w:lang w:val="en-US" w:eastAsia="zh-CN"/>
                      <w14:textFill>
                        <w14:solidFill>
                          <w14:schemeClr w14:val="tx1"/>
                        </w14:solidFill>
                      </w14:textFill>
                    </w:rPr>
                    <w:t>编笼机-装配机-</w:t>
                  </w:r>
                  <w:r>
                    <w:rPr>
                      <w:rFonts w:hint="eastAsia" w:eastAsiaTheme="minorEastAsia"/>
                      <w:color w:val="000000" w:themeColor="text1"/>
                      <w:szCs w:val="21"/>
                      <w14:textFill>
                        <w14:solidFill>
                          <w14:schemeClr w14:val="tx1"/>
                        </w14:solidFill>
                      </w14:textFill>
                    </w:rPr>
                    <w:t>预应力管桩模具</w:t>
                  </w:r>
                  <w:r>
                    <w:rPr>
                      <w:rFonts w:hint="eastAsia"/>
                      <w:color w:val="000000" w:themeColor="text1"/>
                      <w:szCs w:val="21"/>
                      <w:lang w:val="en-US" w:eastAsia="zh-CN"/>
                      <w14:textFill>
                        <w14:solidFill>
                          <w14:schemeClr w14:val="tx1"/>
                        </w14:solidFill>
                      </w14:textFill>
                    </w:rPr>
                    <w:t>-砼拌合机-预应力张拉机-离心机-</w:t>
                  </w:r>
                  <w:r>
                    <w:rPr>
                      <w:rFonts w:hint="eastAsia" w:eastAsiaTheme="minorEastAsia"/>
                      <w:color w:val="000000" w:themeColor="text1"/>
                      <w:szCs w:val="21"/>
                      <w14:textFill>
                        <w14:solidFill>
                          <w14:schemeClr w14:val="tx1"/>
                        </w14:solidFill>
                      </w14:textFill>
                    </w:rPr>
                    <w:t>切断、墩头机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Align w:val="center"/>
                </w:tcPr>
                <w:p>
                  <w:pPr>
                    <w:adjustRightInd w:val="0"/>
                    <w:snapToGrid w:val="0"/>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辅助</w:t>
                  </w:r>
                </w:p>
                <w:p>
                  <w:pPr>
                    <w:adjustRightInd w:val="0"/>
                    <w:snapToGrid w:val="0"/>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工程</w:t>
                  </w:r>
                </w:p>
              </w:tc>
              <w:tc>
                <w:tcPr>
                  <w:tcW w:w="975" w:type="pct"/>
                  <w:vAlign w:val="center"/>
                </w:tcPr>
                <w:p>
                  <w:pPr>
                    <w:widowControl/>
                    <w:jc w:val="center"/>
                    <w:textAlignment w:val="bottom"/>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员工宿舍</w:t>
                  </w:r>
                </w:p>
              </w:tc>
              <w:tc>
                <w:tcPr>
                  <w:tcW w:w="3605" w:type="pct"/>
                  <w:vAlign w:val="center"/>
                </w:tcPr>
                <w:p>
                  <w:pPr>
                    <w:widowControl/>
                    <w:textAlignment w:val="bottom"/>
                    <w:rPr>
                      <w:rFonts w:hint="default" w:eastAsiaTheme="minorEastAsia"/>
                      <w:color w:val="000000" w:themeColor="text1"/>
                      <w:kern w:val="0"/>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租赁胡杨河经济技术开发区孵化园内5号宿舍楼第三层22间、1号宿舍楼第二层1间第三层东侧10间，建筑面积1793.88</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restart"/>
                  <w:vAlign w:val="center"/>
                </w:tcPr>
                <w:p>
                  <w:pPr>
                    <w:adjustRightInd w:val="0"/>
                    <w:snapToGrid w:val="0"/>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储运工程</w:t>
                  </w:r>
                </w:p>
              </w:tc>
              <w:tc>
                <w:tcPr>
                  <w:tcW w:w="975" w:type="pct"/>
                  <w:vAlign w:val="center"/>
                </w:tcPr>
                <w:p>
                  <w:pPr>
                    <w:widowControl/>
                    <w:jc w:val="center"/>
                    <w:textAlignment w:val="bottom"/>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筒仓</w:t>
                  </w:r>
                </w:p>
              </w:tc>
              <w:tc>
                <w:tcPr>
                  <w:tcW w:w="3605" w:type="pct"/>
                  <w:vAlign w:val="center"/>
                </w:tcPr>
                <w:p>
                  <w:pPr>
                    <w:pStyle w:val="100"/>
                    <w:spacing w:line="240" w:lineRule="atLeast"/>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150t筒仓2个用于储存矿粉，200t筒仓2个用于储存水泥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Align w:val="center"/>
                </w:tcPr>
                <w:p>
                  <w:pPr>
                    <w:widowControl/>
                    <w:jc w:val="center"/>
                    <w:textAlignment w:val="bottom"/>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eastAsiaTheme="minorEastAsia"/>
                      <w:color w:val="000000" w:themeColor="text1"/>
                      <w:kern w:val="0"/>
                      <w:szCs w:val="21"/>
                      <w14:textFill>
                        <w14:solidFill>
                          <w14:schemeClr w14:val="tx1"/>
                        </w14:solidFill>
                      </w14:textFill>
                    </w:rPr>
                    <w:t>原辅材料储存</w:t>
                  </w:r>
                </w:p>
              </w:tc>
              <w:tc>
                <w:tcPr>
                  <w:tcW w:w="3605" w:type="pct"/>
                  <w:vAlign w:val="center"/>
                </w:tcPr>
                <w:p>
                  <w:pPr>
                    <w:pStyle w:val="100"/>
                    <w:spacing w:line="240" w:lineRule="atLeas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石子、砂堆放区位于生产厂</w:t>
                  </w:r>
                  <w:r>
                    <w:rPr>
                      <w:rFonts w:hint="default" w:ascii="Times New Roman" w:hAnsi="Times New Roman" w:cs="Times New Roman"/>
                      <w:color w:val="000000" w:themeColor="text1"/>
                      <w:kern w:val="2"/>
                      <w:sz w:val="21"/>
                      <w:szCs w:val="21"/>
                      <w:lang w:val="en-US" w:eastAsia="zh-CN"/>
                      <w14:textFill>
                        <w14:solidFill>
                          <w14:schemeClr w14:val="tx1"/>
                        </w14:solidFill>
                      </w14:textFill>
                    </w:rPr>
                    <w:t>房内</w:t>
                  </w:r>
                  <w:r>
                    <w:rPr>
                      <w:rFonts w:hint="eastAsia" w:ascii="Times New Roman" w:hAnsi="Times New Roman" w:cs="Times New Roman"/>
                      <w:color w:val="000000" w:themeColor="text1"/>
                      <w:kern w:val="2"/>
                      <w:sz w:val="21"/>
                      <w:szCs w:val="21"/>
                      <w:lang w:val="en-US" w:eastAsia="zh-CN"/>
                      <w14:textFill>
                        <w14:solidFill>
                          <w14:schemeClr w14:val="tx1"/>
                        </w14:solidFill>
                      </w14:textFill>
                    </w:rPr>
                    <w:t>东侧</w:t>
                  </w:r>
                  <w:r>
                    <w:rPr>
                      <w:rFonts w:hint="default" w:ascii="Times New Roman" w:hAnsi="Times New Roman" w:cs="Times New Roman"/>
                      <w:color w:val="000000" w:themeColor="text1"/>
                      <w:kern w:val="2"/>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面积</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eastAsia" w:ascii="Times New Roman" w:hAnsi="Times New Roman" w:cs="Times New Roman"/>
                      <w:color w:val="000000" w:themeColor="text1"/>
                      <w:kern w:val="2"/>
                      <w:sz w:val="21"/>
                      <w:szCs w:val="21"/>
                      <w:lang w:val="en-US" w:eastAsia="zh-CN"/>
                      <w14:textFill>
                        <w14:solidFill>
                          <w14:schemeClr w14:val="tx1"/>
                        </w14:solidFill>
                      </w14:textFill>
                    </w:rPr>
                    <w:t>，三面封闭，墙体高度4m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Align w:val="center"/>
                </w:tcPr>
                <w:p>
                  <w:pPr>
                    <w:widowControl/>
                    <w:jc w:val="center"/>
                    <w:textAlignment w:val="bottom"/>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成品堆场</w:t>
                  </w:r>
                </w:p>
              </w:tc>
              <w:tc>
                <w:tcPr>
                  <w:tcW w:w="3605" w:type="pct"/>
                  <w:vAlign w:val="center"/>
                </w:tcPr>
                <w:p>
                  <w:pPr>
                    <w:pStyle w:val="100"/>
                    <w:spacing w:line="240" w:lineRule="atLeast"/>
                    <w:rPr>
                      <w:rFonts w:hint="default" w:ascii="Times New Roman" w:hAnsi="Times New Roman" w:cs="Times New Roman"/>
                      <w:color w:val="000000" w:themeColor="text1"/>
                      <w:kern w:val="2"/>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生产厂房内，</w:t>
                  </w:r>
                  <w:r>
                    <w:rPr>
                      <w:rFonts w:hint="default" w:ascii="Times New Roman" w:hAnsi="Times New Roman" w:cs="Times New Roman" w:eastAsiaTheme="minorEastAsia"/>
                      <w:color w:val="000000" w:themeColor="text1"/>
                      <w:sz w:val="21"/>
                      <w:szCs w:val="21"/>
                      <w14:textFill>
                        <w14:solidFill>
                          <w14:schemeClr w14:val="tx1"/>
                        </w14:solidFill>
                      </w14:textFill>
                    </w:rPr>
                    <w:t>面积</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1080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restart"/>
                  <w:vAlign w:val="center"/>
                </w:tcPr>
                <w:p>
                  <w:pP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公用</w:t>
                  </w:r>
                </w:p>
                <w:p>
                  <w:pP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工程</w:t>
                  </w:r>
                </w:p>
              </w:tc>
              <w:tc>
                <w:tcPr>
                  <w:tcW w:w="975" w:type="pct"/>
                  <w:vAlign w:val="center"/>
                </w:tcPr>
                <w:p>
                  <w:pPr>
                    <w:jc w:val="center"/>
                    <w:rPr>
                      <w:rFonts w:eastAsiaTheme="minorEastAsia"/>
                      <w:color w:val="000000" w:themeColor="text1"/>
                      <w:kern w:val="0"/>
                      <w:szCs w:val="21"/>
                      <w14:textFill>
                        <w14:solidFill>
                          <w14:schemeClr w14:val="tx1"/>
                        </w14:solidFill>
                      </w14:textFill>
                    </w:rPr>
                  </w:pPr>
                  <w:r>
                    <w:rPr>
                      <w:rFonts w:hint="eastAsia" w:cs="宋体"/>
                      <w:color w:val="000000" w:themeColor="text1"/>
                      <w:szCs w:val="21"/>
                      <w:lang w:bidi="ar"/>
                      <w14:textFill>
                        <w14:solidFill>
                          <w14:schemeClr w14:val="tx1"/>
                        </w14:solidFill>
                      </w14:textFill>
                    </w:rPr>
                    <w:t>供电</w:t>
                  </w:r>
                </w:p>
              </w:tc>
              <w:tc>
                <w:tcPr>
                  <w:tcW w:w="3605" w:type="pct"/>
                  <w:vAlign w:val="center"/>
                </w:tcPr>
                <w:p>
                  <w:pPr>
                    <w:rPr>
                      <w:rFonts w:hint="default" w:eastAsia="宋体" w:cs="宋体"/>
                      <w:color w:val="000000" w:themeColor="text1"/>
                      <w:szCs w:val="21"/>
                      <w:lang w:val="en-US" w:eastAsia="zh-CN" w:bidi="ar"/>
                      <w14:textFill>
                        <w14:solidFill>
                          <w14:schemeClr w14:val="tx1"/>
                        </w14:solidFill>
                      </w14:textFill>
                    </w:rPr>
                  </w:pPr>
                  <w:r>
                    <w:rPr>
                      <w:rFonts w:hint="eastAsia" w:cs="宋体"/>
                      <w:color w:val="000000" w:themeColor="text1"/>
                      <w:szCs w:val="21"/>
                      <w:lang w:val="en-US" w:eastAsia="zh-CN" w:bidi="ar"/>
                      <w14:textFill>
                        <w14:solidFill>
                          <w14:schemeClr w14:val="tx1"/>
                        </w14:solidFill>
                      </w14:textFill>
                    </w:rPr>
                    <w:t>依托园区供电电网供给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rPr>
                      <w:rFonts w:cs="宋体"/>
                      <w:color w:val="000000" w:themeColor="text1"/>
                      <w:szCs w:val="21"/>
                      <w:lang w:bidi="ar"/>
                      <w14:textFill>
                        <w14:solidFill>
                          <w14:schemeClr w14:val="tx1"/>
                        </w14:solidFill>
                      </w14:textFill>
                    </w:rPr>
                  </w:pPr>
                </w:p>
              </w:tc>
              <w:tc>
                <w:tcPr>
                  <w:tcW w:w="975" w:type="pct"/>
                  <w:vAlign w:val="center"/>
                </w:tcPr>
                <w:p>
                  <w:pPr>
                    <w:jc w:val="center"/>
                    <w:rPr>
                      <w:rFonts w:eastAsiaTheme="minorEastAsia"/>
                      <w:color w:val="000000" w:themeColor="text1"/>
                      <w:kern w:val="0"/>
                      <w:szCs w:val="21"/>
                      <w14:textFill>
                        <w14:solidFill>
                          <w14:schemeClr w14:val="tx1"/>
                        </w14:solidFill>
                      </w14:textFill>
                    </w:rPr>
                  </w:pPr>
                  <w:r>
                    <w:rPr>
                      <w:rFonts w:hint="eastAsia" w:cs="宋体"/>
                      <w:color w:val="000000" w:themeColor="text1"/>
                      <w:szCs w:val="21"/>
                      <w:lang w:bidi="ar"/>
                      <w14:textFill>
                        <w14:solidFill>
                          <w14:schemeClr w14:val="tx1"/>
                        </w14:solidFill>
                      </w14:textFill>
                    </w:rPr>
                    <w:t>供水</w:t>
                  </w:r>
                </w:p>
              </w:tc>
              <w:tc>
                <w:tcPr>
                  <w:tcW w:w="3605" w:type="pct"/>
                  <w:vAlign w:val="center"/>
                </w:tcPr>
                <w:p>
                  <w:pPr>
                    <w:widowControl/>
                    <w:rPr>
                      <w:rFonts w:hint="default" w:eastAsia="宋体" w:cs="宋体"/>
                      <w:color w:val="000000" w:themeColor="text1"/>
                      <w:szCs w:val="21"/>
                      <w:lang w:val="en-US" w:eastAsia="zh-CN" w:bidi="ar"/>
                      <w14:textFill>
                        <w14:solidFill>
                          <w14:schemeClr w14:val="tx1"/>
                        </w14:solidFill>
                      </w14:textFill>
                    </w:rPr>
                  </w:pPr>
                  <w:r>
                    <w:rPr>
                      <w:rFonts w:hint="eastAsia" w:cs="宋体"/>
                      <w:color w:val="000000" w:themeColor="text1"/>
                      <w:szCs w:val="21"/>
                      <w:lang w:val="en-US" w:eastAsia="zh-CN" w:bidi="ar"/>
                      <w14:textFill>
                        <w14:solidFill>
                          <w14:schemeClr w14:val="tx1"/>
                        </w14:solidFill>
                      </w14:textFill>
                    </w:rPr>
                    <w:t>依托园区供水管网供水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rPr>
                      <w:color w:val="000000" w:themeColor="text1"/>
                      <w:szCs w:val="21"/>
                      <w14:textFill>
                        <w14:solidFill>
                          <w14:schemeClr w14:val="tx1"/>
                        </w14:solidFill>
                      </w14:textFill>
                    </w:rPr>
                  </w:pPr>
                </w:p>
              </w:tc>
              <w:tc>
                <w:tcPr>
                  <w:tcW w:w="975" w:type="pct"/>
                  <w:vAlign w:val="center"/>
                </w:tcPr>
                <w:p>
                  <w:pPr>
                    <w:jc w:val="center"/>
                    <w:rPr>
                      <w:rFonts w:hint="eastAsia" w:eastAsia="宋体" w:cs="宋体"/>
                      <w:color w:val="000000" w:themeColor="text1"/>
                      <w:szCs w:val="21"/>
                      <w:lang w:val="en-US" w:eastAsia="zh-CN" w:bidi="ar"/>
                      <w14:textFill>
                        <w14:solidFill>
                          <w14:schemeClr w14:val="tx1"/>
                        </w14:solidFill>
                      </w14:textFill>
                    </w:rPr>
                  </w:pPr>
                  <w:r>
                    <w:rPr>
                      <w:rFonts w:hint="eastAsia" w:cs="宋体"/>
                      <w:color w:val="000000" w:themeColor="text1"/>
                      <w:szCs w:val="21"/>
                      <w:lang w:val="en-US" w:eastAsia="zh-CN" w:bidi="ar"/>
                      <w14:textFill>
                        <w14:solidFill>
                          <w14:schemeClr w14:val="tx1"/>
                        </w14:solidFill>
                      </w14:textFill>
                    </w:rPr>
                    <w:t>排水</w:t>
                  </w:r>
                </w:p>
              </w:tc>
              <w:tc>
                <w:tcPr>
                  <w:tcW w:w="3605" w:type="pct"/>
                  <w:vAlign w:val="center"/>
                </w:tcPr>
                <w:p>
                  <w:pPr>
                    <w:widowControl/>
                    <w:textAlignment w:val="bottom"/>
                    <w:rPr>
                      <w:rFonts w:eastAsiaTheme="minorEastAsia"/>
                      <w:color w:val="000000" w:themeColor="text1"/>
                      <w:kern w:val="0"/>
                      <w:szCs w:val="21"/>
                      <w:lang w:bidi="ar"/>
                      <w14:textFill>
                        <w14:solidFill>
                          <w14:schemeClr w14:val="tx1"/>
                        </w14:solidFill>
                      </w14:textFill>
                    </w:rPr>
                  </w:pPr>
                  <w:r>
                    <w:rPr>
                      <w:rFonts w:hint="eastAsia" w:eastAsiaTheme="minorEastAsia"/>
                      <w:color w:val="000000" w:themeColor="text1"/>
                      <w:kern w:val="0"/>
                      <w:szCs w:val="21"/>
                      <w:lang w:val="en-US" w:eastAsia="zh-CN" w:bidi="ar"/>
                      <w14:textFill>
                        <w14:solidFill>
                          <w14:schemeClr w14:val="tx1"/>
                        </w14:solidFill>
                      </w14:textFill>
                    </w:rPr>
                    <w:t>生产废水经收集、沉淀后循环使用不外排</w:t>
                  </w:r>
                  <w:r>
                    <w:rPr>
                      <w:rFonts w:hint="eastAsia" w:eastAsiaTheme="minorEastAsia"/>
                      <w:color w:val="000000" w:themeColor="text1"/>
                      <w:kern w:val="0"/>
                      <w:szCs w:val="21"/>
                      <w:lang w:bidi="ar"/>
                      <w14:textFill>
                        <w14:solidFill>
                          <w14:schemeClr w14:val="tx1"/>
                        </w14:solidFill>
                      </w14:textFill>
                    </w:rPr>
                    <w:t>，生活污水排入</w:t>
                  </w:r>
                  <w:r>
                    <w:rPr>
                      <w:rFonts w:hint="eastAsia" w:eastAsiaTheme="minorEastAsia"/>
                      <w:color w:val="000000" w:themeColor="text1"/>
                      <w:kern w:val="0"/>
                      <w:szCs w:val="21"/>
                      <w:lang w:val="en-US" w:eastAsia="zh-CN" w:bidi="ar"/>
                      <w14:textFill>
                        <w14:solidFill>
                          <w14:schemeClr w14:val="tx1"/>
                        </w14:solidFill>
                      </w14:textFill>
                    </w:rPr>
                    <w:t>园区</w:t>
                  </w:r>
                  <w:r>
                    <w:rPr>
                      <w:rFonts w:hint="eastAsia" w:eastAsiaTheme="minorEastAsia"/>
                      <w:color w:val="000000" w:themeColor="text1"/>
                      <w:kern w:val="0"/>
                      <w:szCs w:val="21"/>
                      <w:lang w:bidi="ar"/>
                      <w14:textFill>
                        <w14:solidFill>
                          <w14:schemeClr w14:val="tx1"/>
                        </w14:solidFill>
                      </w14:textFill>
                    </w:rPr>
                    <w:t>排水管网</w:t>
                  </w:r>
                  <w:r>
                    <w:rPr>
                      <w:rFonts w:hint="eastAsia" w:eastAsiaTheme="minorEastAsia"/>
                      <w:color w:val="000000" w:themeColor="text1"/>
                      <w:kern w:val="0"/>
                      <w:szCs w:val="21"/>
                      <w:lang w:val="en-US" w:eastAsia="zh-CN" w:bidi="ar"/>
                      <w14:textFill>
                        <w14:solidFill>
                          <w14:schemeClr w14:val="tx1"/>
                        </w14:solidFill>
                      </w14:textFill>
                    </w:rPr>
                    <w:t>进入园区污水处理厂处理</w:t>
                  </w:r>
                  <w:r>
                    <w:rPr>
                      <w:rFonts w:hint="eastAsia" w:eastAsiaTheme="minorEastAsia"/>
                      <w:color w:val="000000" w:themeColor="text1"/>
                      <w:kern w:val="0"/>
                      <w:szCs w:val="21"/>
                      <w:lang w:bidi="ar"/>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19" w:type="pct"/>
                  <w:vMerge w:val="continue"/>
                  <w:vAlign w:val="center"/>
                </w:tcPr>
                <w:p>
                  <w:pPr>
                    <w:rPr>
                      <w:color w:val="000000" w:themeColor="text1"/>
                      <w:szCs w:val="21"/>
                      <w14:textFill>
                        <w14:solidFill>
                          <w14:schemeClr w14:val="tx1"/>
                        </w14:solidFill>
                      </w14:textFill>
                    </w:rPr>
                  </w:pPr>
                </w:p>
              </w:tc>
              <w:tc>
                <w:tcPr>
                  <w:tcW w:w="975" w:type="pct"/>
                  <w:vAlign w:val="center"/>
                </w:tcPr>
                <w:p>
                  <w:pPr>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供暖</w:t>
                  </w:r>
                </w:p>
              </w:tc>
              <w:tc>
                <w:tcPr>
                  <w:tcW w:w="3605" w:type="pct"/>
                  <w:vAlign w:val="center"/>
                </w:tcPr>
                <w:p>
                  <w:pPr>
                    <w:widowControl/>
                    <w:textAlignment w:val="bottom"/>
                    <w:rPr>
                      <w:rFonts w:eastAsiaTheme="minorEastAsia"/>
                      <w:color w:val="000000" w:themeColor="text1"/>
                      <w:kern w:val="0"/>
                      <w:szCs w:val="21"/>
                      <w:lang w:bidi="ar"/>
                      <w14:textFill>
                        <w14:solidFill>
                          <w14:schemeClr w14:val="tx1"/>
                        </w14:solidFill>
                      </w14:textFill>
                    </w:rPr>
                  </w:pPr>
                  <w:r>
                    <w:rPr>
                      <w:rFonts w:hint="eastAsia" w:cs="宋体"/>
                      <w:bCs/>
                      <w:color w:val="000000" w:themeColor="text1"/>
                      <w:kern w:val="0"/>
                      <w:szCs w:val="21"/>
                      <w:lang w:val="zh-CN" w:bidi="ar"/>
                      <w14:textFill>
                        <w14:solidFill>
                          <w14:schemeClr w14:val="tx1"/>
                        </w14:solidFill>
                      </w14:textFill>
                    </w:rPr>
                    <w:t>不采暖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rPr>
                      <w:color w:val="000000" w:themeColor="text1"/>
                      <w:szCs w:val="21"/>
                      <w14:textFill>
                        <w14:solidFill>
                          <w14:schemeClr w14:val="tx1"/>
                        </w14:solidFill>
                      </w14:textFill>
                    </w:rPr>
                  </w:pPr>
                </w:p>
              </w:tc>
              <w:tc>
                <w:tcPr>
                  <w:tcW w:w="975" w:type="pct"/>
                  <w:vAlign w:val="center"/>
                </w:tcPr>
                <w:p>
                  <w:pPr>
                    <w:jc w:val="center"/>
                    <w:rPr>
                      <w:rFonts w:hint="eastAsia" w:cs="宋体"/>
                      <w:color w:val="000000" w:themeColor="text1"/>
                      <w:szCs w:val="21"/>
                      <w:lang w:bidi="ar"/>
                      <w14:textFill>
                        <w14:solidFill>
                          <w14:schemeClr w14:val="tx1"/>
                        </w14:solidFill>
                      </w14:textFill>
                    </w:rPr>
                  </w:pPr>
                  <w:r>
                    <w:rPr>
                      <w:rFonts w:hint="eastAsia" w:cs="宋体"/>
                      <w:color w:val="000000" w:themeColor="text1"/>
                      <w:szCs w:val="21"/>
                      <w:lang w:val="en-US" w:eastAsia="zh-CN" w:bidi="ar"/>
                      <w14:textFill>
                        <w14:solidFill>
                          <w14:schemeClr w14:val="tx1"/>
                        </w14:solidFill>
                      </w14:textFill>
                    </w:rPr>
                    <w:t>天然气</w:t>
                  </w:r>
                </w:p>
              </w:tc>
              <w:tc>
                <w:tcPr>
                  <w:tcW w:w="3605" w:type="pct"/>
                  <w:vAlign w:val="center"/>
                </w:tcPr>
                <w:p>
                  <w:pPr>
                    <w:widowControl/>
                    <w:textAlignment w:val="bottom"/>
                    <w:rPr>
                      <w:rFonts w:hint="eastAsia" w:eastAsiaTheme="minorEastAsia"/>
                      <w:color w:val="000000" w:themeColor="text1"/>
                      <w:kern w:val="0"/>
                      <w:szCs w:val="21"/>
                      <w:lang w:bidi="ar"/>
                      <w14:textFill>
                        <w14:solidFill>
                          <w14:schemeClr w14:val="tx1"/>
                        </w14:solidFill>
                      </w14:textFill>
                    </w:rPr>
                  </w:pPr>
                  <w:r>
                    <w:rPr>
                      <w:rFonts w:hint="eastAsia" w:eastAsiaTheme="minorEastAsia"/>
                      <w:color w:val="000000" w:themeColor="text1"/>
                      <w:kern w:val="0"/>
                      <w:szCs w:val="21"/>
                      <w:lang w:val="en-US" w:eastAsia="zh-CN" w:bidi="ar"/>
                      <w14:textFill>
                        <w14:solidFill>
                          <w14:schemeClr w14:val="tx1"/>
                        </w14:solidFill>
                      </w14:textFill>
                    </w:rPr>
                    <w:t>依托园区天然气管网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19" w:type="pct"/>
                  <w:vMerge w:val="restart"/>
                  <w:vAlign w:val="center"/>
                </w:tcPr>
                <w:p>
                  <w:pPr>
                    <w:adjustRightInd w:val="0"/>
                    <w:snapToGrid w:val="0"/>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环保</w:t>
                  </w:r>
                </w:p>
                <w:p>
                  <w:pPr>
                    <w:adjustRightInd w:val="0"/>
                    <w:snapToGrid w:val="0"/>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975" w:type="pct"/>
                  <w:vMerge w:val="restart"/>
                  <w:vAlign w:val="center"/>
                </w:tcPr>
                <w:p>
                  <w:pPr>
                    <w:jc w:val="center"/>
                    <w:rPr>
                      <w:rFonts w:hint="eastAsia" w:eastAsia="宋体" w:cs="宋体"/>
                      <w:color w:val="000000" w:themeColor="text1"/>
                      <w:szCs w:val="21"/>
                      <w:lang w:val="en-US" w:eastAsia="zh-CN" w:bidi="ar"/>
                      <w14:textFill>
                        <w14:solidFill>
                          <w14:schemeClr w14:val="tx1"/>
                        </w14:solidFill>
                      </w14:textFill>
                    </w:rPr>
                  </w:pPr>
                  <w:r>
                    <w:rPr>
                      <w:rFonts w:hint="eastAsia" w:cs="宋体"/>
                      <w:color w:val="000000" w:themeColor="text1"/>
                      <w:szCs w:val="21"/>
                      <w:lang w:val="en-US" w:eastAsia="zh-CN" w:bidi="ar"/>
                      <w14:textFill>
                        <w14:solidFill>
                          <w14:schemeClr w14:val="tx1"/>
                        </w14:solidFill>
                      </w14:textFill>
                    </w:rPr>
                    <w:t>废气</w:t>
                  </w:r>
                </w:p>
              </w:tc>
              <w:tc>
                <w:tcPr>
                  <w:tcW w:w="3605" w:type="pct"/>
                  <w:vAlign w:val="top"/>
                </w:tcPr>
                <w:p>
                  <w:pPr>
                    <w:pStyle w:val="100"/>
                    <w:spacing w:before="58" w:line="228" w:lineRule="auto"/>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编笼焊接烟气经移动式焊烟净化器处理后无组织排放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Merge w:val="continue"/>
                  <w:vAlign w:val="center"/>
                </w:tcPr>
                <w:p>
                  <w:pPr>
                    <w:jc w:val="center"/>
                    <w:rPr>
                      <w:rFonts w:hint="eastAsia" w:cs="宋体"/>
                      <w:color w:val="000000" w:themeColor="text1"/>
                      <w:szCs w:val="21"/>
                      <w:lang w:bidi="ar"/>
                      <w14:textFill>
                        <w14:solidFill>
                          <w14:schemeClr w14:val="tx1"/>
                        </w14:solidFill>
                      </w14:textFill>
                    </w:rPr>
                  </w:pPr>
                </w:p>
              </w:tc>
              <w:tc>
                <w:tcPr>
                  <w:tcW w:w="3605" w:type="pct"/>
                  <w:vAlign w:val="top"/>
                </w:tcPr>
                <w:p>
                  <w:pPr>
                    <w:pStyle w:val="100"/>
                    <w:spacing w:before="59" w:line="228" w:lineRule="auto"/>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原料堆放区采用篷布遮盖、洒水、三面密闭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Merge w:val="continue"/>
                  <w:vAlign w:val="center"/>
                </w:tcPr>
                <w:p>
                  <w:pPr>
                    <w:jc w:val="center"/>
                    <w:rPr>
                      <w:rFonts w:hint="eastAsia" w:cs="宋体"/>
                      <w:color w:val="000000" w:themeColor="text1"/>
                      <w:szCs w:val="21"/>
                      <w:lang w:bidi="ar"/>
                      <w14:textFill>
                        <w14:solidFill>
                          <w14:schemeClr w14:val="tx1"/>
                        </w14:solidFill>
                      </w14:textFill>
                    </w:rPr>
                  </w:pPr>
                </w:p>
              </w:tc>
              <w:tc>
                <w:tcPr>
                  <w:tcW w:w="3605" w:type="pct"/>
                  <w:vAlign w:val="top"/>
                </w:tcPr>
                <w:p>
                  <w:pPr>
                    <w:pStyle w:val="100"/>
                    <w:spacing w:before="59" w:line="228" w:lineRule="auto"/>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筒仓粉尘经脉冲除尘器处理后无组织排放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Merge w:val="continue"/>
                  <w:vAlign w:val="center"/>
                </w:tcPr>
                <w:p>
                  <w:pPr>
                    <w:jc w:val="center"/>
                    <w:rPr>
                      <w:rFonts w:hint="eastAsia" w:cs="宋体"/>
                      <w:color w:val="000000" w:themeColor="text1"/>
                      <w:szCs w:val="21"/>
                      <w:lang w:bidi="ar"/>
                      <w14:textFill>
                        <w14:solidFill>
                          <w14:schemeClr w14:val="tx1"/>
                        </w14:solidFill>
                      </w14:textFill>
                    </w:rPr>
                  </w:pPr>
                </w:p>
              </w:tc>
              <w:tc>
                <w:tcPr>
                  <w:tcW w:w="3605" w:type="pct"/>
                  <w:vAlign w:val="top"/>
                </w:tcPr>
                <w:p>
                  <w:pPr>
                    <w:pStyle w:val="100"/>
                    <w:spacing w:before="59" w:line="228" w:lineRule="auto"/>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燃气锅炉经低氮燃烧器处理后由8m高排气筒排放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rPr>
                      <w:color w:val="000000" w:themeColor="text1"/>
                      <w:szCs w:val="21"/>
                      <w14:textFill>
                        <w14:solidFill>
                          <w14:schemeClr w14:val="tx1"/>
                        </w14:solidFill>
                      </w14:textFill>
                    </w:rPr>
                  </w:pPr>
                </w:p>
              </w:tc>
              <w:tc>
                <w:tcPr>
                  <w:tcW w:w="975" w:type="pct"/>
                  <w:vMerge w:val="continue"/>
                  <w:vAlign w:val="center"/>
                </w:tcPr>
                <w:p>
                  <w:pPr>
                    <w:jc w:val="center"/>
                    <w:rPr>
                      <w:rFonts w:hint="eastAsia" w:cs="宋体"/>
                      <w:color w:val="000000" w:themeColor="text1"/>
                      <w:szCs w:val="21"/>
                      <w:lang w:bidi="ar"/>
                      <w14:textFill>
                        <w14:solidFill>
                          <w14:schemeClr w14:val="tx1"/>
                        </w14:solidFill>
                      </w14:textFill>
                    </w:rPr>
                  </w:pPr>
                </w:p>
              </w:tc>
              <w:tc>
                <w:tcPr>
                  <w:tcW w:w="3605" w:type="pct"/>
                  <w:vAlign w:val="top"/>
                </w:tcPr>
                <w:p>
                  <w:pPr>
                    <w:pStyle w:val="100"/>
                    <w:spacing w:before="59" w:line="228" w:lineRule="auto"/>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搅拌、混料粉尘经布袋除尘器处理后无组织排放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Merge w:val="restart"/>
                  <w:tcBorders>
                    <w:left w:val="single" w:color="auto" w:sz="4" w:space="0"/>
                  </w:tcBorders>
                  <w:vAlign w:val="center"/>
                </w:tcPr>
                <w:p>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3605" w:type="pct"/>
                  <w:vAlign w:val="center"/>
                </w:tcPr>
                <w:p>
                  <w:pPr>
                    <w:widowControl/>
                    <w:jc w:val="left"/>
                    <w:rPr>
                      <w:color w:val="000000" w:themeColor="text1"/>
                      <w:szCs w:val="21"/>
                      <w14:textFill>
                        <w14:solidFill>
                          <w14:schemeClr w14:val="tx1"/>
                        </w14:solidFill>
                      </w14:textFill>
                    </w:rPr>
                  </w:pPr>
                  <w:r>
                    <w:rPr>
                      <w:rFonts w:hint="eastAsia" w:eastAsiaTheme="minorEastAsia"/>
                      <w:color w:val="000000" w:themeColor="text1"/>
                      <w:kern w:val="0"/>
                      <w:szCs w:val="21"/>
                      <w:lang w:val="en-US" w:eastAsia="zh-CN" w:bidi="ar"/>
                      <w14:textFill>
                        <w14:solidFill>
                          <w14:schemeClr w14:val="tx1"/>
                        </w14:solidFill>
                      </w14:textFill>
                    </w:rPr>
                    <w:t>生产废水经收集、沉淀后循环使用不外排</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Merge w:val="continue"/>
                  <w:tcBorders>
                    <w:left w:val="single" w:color="auto" w:sz="4" w:space="0"/>
                  </w:tcBorders>
                  <w:vAlign w:val="center"/>
                </w:tcPr>
                <w:p>
                  <w:pPr>
                    <w:adjustRightInd w:val="0"/>
                    <w:snapToGrid w:val="0"/>
                    <w:spacing w:line="320" w:lineRule="exact"/>
                    <w:jc w:val="center"/>
                    <w:rPr>
                      <w:color w:val="000000" w:themeColor="text1"/>
                      <w:szCs w:val="21"/>
                      <w14:textFill>
                        <w14:solidFill>
                          <w14:schemeClr w14:val="tx1"/>
                        </w14:solidFill>
                      </w14:textFill>
                    </w:rPr>
                  </w:pPr>
                </w:p>
              </w:tc>
              <w:tc>
                <w:tcPr>
                  <w:tcW w:w="3605" w:type="pct"/>
                  <w:vAlign w:val="center"/>
                </w:tcPr>
                <w:p>
                  <w:pPr>
                    <w:widowControl/>
                    <w:jc w:val="left"/>
                    <w:rPr>
                      <w:rFonts w:ascii="宋体" w:hAnsi="宋体" w:cs="宋体"/>
                      <w:color w:val="000000" w:themeColor="text1"/>
                      <w:kern w:val="0"/>
                      <w:szCs w:val="21"/>
                      <w14:textFill>
                        <w14:solidFill>
                          <w14:schemeClr w14:val="tx1"/>
                        </w14:solidFill>
                      </w14:textFill>
                    </w:rPr>
                  </w:pPr>
                  <w:r>
                    <w:rPr>
                      <w:rFonts w:hint="eastAsia" w:eastAsiaTheme="minorEastAsia"/>
                      <w:color w:val="000000" w:themeColor="text1"/>
                      <w:kern w:val="0"/>
                      <w:szCs w:val="21"/>
                      <w:lang w:bidi="ar"/>
                      <w14:textFill>
                        <w14:solidFill>
                          <w14:schemeClr w14:val="tx1"/>
                        </w14:solidFill>
                      </w14:textFill>
                    </w:rPr>
                    <w:t>生活污水</w:t>
                  </w:r>
                  <w:r>
                    <w:rPr>
                      <w:rFonts w:hint="eastAsia" w:eastAsiaTheme="minorEastAsia"/>
                      <w:color w:val="000000" w:themeColor="text1"/>
                      <w:kern w:val="0"/>
                      <w:szCs w:val="21"/>
                      <w:lang w:val="en-US" w:eastAsia="zh-CN" w:bidi="ar"/>
                      <w14:textFill>
                        <w14:solidFill>
                          <w14:schemeClr w14:val="tx1"/>
                        </w14:solidFill>
                      </w14:textFill>
                    </w:rPr>
                    <w:t>经化粪池预处理后</w:t>
                  </w:r>
                  <w:r>
                    <w:rPr>
                      <w:rFonts w:hint="eastAsia" w:eastAsiaTheme="minorEastAsia"/>
                      <w:color w:val="000000" w:themeColor="text1"/>
                      <w:kern w:val="0"/>
                      <w:szCs w:val="21"/>
                      <w:lang w:bidi="ar"/>
                      <w14:textFill>
                        <w14:solidFill>
                          <w14:schemeClr w14:val="tx1"/>
                        </w14:solidFill>
                      </w14:textFill>
                    </w:rPr>
                    <w:t>排入</w:t>
                  </w:r>
                  <w:r>
                    <w:rPr>
                      <w:rFonts w:hint="eastAsia" w:eastAsiaTheme="minorEastAsia"/>
                      <w:color w:val="000000" w:themeColor="text1"/>
                      <w:kern w:val="0"/>
                      <w:szCs w:val="21"/>
                      <w:lang w:val="en-US" w:eastAsia="zh-CN" w:bidi="ar"/>
                      <w14:textFill>
                        <w14:solidFill>
                          <w14:schemeClr w14:val="tx1"/>
                        </w14:solidFill>
                      </w14:textFill>
                    </w:rPr>
                    <w:t>园区</w:t>
                  </w:r>
                  <w:r>
                    <w:rPr>
                      <w:rFonts w:hint="eastAsia" w:eastAsiaTheme="minorEastAsia"/>
                      <w:color w:val="000000" w:themeColor="text1"/>
                      <w:kern w:val="0"/>
                      <w:szCs w:val="21"/>
                      <w:lang w:bidi="ar"/>
                      <w14:textFill>
                        <w14:solidFill>
                          <w14:schemeClr w14:val="tx1"/>
                        </w14:solidFill>
                      </w14:textFill>
                    </w:rPr>
                    <w:t>排水管网</w:t>
                  </w:r>
                  <w:r>
                    <w:rPr>
                      <w:rFonts w:hint="eastAsia" w:eastAsiaTheme="minorEastAsia"/>
                      <w:color w:val="000000" w:themeColor="text1"/>
                      <w:kern w:val="0"/>
                      <w:szCs w:val="21"/>
                      <w:lang w:val="en-US" w:eastAsia="zh-CN" w:bidi="ar"/>
                      <w14:textFill>
                        <w14:solidFill>
                          <w14:schemeClr w14:val="tx1"/>
                        </w14:solidFill>
                      </w14:textFill>
                    </w:rPr>
                    <w:t>进入园区污水处理厂处理</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tcBorders>
                    <w:left w:val="single" w:color="auto" w:sz="4" w:space="0"/>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3605" w:type="pct"/>
                  <w:vAlign w:val="center"/>
                </w:tcPr>
                <w:p>
                  <w:pPr>
                    <w:spacing w:line="320" w:lineRule="exact"/>
                    <w:rPr>
                      <w:color w:val="000000" w:themeColor="text1"/>
                      <w:szCs w:val="21"/>
                      <w14:textFill>
                        <w14:solidFill>
                          <w14:schemeClr w14:val="tx1"/>
                        </w14:solidFill>
                      </w14:textFill>
                    </w:rPr>
                  </w:pPr>
                  <w:r>
                    <w:rPr>
                      <w:rFonts w:hint="eastAsia"/>
                      <w:color w:val="000000" w:themeColor="text1"/>
                      <w:spacing w:val="-6"/>
                      <w:kern w:val="0"/>
                      <w:szCs w:val="21"/>
                      <w14:textFill>
                        <w14:solidFill>
                          <w14:schemeClr w14:val="tx1"/>
                        </w14:solidFill>
                      </w14:textFill>
                    </w:rPr>
                    <w:t>选用低噪声设备，隔声、减振安装，设备定期维护保养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Merge w:val="restart"/>
                  <w:tcBorders>
                    <w:left w:val="single" w:color="auto" w:sz="4" w:space="0"/>
                  </w:tcBorders>
                  <w:vAlign w:val="center"/>
                </w:tcPr>
                <w:p>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3605" w:type="pct"/>
                  <w:vAlign w:val="center"/>
                </w:tcPr>
                <w:p>
                  <w:pPr>
                    <w:adjustRightInd w:val="0"/>
                    <w:snapToGrid w:val="0"/>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生活垃圾收集后由环卫部门统一清运。</w:t>
                  </w:r>
                  <w:r>
                    <w:rPr>
                      <w:color w:val="000000" w:themeColor="text1"/>
                      <w:szCs w:val="21"/>
                      <w14:textFill>
                        <w14:solidFill>
                          <w14:schemeClr w14:val="tx1"/>
                        </w14:solidFill>
                      </w14:textFill>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Merge w:val="continue"/>
                  <w:tcBorders>
                    <w:left w:val="single" w:color="auto" w:sz="4" w:space="0"/>
                  </w:tcBorders>
                  <w:vAlign w:val="center"/>
                </w:tcPr>
                <w:p>
                  <w:pPr>
                    <w:adjustRightInd w:val="0"/>
                    <w:snapToGrid w:val="0"/>
                    <w:spacing w:line="320" w:lineRule="exact"/>
                    <w:jc w:val="center"/>
                    <w:rPr>
                      <w:color w:val="000000" w:themeColor="text1"/>
                      <w:szCs w:val="21"/>
                      <w14:textFill>
                        <w14:solidFill>
                          <w14:schemeClr w14:val="tx1"/>
                        </w14:solidFill>
                      </w14:textFill>
                    </w:rPr>
                  </w:pPr>
                </w:p>
              </w:tc>
              <w:tc>
                <w:tcPr>
                  <w:tcW w:w="3605" w:type="pct"/>
                  <w:vAlign w:val="center"/>
                </w:tcPr>
                <w:p>
                  <w:pPr>
                    <w:adjustRightInd w:val="0"/>
                    <w:snapToGrid w:val="0"/>
                    <w:spacing w:line="320" w:lineRule="exact"/>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回收的粉尘回用于生产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Merge w:val="continue"/>
                  <w:tcBorders>
                    <w:left w:val="single" w:color="auto" w:sz="4" w:space="0"/>
                  </w:tcBorders>
                  <w:vAlign w:val="center"/>
                </w:tcPr>
                <w:p>
                  <w:pPr>
                    <w:adjustRightInd w:val="0"/>
                    <w:snapToGrid w:val="0"/>
                    <w:spacing w:line="320" w:lineRule="exact"/>
                    <w:jc w:val="center"/>
                    <w:rPr>
                      <w:color w:val="000000" w:themeColor="text1"/>
                      <w:szCs w:val="21"/>
                      <w14:textFill>
                        <w14:solidFill>
                          <w14:schemeClr w14:val="tx1"/>
                        </w14:solidFill>
                      </w14:textFill>
                    </w:rPr>
                  </w:pPr>
                </w:p>
              </w:tc>
              <w:tc>
                <w:tcPr>
                  <w:tcW w:w="3605" w:type="pct"/>
                  <w:vAlign w:val="center"/>
                </w:tcPr>
                <w:p>
                  <w:pPr>
                    <w:pStyle w:val="100"/>
                    <w:spacing w:before="66" w:line="228" w:lineRule="auto"/>
                    <w:ind w:left="8" w:leftChars="0"/>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混凝土渣、</w:t>
                  </w:r>
                  <w:r>
                    <w:rPr>
                      <w:rFonts w:hint="eastAsia" w:ascii="Times New Roman" w:hAnsi="Times New Roman" w:cs="Times New Roman"/>
                      <w:color w:val="000000" w:themeColor="text1"/>
                      <w:spacing w:val="7"/>
                      <w:sz w:val="21"/>
                      <w:szCs w:val="21"/>
                      <w:lang w:val="en-US" w:eastAsia="zh-CN"/>
                      <w14:textFill>
                        <w14:solidFill>
                          <w14:schemeClr w14:val="tx1"/>
                        </w14:solidFill>
                      </w14:textFill>
                    </w:rPr>
                    <w:t>沉淀池底泥、</w:t>
                  </w:r>
                  <w:r>
                    <w:rPr>
                      <w:rFonts w:hint="default" w:ascii="Times New Roman" w:hAnsi="Times New Roman" w:cs="Times New Roman"/>
                      <w:color w:val="000000" w:themeColor="text1"/>
                      <w:spacing w:val="7"/>
                      <w:sz w:val="21"/>
                      <w:szCs w:val="21"/>
                      <w14:textFill>
                        <w14:solidFill>
                          <w14:schemeClr w14:val="tx1"/>
                        </w14:solidFill>
                      </w14:textFill>
                    </w:rPr>
                    <w:t>废铁渣、废钢棒端头集中</w:t>
                  </w:r>
                  <w:r>
                    <w:rPr>
                      <w:rFonts w:hint="default" w:ascii="Times New Roman" w:hAnsi="Times New Roman" w:cs="Times New Roman"/>
                      <w:color w:val="000000" w:themeColor="text1"/>
                      <w:spacing w:val="6"/>
                      <w:sz w:val="21"/>
                      <w:szCs w:val="21"/>
                      <w14:textFill>
                        <w14:solidFill>
                          <w14:schemeClr w14:val="tx1"/>
                        </w14:solidFill>
                      </w14:textFill>
                    </w:rPr>
                    <w:t>收集后外售综合利用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419" w:type="pct"/>
                  <w:vMerge w:val="continue"/>
                  <w:vAlign w:val="center"/>
                </w:tcPr>
                <w:p>
                  <w:pPr>
                    <w:adjustRightInd w:val="0"/>
                    <w:snapToGrid w:val="0"/>
                    <w:spacing w:line="320" w:lineRule="exact"/>
                    <w:rPr>
                      <w:color w:val="000000" w:themeColor="text1"/>
                      <w:szCs w:val="21"/>
                      <w14:textFill>
                        <w14:solidFill>
                          <w14:schemeClr w14:val="tx1"/>
                        </w14:solidFill>
                      </w14:textFill>
                    </w:rPr>
                  </w:pPr>
                </w:p>
              </w:tc>
              <w:tc>
                <w:tcPr>
                  <w:tcW w:w="975" w:type="pct"/>
                  <w:vMerge w:val="continue"/>
                  <w:tcBorders>
                    <w:left w:val="single" w:color="auto" w:sz="4" w:space="0"/>
                  </w:tcBorders>
                  <w:vAlign w:val="center"/>
                </w:tcPr>
                <w:p>
                  <w:pPr>
                    <w:adjustRightInd w:val="0"/>
                    <w:snapToGrid w:val="0"/>
                    <w:spacing w:line="320" w:lineRule="exact"/>
                    <w:jc w:val="center"/>
                    <w:rPr>
                      <w:color w:val="000000" w:themeColor="text1"/>
                      <w:szCs w:val="21"/>
                      <w14:textFill>
                        <w14:solidFill>
                          <w14:schemeClr w14:val="tx1"/>
                        </w14:solidFill>
                      </w14:textFill>
                    </w:rPr>
                  </w:pPr>
                </w:p>
              </w:tc>
              <w:tc>
                <w:tcPr>
                  <w:tcW w:w="3605" w:type="pct"/>
                  <w:vAlign w:val="center"/>
                </w:tcPr>
                <w:p>
                  <w:pPr>
                    <w:pStyle w:val="100"/>
                    <w:spacing w:before="66" w:line="228" w:lineRule="auto"/>
                    <w:ind w:left="8" w:leftChars="0"/>
                    <w:rPr>
                      <w:rFonts w:hint="default" w:ascii="Times New Roman" w:hAnsi="Times New Roman" w:cs="Times New Roman"/>
                      <w:color w:val="000000" w:themeColor="text1"/>
                      <w:spacing w:val="7"/>
                      <w:sz w:val="21"/>
                      <w:szCs w:val="21"/>
                      <w14:textFill>
                        <w14:solidFill>
                          <w14:schemeClr w14:val="tx1"/>
                        </w14:solidFill>
                      </w14:textFill>
                    </w:rPr>
                  </w:pPr>
                  <w:r>
                    <w:rPr>
                      <w:rFonts w:hint="default" w:ascii="Times New Roman" w:hAnsi="Times New Roman" w:cs="Times New Roman"/>
                      <w:color w:val="000000" w:themeColor="text1"/>
                      <w:spacing w:val="6"/>
                      <w:sz w:val="21"/>
                      <w:szCs w:val="21"/>
                      <w14:textFill>
                        <w14:solidFill>
                          <w14:schemeClr w14:val="tx1"/>
                        </w14:solidFill>
                      </w14:textFill>
                    </w:rPr>
                    <w:t>废离子交换树</w:t>
                  </w:r>
                  <w:r>
                    <w:rPr>
                      <w:rFonts w:hint="default" w:ascii="Times New Roman" w:hAnsi="Times New Roman" w:cs="Times New Roman"/>
                      <w:color w:val="000000" w:themeColor="text1"/>
                      <w:spacing w:val="8"/>
                      <w:sz w:val="21"/>
                      <w:szCs w:val="21"/>
                      <w14:textFill>
                        <w14:solidFill>
                          <w14:schemeClr w14:val="tx1"/>
                        </w14:solidFill>
                      </w14:textFill>
                    </w:rPr>
                    <w:t>脂由原厂回收综合利用</w:t>
                  </w:r>
                </w:p>
              </w:tc>
            </w:tr>
          </w:tbl>
          <w:p>
            <w:pPr>
              <w:adjustRightInd w:val="0"/>
              <w:snapToGrid w:val="0"/>
              <w:spacing w:line="520" w:lineRule="exact"/>
              <w:ind w:firstLine="482" w:firstLineChars="200"/>
              <w:rPr>
                <w:rFonts w:eastAsiaTheme="minorEastAsia"/>
                <w:b/>
                <w:bCs/>
                <w:color w:val="000000" w:themeColor="text1"/>
                <w:sz w:val="24"/>
                <w:lang w:bidi="ar"/>
                <w14:textFill>
                  <w14:solidFill>
                    <w14:schemeClr w14:val="tx1"/>
                  </w14:solidFill>
                </w14:textFill>
              </w:rPr>
            </w:pPr>
            <w:r>
              <w:rPr>
                <w:rFonts w:hint="eastAsia" w:eastAsiaTheme="minorEastAsia"/>
                <w:b/>
                <w:bCs/>
                <w:color w:val="000000" w:themeColor="text1"/>
                <w:sz w:val="24"/>
                <w:lang w:bidi="ar"/>
                <w14:textFill>
                  <w14:solidFill>
                    <w14:schemeClr w14:val="tx1"/>
                  </w14:solidFill>
                </w14:textFill>
              </w:rPr>
              <w:t>3、主要产品及产能</w:t>
            </w:r>
          </w:p>
          <w:p>
            <w:pPr>
              <w:tabs>
                <w:tab w:val="left" w:pos="3225"/>
              </w:tabs>
              <w:spacing w:line="56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本项目产品方案见下表。</w:t>
            </w:r>
          </w:p>
          <w:p>
            <w:pPr>
              <w:autoSpaceDE w:val="0"/>
              <w:autoSpaceDN w:val="0"/>
              <w:adjustRightInd w:val="0"/>
              <w:jc w:val="center"/>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t>表2-</w:t>
            </w:r>
            <w:r>
              <w:rPr>
                <w:rFonts w:hint="eastAsia"/>
                <w:b/>
                <w:color w:val="000000" w:themeColor="text1"/>
                <w:lang w:val="zh-CN"/>
                <w14:textFill>
                  <w14:solidFill>
                    <w14:schemeClr w14:val="tx1"/>
                  </w14:solidFill>
                </w14:textFill>
              </w:rPr>
              <w:t>2</w:t>
            </w:r>
            <w:r>
              <w:rPr>
                <w:b/>
                <w:color w:val="000000" w:themeColor="text1"/>
                <w:lang w:val="zh-CN"/>
                <w14:textFill>
                  <w14:solidFill>
                    <w14:schemeClr w14:val="tx1"/>
                  </w14:solidFill>
                </w14:textFill>
              </w:rPr>
              <w:t xml:space="preserve">  </w:t>
            </w:r>
            <w:r>
              <w:rPr>
                <w:rFonts w:hint="eastAsia"/>
                <w:b/>
                <w:color w:val="000000" w:themeColor="text1"/>
                <w:lang w:val="en-US" w:eastAsia="zh-CN"/>
                <w14:textFill>
                  <w14:solidFill>
                    <w14:schemeClr w14:val="tx1"/>
                  </w14:solidFill>
                </w14:textFill>
              </w:rPr>
              <w:t>项目产品方案</w:t>
            </w:r>
            <w:r>
              <w:rPr>
                <w:b/>
                <w:color w:val="000000" w:themeColor="text1"/>
                <w:lang w:val="zh-CN"/>
                <w14:textFill>
                  <w14:solidFill>
                    <w14:schemeClr w14:val="tx1"/>
                  </w14:solidFill>
                </w14:textFill>
              </w:rPr>
              <w:t>一览表</w:t>
            </w:r>
          </w:p>
          <w:tbl>
            <w:tblPr>
              <w:tblStyle w:val="25"/>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607"/>
              <w:gridCol w:w="1678"/>
              <w:gridCol w:w="1678"/>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Align w:val="center"/>
                </w:tcPr>
                <w:p>
                  <w:pPr>
                    <w:adjustRightInd w:val="0"/>
                    <w:snapToGrid w:val="0"/>
                    <w:spacing w:line="560" w:lineRule="exact"/>
                    <w:jc w:val="center"/>
                    <w:rPr>
                      <w:rFonts w:hint="default" w:eastAsiaTheme="minorEastAsia"/>
                      <w:b/>
                      <w:bCs w:val="0"/>
                      <w:color w:val="000000" w:themeColor="text1"/>
                      <w:sz w:val="21"/>
                      <w:szCs w:val="21"/>
                      <w:vertAlign w:val="baseline"/>
                      <w:lang w:val="en-US" w:eastAsia="zh-CN"/>
                      <w14:textFill>
                        <w14:solidFill>
                          <w14:schemeClr w14:val="tx1"/>
                        </w14:solidFill>
                      </w14:textFill>
                    </w:rPr>
                  </w:pPr>
                  <w:r>
                    <w:rPr>
                      <w:rFonts w:hint="eastAsia" w:eastAsiaTheme="minorEastAsia"/>
                      <w:b/>
                      <w:bCs w:val="0"/>
                      <w:color w:val="000000" w:themeColor="text1"/>
                      <w:sz w:val="21"/>
                      <w:szCs w:val="21"/>
                      <w:vertAlign w:val="baseline"/>
                      <w:lang w:val="en-US" w:eastAsia="zh-CN"/>
                      <w14:textFill>
                        <w14:solidFill>
                          <w14:schemeClr w14:val="tx1"/>
                        </w14:solidFill>
                      </w14:textFill>
                    </w:rPr>
                    <w:t>序号</w:t>
                  </w:r>
                </w:p>
              </w:tc>
              <w:tc>
                <w:tcPr>
                  <w:tcW w:w="2607" w:type="dxa"/>
                  <w:vAlign w:val="center"/>
                </w:tcPr>
                <w:p>
                  <w:pPr>
                    <w:adjustRightInd w:val="0"/>
                    <w:snapToGrid w:val="0"/>
                    <w:spacing w:line="560" w:lineRule="exact"/>
                    <w:jc w:val="center"/>
                    <w:rPr>
                      <w:rFonts w:hint="default" w:eastAsiaTheme="minorEastAsia"/>
                      <w:b/>
                      <w:bCs w:val="0"/>
                      <w:color w:val="000000" w:themeColor="text1"/>
                      <w:sz w:val="21"/>
                      <w:szCs w:val="21"/>
                      <w:vertAlign w:val="baseline"/>
                      <w:lang w:val="en-US" w:eastAsia="zh-CN"/>
                      <w14:textFill>
                        <w14:solidFill>
                          <w14:schemeClr w14:val="tx1"/>
                        </w14:solidFill>
                      </w14:textFill>
                    </w:rPr>
                  </w:pPr>
                  <w:r>
                    <w:rPr>
                      <w:rFonts w:hint="eastAsia" w:eastAsiaTheme="minorEastAsia"/>
                      <w:b/>
                      <w:bCs w:val="0"/>
                      <w:color w:val="000000" w:themeColor="text1"/>
                      <w:sz w:val="21"/>
                      <w:szCs w:val="21"/>
                      <w:vertAlign w:val="baseline"/>
                      <w:lang w:val="en-US" w:eastAsia="zh-CN"/>
                      <w14:textFill>
                        <w14:solidFill>
                          <w14:schemeClr w14:val="tx1"/>
                        </w14:solidFill>
                      </w14:textFill>
                    </w:rPr>
                    <w:t>产品名称</w:t>
                  </w:r>
                </w:p>
              </w:tc>
              <w:tc>
                <w:tcPr>
                  <w:tcW w:w="1678" w:type="dxa"/>
                  <w:vAlign w:val="center"/>
                </w:tcPr>
                <w:p>
                  <w:pPr>
                    <w:adjustRightInd w:val="0"/>
                    <w:snapToGrid w:val="0"/>
                    <w:spacing w:line="560" w:lineRule="exact"/>
                    <w:jc w:val="center"/>
                    <w:rPr>
                      <w:rFonts w:hint="default" w:eastAsiaTheme="minorEastAsia"/>
                      <w:b/>
                      <w:bCs w:val="0"/>
                      <w:color w:val="000000" w:themeColor="text1"/>
                      <w:sz w:val="21"/>
                      <w:szCs w:val="21"/>
                      <w:vertAlign w:val="baseline"/>
                      <w:lang w:val="en-US" w:eastAsia="zh-CN"/>
                      <w14:textFill>
                        <w14:solidFill>
                          <w14:schemeClr w14:val="tx1"/>
                        </w14:solidFill>
                      </w14:textFill>
                    </w:rPr>
                  </w:pPr>
                  <w:r>
                    <w:rPr>
                      <w:rFonts w:hint="eastAsia" w:eastAsiaTheme="minorEastAsia"/>
                      <w:b/>
                      <w:bCs w:val="0"/>
                      <w:color w:val="000000" w:themeColor="text1"/>
                      <w:sz w:val="21"/>
                      <w:szCs w:val="21"/>
                      <w:vertAlign w:val="baseline"/>
                      <w:lang w:val="en-US" w:eastAsia="zh-CN"/>
                      <w14:textFill>
                        <w14:solidFill>
                          <w14:schemeClr w14:val="tx1"/>
                        </w14:solidFill>
                      </w14:textFill>
                    </w:rPr>
                    <w:t>规格</w:t>
                  </w:r>
                </w:p>
              </w:tc>
              <w:tc>
                <w:tcPr>
                  <w:tcW w:w="1678" w:type="dxa"/>
                  <w:vAlign w:val="center"/>
                </w:tcPr>
                <w:p>
                  <w:pPr>
                    <w:adjustRightInd w:val="0"/>
                    <w:snapToGrid w:val="0"/>
                    <w:spacing w:line="560" w:lineRule="exact"/>
                    <w:jc w:val="center"/>
                    <w:rPr>
                      <w:rFonts w:hint="default" w:eastAsiaTheme="minorEastAsia"/>
                      <w:b/>
                      <w:bCs w:val="0"/>
                      <w:color w:val="000000" w:themeColor="text1"/>
                      <w:sz w:val="21"/>
                      <w:szCs w:val="21"/>
                      <w:vertAlign w:val="baseline"/>
                      <w:lang w:val="en-US" w:eastAsia="zh-CN"/>
                      <w14:textFill>
                        <w14:solidFill>
                          <w14:schemeClr w14:val="tx1"/>
                        </w14:solidFill>
                      </w14:textFill>
                    </w:rPr>
                  </w:pPr>
                  <w:r>
                    <w:rPr>
                      <w:rFonts w:hint="eastAsia" w:eastAsiaTheme="minorEastAsia"/>
                      <w:b/>
                      <w:bCs w:val="0"/>
                      <w:color w:val="000000" w:themeColor="text1"/>
                      <w:sz w:val="21"/>
                      <w:szCs w:val="21"/>
                      <w:vertAlign w:val="baseline"/>
                      <w:lang w:val="en-US" w:eastAsia="zh-CN"/>
                      <w14:textFill>
                        <w14:solidFill>
                          <w14:schemeClr w14:val="tx1"/>
                        </w14:solidFill>
                      </w14:textFill>
                    </w:rPr>
                    <w:t>产量</w:t>
                  </w:r>
                </w:p>
              </w:tc>
              <w:tc>
                <w:tcPr>
                  <w:tcW w:w="1678" w:type="dxa"/>
                  <w:vAlign w:val="center"/>
                </w:tcPr>
                <w:p>
                  <w:pPr>
                    <w:adjustRightInd w:val="0"/>
                    <w:snapToGrid w:val="0"/>
                    <w:spacing w:line="560" w:lineRule="exact"/>
                    <w:jc w:val="center"/>
                    <w:rPr>
                      <w:rFonts w:hint="default" w:eastAsiaTheme="minorEastAsia"/>
                      <w:b/>
                      <w:bCs w:val="0"/>
                      <w:color w:val="000000" w:themeColor="text1"/>
                      <w:sz w:val="21"/>
                      <w:szCs w:val="21"/>
                      <w:vertAlign w:val="baseline"/>
                      <w:lang w:val="en-US" w:eastAsia="zh-CN"/>
                      <w14:textFill>
                        <w14:solidFill>
                          <w14:schemeClr w14:val="tx1"/>
                        </w14:solidFill>
                      </w14:textFill>
                    </w:rPr>
                  </w:pPr>
                  <w:r>
                    <w:rPr>
                      <w:rFonts w:hint="eastAsia" w:eastAsiaTheme="minorEastAsia"/>
                      <w:b/>
                      <w:bCs w:val="0"/>
                      <w:color w:val="000000" w:themeColor="text1"/>
                      <w:sz w:val="21"/>
                      <w:szCs w:val="21"/>
                      <w:vertAlign w:val="baseline"/>
                      <w:lang w:val="en-US"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dxa"/>
                  <w:vAlign w:val="center"/>
                </w:tcPr>
                <w:p>
                  <w:pPr>
                    <w:adjustRightInd w:val="0"/>
                    <w:snapToGrid w:val="0"/>
                    <w:spacing w:line="560" w:lineRule="exact"/>
                    <w:jc w:val="center"/>
                    <w:rPr>
                      <w:rFonts w:hint="default" w:eastAsiaTheme="minorEastAsia"/>
                      <w:b w:val="0"/>
                      <w:bCs/>
                      <w:color w:val="000000" w:themeColor="text1"/>
                      <w:sz w:val="21"/>
                      <w:szCs w:val="21"/>
                      <w:vertAlign w:val="baseline"/>
                      <w:lang w:val="en-US" w:eastAsia="zh-CN"/>
                      <w14:textFill>
                        <w14:solidFill>
                          <w14:schemeClr w14:val="tx1"/>
                        </w14:solidFill>
                      </w14:textFill>
                    </w:rPr>
                  </w:pPr>
                  <w:r>
                    <w:rPr>
                      <w:rFonts w:hint="eastAsia" w:eastAsiaTheme="minorEastAsia"/>
                      <w:b w:val="0"/>
                      <w:bCs/>
                      <w:color w:val="000000" w:themeColor="text1"/>
                      <w:sz w:val="21"/>
                      <w:szCs w:val="21"/>
                      <w:vertAlign w:val="baseline"/>
                      <w:lang w:val="en-US" w:eastAsia="zh-CN"/>
                      <w14:textFill>
                        <w14:solidFill>
                          <w14:schemeClr w14:val="tx1"/>
                        </w14:solidFill>
                      </w14:textFill>
                    </w:rPr>
                    <w:t>1</w:t>
                  </w:r>
                </w:p>
              </w:tc>
              <w:tc>
                <w:tcPr>
                  <w:tcW w:w="2607" w:type="dxa"/>
                  <w:vAlign w:val="center"/>
                </w:tcPr>
                <w:p>
                  <w:pPr>
                    <w:adjustRightInd w:val="0"/>
                    <w:snapToGrid w:val="0"/>
                    <w:spacing w:line="560" w:lineRule="exact"/>
                    <w:jc w:val="center"/>
                    <w:rPr>
                      <w:rFonts w:hint="default" w:eastAsiaTheme="minorEastAsia"/>
                      <w:b w:val="0"/>
                      <w:bCs/>
                      <w:color w:val="000000" w:themeColor="text1"/>
                      <w:sz w:val="21"/>
                      <w:szCs w:val="21"/>
                      <w:vertAlign w:val="baseline"/>
                      <w:lang w:val="en-US" w:eastAsia="zh-CN"/>
                      <w14:textFill>
                        <w14:solidFill>
                          <w14:schemeClr w14:val="tx1"/>
                        </w14:solidFill>
                      </w14:textFill>
                    </w:rPr>
                  </w:pPr>
                  <w:r>
                    <w:rPr>
                      <w:rFonts w:hint="eastAsia" w:eastAsiaTheme="minorEastAsia"/>
                      <w:b w:val="0"/>
                      <w:bCs/>
                      <w:color w:val="000000" w:themeColor="text1"/>
                      <w:sz w:val="21"/>
                      <w:szCs w:val="21"/>
                      <w:vertAlign w:val="baseline"/>
                      <w:lang w:val="en-US" w:eastAsia="zh-CN"/>
                      <w14:textFill>
                        <w14:solidFill>
                          <w14:schemeClr w14:val="tx1"/>
                        </w14:solidFill>
                      </w14:textFill>
                    </w:rPr>
                    <w:t>预应力混凝土管桩</w:t>
                  </w:r>
                </w:p>
              </w:tc>
              <w:tc>
                <w:tcPr>
                  <w:tcW w:w="1678" w:type="dxa"/>
                  <w:vAlign w:val="center"/>
                </w:tcPr>
                <w:p>
                  <w:pPr>
                    <w:adjustRightInd w:val="0"/>
                    <w:snapToGrid w:val="0"/>
                    <w:spacing w:line="560" w:lineRule="exact"/>
                    <w:jc w:val="center"/>
                    <w:rPr>
                      <w:rFonts w:hint="default" w:eastAsiaTheme="minorEastAsia"/>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vertAlign w:val="baseline"/>
                      <w:lang w:val="en-US" w:eastAsia="zh-CN"/>
                      <w14:textFill>
                        <w14:solidFill>
                          <w14:schemeClr w14:val="tx1"/>
                        </w14:solidFill>
                      </w14:textFill>
                    </w:rPr>
                    <w:t>Ø</w:t>
                  </w:r>
                  <w:r>
                    <w:rPr>
                      <w:rFonts w:hint="eastAsia" w:eastAsiaTheme="minorEastAsia"/>
                      <w:b w:val="0"/>
                      <w:bCs/>
                      <w:color w:val="000000" w:themeColor="text1"/>
                      <w:sz w:val="21"/>
                      <w:szCs w:val="21"/>
                      <w:vertAlign w:val="baseline"/>
                      <w:lang w:val="en-US" w:eastAsia="zh-CN"/>
                      <w14:textFill>
                        <w14:solidFill>
                          <w14:schemeClr w14:val="tx1"/>
                        </w14:solidFill>
                      </w14:textFill>
                    </w:rPr>
                    <w:t>300、</w:t>
                  </w:r>
                  <w:r>
                    <w:rPr>
                      <w:rFonts w:hint="default" w:ascii="Times New Roman" w:hAnsi="Times New Roman" w:cs="Times New Roman" w:eastAsiaTheme="minorEastAsia"/>
                      <w:b w:val="0"/>
                      <w:bCs/>
                      <w:color w:val="000000" w:themeColor="text1"/>
                      <w:sz w:val="21"/>
                      <w:szCs w:val="21"/>
                      <w:vertAlign w:val="baseline"/>
                      <w:lang w:val="en-US" w:eastAsia="zh-CN"/>
                      <w14:textFill>
                        <w14:solidFill>
                          <w14:schemeClr w14:val="tx1"/>
                        </w14:solidFill>
                      </w14:textFill>
                    </w:rPr>
                    <w:t>Ø</w:t>
                  </w:r>
                  <w:r>
                    <w:rPr>
                      <w:rFonts w:hint="eastAsia" w:eastAsiaTheme="minorEastAsia"/>
                      <w:b w:val="0"/>
                      <w:bCs/>
                      <w:color w:val="000000" w:themeColor="text1"/>
                      <w:sz w:val="21"/>
                      <w:szCs w:val="21"/>
                      <w:vertAlign w:val="baseline"/>
                      <w:lang w:val="en-US" w:eastAsia="zh-CN"/>
                      <w14:textFill>
                        <w14:solidFill>
                          <w14:schemeClr w14:val="tx1"/>
                        </w14:solidFill>
                      </w14:textFill>
                    </w:rPr>
                    <w:t>400</w:t>
                  </w:r>
                </w:p>
              </w:tc>
              <w:tc>
                <w:tcPr>
                  <w:tcW w:w="1678" w:type="dxa"/>
                  <w:vAlign w:val="center"/>
                </w:tcPr>
                <w:p>
                  <w:pPr>
                    <w:adjustRightInd w:val="0"/>
                    <w:snapToGrid w:val="0"/>
                    <w:spacing w:line="560" w:lineRule="exact"/>
                    <w:jc w:val="center"/>
                    <w:rPr>
                      <w:rFonts w:hint="default" w:eastAsiaTheme="minorEastAsia"/>
                      <w:b w:val="0"/>
                      <w:bCs/>
                      <w:color w:val="000000" w:themeColor="text1"/>
                      <w:sz w:val="21"/>
                      <w:szCs w:val="21"/>
                      <w:vertAlign w:val="baseline"/>
                      <w:lang w:val="en-US" w:eastAsia="zh-CN"/>
                      <w14:textFill>
                        <w14:solidFill>
                          <w14:schemeClr w14:val="tx1"/>
                        </w14:solidFill>
                      </w14:textFill>
                    </w:rPr>
                  </w:pPr>
                  <w:r>
                    <w:rPr>
                      <w:rFonts w:hint="eastAsia" w:eastAsiaTheme="minorEastAsia"/>
                      <w:b w:val="0"/>
                      <w:bCs/>
                      <w:color w:val="000000" w:themeColor="text1"/>
                      <w:sz w:val="21"/>
                      <w:szCs w:val="21"/>
                      <w:vertAlign w:val="baseline"/>
                      <w:lang w:val="en-US" w:eastAsia="zh-CN"/>
                      <w14:textFill>
                        <w14:solidFill>
                          <w14:schemeClr w14:val="tx1"/>
                        </w14:solidFill>
                      </w14:textFill>
                    </w:rPr>
                    <w:t>180</w:t>
                  </w:r>
                </w:p>
              </w:tc>
              <w:tc>
                <w:tcPr>
                  <w:tcW w:w="1678" w:type="dxa"/>
                  <w:vAlign w:val="center"/>
                </w:tcPr>
                <w:p>
                  <w:pPr>
                    <w:adjustRightInd w:val="0"/>
                    <w:snapToGrid w:val="0"/>
                    <w:spacing w:line="560" w:lineRule="exact"/>
                    <w:jc w:val="center"/>
                    <w:rPr>
                      <w:rFonts w:hint="default" w:eastAsiaTheme="minorEastAsia"/>
                      <w:b w:val="0"/>
                      <w:bCs/>
                      <w:color w:val="000000" w:themeColor="text1"/>
                      <w:sz w:val="21"/>
                      <w:szCs w:val="21"/>
                      <w:vertAlign w:val="baseline"/>
                      <w:lang w:val="en-US" w:eastAsia="zh-CN"/>
                      <w14:textFill>
                        <w14:solidFill>
                          <w14:schemeClr w14:val="tx1"/>
                        </w14:solidFill>
                      </w14:textFill>
                    </w:rPr>
                  </w:pPr>
                  <w:r>
                    <w:rPr>
                      <w:rFonts w:hint="eastAsia" w:eastAsiaTheme="minorEastAsia"/>
                      <w:b w:val="0"/>
                      <w:bCs/>
                      <w:color w:val="000000" w:themeColor="text1"/>
                      <w:sz w:val="21"/>
                      <w:szCs w:val="21"/>
                      <w:vertAlign w:val="baseline"/>
                      <w:lang w:val="en-US" w:eastAsia="zh-CN"/>
                      <w14:textFill>
                        <w14:solidFill>
                          <w14:schemeClr w14:val="tx1"/>
                        </w14:solidFill>
                      </w14:textFill>
                    </w:rPr>
                    <w:t>万米</w:t>
                  </w:r>
                </w:p>
              </w:tc>
            </w:tr>
          </w:tbl>
          <w:p>
            <w:pPr>
              <w:adjustRightInd w:val="0"/>
              <w:snapToGrid w:val="0"/>
              <w:spacing w:line="560" w:lineRule="exact"/>
              <w:ind w:firstLine="482" w:firstLineChars="200"/>
              <w:rPr>
                <w:b/>
                <w:color w:val="000000" w:themeColor="text1"/>
                <w:sz w:val="24"/>
                <w14:textFill>
                  <w14:solidFill>
                    <w14:schemeClr w14:val="tx1"/>
                  </w14:solidFill>
                </w14:textFill>
              </w:rPr>
            </w:pPr>
            <w:r>
              <w:rPr>
                <w:rFonts w:hint="eastAsia" w:eastAsiaTheme="minorEastAsia"/>
                <w:b/>
                <w:color w:val="000000" w:themeColor="text1"/>
                <w:sz w:val="24"/>
                <w14:textFill>
                  <w14:solidFill>
                    <w14:schemeClr w14:val="tx1"/>
                  </w14:solidFill>
                </w14:textFill>
              </w:rPr>
              <w:t>4、</w:t>
            </w:r>
            <w:r>
              <w:rPr>
                <w:rFonts w:hint="eastAsia" w:eastAsiaTheme="minorEastAsia"/>
                <w:b/>
                <w:color w:val="000000" w:themeColor="text1"/>
                <w:sz w:val="24"/>
                <w:lang w:val="en-US" w:eastAsia="zh-CN"/>
                <w14:textFill>
                  <w14:solidFill>
                    <w14:schemeClr w14:val="tx1"/>
                  </w14:solidFill>
                </w14:textFill>
              </w:rPr>
              <w:t>主要</w:t>
            </w:r>
            <w:r>
              <w:rPr>
                <w:b/>
                <w:color w:val="000000" w:themeColor="text1"/>
                <w:sz w:val="24"/>
                <w14:textFill>
                  <w14:solidFill>
                    <w14:schemeClr w14:val="tx1"/>
                  </w14:solidFill>
                </w14:textFill>
              </w:rPr>
              <w:t>生产设备</w:t>
            </w:r>
          </w:p>
          <w:p>
            <w:pPr>
              <w:tabs>
                <w:tab w:val="left" w:pos="3225"/>
              </w:tabs>
              <w:spacing w:line="5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w:t>
            </w:r>
            <w:r>
              <w:rPr>
                <w:rFonts w:hint="eastAsia"/>
                <w:color w:val="000000" w:themeColor="text1"/>
                <w:sz w:val="24"/>
                <w:lang w:val="en-US" w:eastAsia="zh-CN"/>
                <w14:textFill>
                  <w14:solidFill>
                    <w14:schemeClr w14:val="tx1"/>
                  </w14:solidFill>
                </w14:textFill>
              </w:rPr>
              <w:t>生产</w:t>
            </w:r>
            <w:r>
              <w:rPr>
                <w:color w:val="000000" w:themeColor="text1"/>
                <w:sz w:val="24"/>
                <w14:textFill>
                  <w14:solidFill>
                    <w14:schemeClr w14:val="tx1"/>
                  </w14:solidFill>
                </w14:textFill>
              </w:rPr>
              <w:t>设备见</w:t>
            </w:r>
            <w:r>
              <w:rPr>
                <w:rFonts w:hint="eastAsia"/>
                <w:color w:val="000000" w:themeColor="text1"/>
                <w:sz w:val="24"/>
                <w14:textFill>
                  <w14:solidFill>
                    <w14:schemeClr w14:val="tx1"/>
                  </w14:solidFill>
                </w14:textFill>
              </w:rPr>
              <w:t>下</w:t>
            </w:r>
            <w:r>
              <w:rPr>
                <w:color w:val="000000" w:themeColor="text1"/>
                <w:sz w:val="24"/>
                <w14:textFill>
                  <w14:solidFill>
                    <w14:schemeClr w14:val="tx1"/>
                  </w14:solidFill>
                </w14:textFill>
              </w:rPr>
              <w:t>表。</w:t>
            </w:r>
          </w:p>
          <w:p>
            <w:pPr>
              <w:autoSpaceDE w:val="0"/>
              <w:autoSpaceDN w:val="0"/>
              <w:adjustRightInd w:val="0"/>
              <w:jc w:val="center"/>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t>表2-</w:t>
            </w:r>
            <w:r>
              <w:rPr>
                <w:rFonts w:hint="eastAsia"/>
                <w:b/>
                <w:color w:val="000000" w:themeColor="text1"/>
                <w:lang w:val="en-US" w:eastAsia="zh-CN"/>
                <w14:textFill>
                  <w14:solidFill>
                    <w14:schemeClr w14:val="tx1"/>
                  </w14:solidFill>
                </w14:textFill>
              </w:rPr>
              <w:t xml:space="preserve">3 </w:t>
            </w:r>
            <w:r>
              <w:rPr>
                <w:b/>
                <w:color w:val="000000" w:themeColor="text1"/>
                <w:lang w:val="zh-CN"/>
                <w14:textFill>
                  <w14:solidFill>
                    <w14:schemeClr w14:val="tx1"/>
                  </w14:solidFill>
                </w14:textFill>
              </w:rPr>
              <w:t xml:space="preserve"> 主要</w:t>
            </w:r>
            <w:r>
              <w:rPr>
                <w:rFonts w:hint="eastAsia"/>
                <w:b/>
                <w:color w:val="000000" w:themeColor="text1"/>
                <w:lang w:val="en-US" w:eastAsia="zh-CN"/>
                <w14:textFill>
                  <w14:solidFill>
                    <w14:schemeClr w14:val="tx1"/>
                  </w14:solidFill>
                </w14:textFill>
              </w:rPr>
              <w:t>生产</w:t>
            </w:r>
            <w:r>
              <w:rPr>
                <w:b/>
                <w:color w:val="000000" w:themeColor="text1"/>
                <w:lang w:val="zh-CN"/>
                <w14:textFill>
                  <w14:solidFill>
                    <w14:schemeClr w14:val="tx1"/>
                  </w14:solidFill>
                </w14:textFill>
              </w:rPr>
              <w:t>设备一览表</w:t>
            </w:r>
          </w:p>
          <w:p>
            <w:pPr>
              <w:pStyle w:val="6"/>
              <w:spacing w:line="120" w:lineRule="exact"/>
              <w:ind w:left="969" w:hanging="629"/>
              <w:rPr>
                <w:color w:val="000000" w:themeColor="text1"/>
                <w14:textFill>
                  <w14:solidFill>
                    <w14:schemeClr w14:val="tx1"/>
                  </w14:solidFill>
                </w14:textFill>
              </w:rPr>
            </w:pPr>
          </w:p>
          <w:tbl>
            <w:tblPr>
              <w:tblStyle w:val="24"/>
              <w:tblpPr w:leftFromText="180" w:rightFromText="180" w:vertAnchor="text" w:horzAnchor="page" w:tblpX="107" w:tblpY="257"/>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572"/>
              <w:gridCol w:w="2073"/>
              <w:gridCol w:w="121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序号</w:t>
                  </w:r>
                </w:p>
              </w:tc>
              <w:tc>
                <w:tcPr>
                  <w:tcW w:w="1534" w:type="pct"/>
                  <w:shd w:val="clear" w:color="auto" w:fill="auto"/>
                  <w:vAlign w:val="center"/>
                </w:tcPr>
                <w:p>
                  <w:pPr>
                    <w:keepNext w:val="0"/>
                    <w:keepLines w:val="0"/>
                    <w:pageBreakBefore w:val="0"/>
                    <w:wordWrap/>
                    <w:overflowPunct/>
                    <w:topLinePunct w:val="0"/>
                    <w:bidi w:val="0"/>
                    <w:spacing w:line="240" w:lineRule="auto"/>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主要设备名称</w:t>
                  </w:r>
                </w:p>
              </w:tc>
              <w:tc>
                <w:tcPr>
                  <w:tcW w:w="1236" w:type="pct"/>
                  <w:shd w:val="clear" w:color="auto" w:fill="auto"/>
                  <w:vAlign w:val="center"/>
                </w:tcPr>
                <w:p>
                  <w:pPr>
                    <w:keepNext w:val="0"/>
                    <w:keepLines w:val="0"/>
                    <w:pageBreakBefore w:val="0"/>
                    <w:wordWrap/>
                    <w:overflowPunct/>
                    <w:topLinePunct w:val="0"/>
                    <w:bidi w:val="0"/>
                    <w:spacing w:line="240" w:lineRule="auto"/>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规格参数</w:t>
                  </w:r>
                </w:p>
              </w:tc>
              <w:tc>
                <w:tcPr>
                  <w:tcW w:w="724" w:type="pct"/>
                  <w:shd w:val="clear" w:color="auto" w:fill="auto"/>
                  <w:vAlign w:val="center"/>
                </w:tcPr>
                <w:p>
                  <w:pPr>
                    <w:keepNext w:val="0"/>
                    <w:keepLines w:val="0"/>
                    <w:pageBreakBefore w:val="0"/>
                    <w:wordWrap/>
                    <w:overflowPunct/>
                    <w:topLinePunct w:val="0"/>
                    <w:bidi w:val="0"/>
                    <w:spacing w:line="240" w:lineRule="auto"/>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单位</w:t>
                  </w:r>
                </w:p>
              </w:tc>
              <w:tc>
                <w:tcPr>
                  <w:tcW w:w="1090" w:type="pct"/>
                  <w:shd w:val="clear" w:color="auto" w:fill="auto"/>
                  <w:vAlign w:val="center"/>
                </w:tcPr>
                <w:p>
                  <w:pPr>
                    <w:keepNext w:val="0"/>
                    <w:keepLines w:val="0"/>
                    <w:pageBreakBefore w:val="0"/>
                    <w:wordWrap/>
                    <w:overflowPunct/>
                    <w:topLinePunct w:val="0"/>
                    <w:bidi w:val="0"/>
                    <w:spacing w:line="240" w:lineRule="auto"/>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砼拌合机</w:t>
                  </w:r>
                </w:p>
              </w:tc>
              <w:tc>
                <w:tcPr>
                  <w:tcW w:w="1236"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JN200A</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预应力管桩钢筋编笼机</w:t>
                  </w:r>
                </w:p>
              </w:tc>
              <w:tc>
                <w:tcPr>
                  <w:tcW w:w="1236" w:type="pct"/>
                  <w:shd w:val="clear" w:color="auto" w:fill="auto"/>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3</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预应力管桩模具</w:t>
                  </w:r>
                </w:p>
              </w:tc>
              <w:tc>
                <w:tcPr>
                  <w:tcW w:w="1236"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300/400 16米</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4</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张拉五件套</w:t>
                  </w:r>
                </w:p>
              </w:tc>
              <w:tc>
                <w:tcPr>
                  <w:tcW w:w="1236" w:type="pct"/>
                  <w:shd w:val="clear" w:color="auto" w:fill="auto"/>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5</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配套装载机</w:t>
                  </w:r>
                </w:p>
              </w:tc>
              <w:tc>
                <w:tcPr>
                  <w:tcW w:w="1236"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5方</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台</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6</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管桩装卸吊行机、吊车</w:t>
                  </w:r>
                </w:p>
              </w:tc>
              <w:tc>
                <w:tcPr>
                  <w:tcW w:w="1236"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10t 4台/16t 2台</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台</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7</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喂料生产线</w:t>
                  </w:r>
                </w:p>
              </w:tc>
              <w:tc>
                <w:tcPr>
                  <w:tcW w:w="1236" w:type="pct"/>
                  <w:shd w:val="clear" w:color="auto" w:fill="auto"/>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8</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张拉机</w:t>
                  </w:r>
                </w:p>
              </w:tc>
              <w:tc>
                <w:tcPr>
                  <w:tcW w:w="1236" w:type="pct"/>
                  <w:shd w:val="clear" w:color="auto" w:fill="auto"/>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9</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切断、墩头机</w:t>
                  </w:r>
                </w:p>
              </w:tc>
              <w:tc>
                <w:tcPr>
                  <w:tcW w:w="1236" w:type="pct"/>
                  <w:shd w:val="clear" w:color="auto" w:fill="auto"/>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10</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离心机</w:t>
                  </w:r>
                </w:p>
              </w:tc>
              <w:tc>
                <w:tcPr>
                  <w:tcW w:w="1236"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LZ-8-(300-600)*16</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11</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实验检验计量设备</w:t>
                  </w:r>
                </w:p>
              </w:tc>
              <w:tc>
                <w:tcPr>
                  <w:tcW w:w="1236" w:type="pct"/>
                  <w:shd w:val="clear" w:color="auto" w:fill="auto"/>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12</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天然气蒸汽锅炉</w:t>
                  </w:r>
                </w:p>
              </w:tc>
              <w:tc>
                <w:tcPr>
                  <w:tcW w:w="1236"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台</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13</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蒸养池盖</w:t>
                  </w:r>
                </w:p>
              </w:tc>
              <w:tc>
                <w:tcPr>
                  <w:tcW w:w="1236" w:type="pct"/>
                  <w:shd w:val="clear" w:color="auto" w:fill="auto"/>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14</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卷扬机</w:t>
                  </w:r>
                </w:p>
              </w:tc>
              <w:tc>
                <w:tcPr>
                  <w:tcW w:w="1236" w:type="pct"/>
                  <w:shd w:val="clear" w:color="auto" w:fill="auto"/>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5t</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3" w:type="pct"/>
                  <w:shd w:val="clear" w:color="auto" w:fill="auto"/>
                  <w:vAlign w:val="center"/>
                </w:tcPr>
                <w:p>
                  <w:pPr>
                    <w:keepNext w:val="0"/>
                    <w:keepLines w:val="0"/>
                    <w:pageBreakBefore w:val="0"/>
                    <w:wordWrap/>
                    <w:overflowPunct/>
                    <w:topLinePunct w:val="0"/>
                    <w:bidi w:val="0"/>
                    <w:spacing w:line="240" w:lineRule="auto"/>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15</w:t>
                  </w:r>
                </w:p>
              </w:tc>
              <w:tc>
                <w:tcPr>
                  <w:tcW w:w="153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电气设备（含变压器）</w:t>
                  </w:r>
                </w:p>
              </w:tc>
              <w:tc>
                <w:tcPr>
                  <w:tcW w:w="1236"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1000KV变压器</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套</w:t>
                  </w:r>
                </w:p>
              </w:tc>
              <w:tc>
                <w:tcPr>
                  <w:tcW w:w="1090"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bl>
          <w:p>
            <w:pPr>
              <w:numPr>
                <w:ilvl w:val="0"/>
                <w:numId w:val="0"/>
              </w:numPr>
              <w:adjustRightInd w:val="0"/>
              <w:snapToGrid w:val="0"/>
              <w:spacing w:line="560" w:lineRule="exact"/>
              <w:ind w:firstLine="482" w:firstLineChars="200"/>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5</w:t>
            </w:r>
            <w:r>
              <w:rPr>
                <w:rFonts w:hint="eastAsia"/>
                <w:b/>
                <w:color w:val="000000" w:themeColor="text1"/>
                <w:sz w:val="24"/>
                <w14:textFill>
                  <w14:solidFill>
                    <w14:schemeClr w14:val="tx1"/>
                  </w14:solidFill>
                </w14:textFill>
              </w:rPr>
              <w:t>、能源消耗及</w:t>
            </w:r>
            <w:r>
              <w:rPr>
                <w:b/>
                <w:color w:val="000000" w:themeColor="text1"/>
                <w:sz w:val="24"/>
                <w14:textFill>
                  <w14:solidFill>
                    <w14:schemeClr w14:val="tx1"/>
                  </w14:solidFill>
                </w14:textFill>
              </w:rPr>
              <w:t>原辅材料</w:t>
            </w:r>
          </w:p>
          <w:p>
            <w:pPr>
              <w:adjustRightInd w:val="0"/>
              <w:snapToGrid w:val="0"/>
              <w:spacing w:line="560" w:lineRule="exact"/>
              <w:ind w:firstLine="480" w:firstLineChars="200"/>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本项目主要</w:t>
            </w:r>
            <w:r>
              <w:rPr>
                <w:rFonts w:hint="eastAsia"/>
                <w:color w:val="000000" w:themeColor="text1"/>
                <w:sz w:val="24"/>
                <w14:textFill>
                  <w14:solidFill>
                    <w14:schemeClr w14:val="tx1"/>
                  </w14:solidFill>
                </w14:textFill>
              </w:rPr>
              <w:t>能源及原辅料</w:t>
            </w:r>
            <w:r>
              <w:rPr>
                <w:color w:val="000000" w:themeColor="text1"/>
                <w:sz w:val="24"/>
                <w14:textFill>
                  <w14:solidFill>
                    <w14:schemeClr w14:val="tx1"/>
                  </w14:solidFill>
                </w14:textFill>
              </w:rPr>
              <w:t>使用情况</w:t>
            </w:r>
            <w:r>
              <w:rPr>
                <w:color w:val="000000" w:themeColor="text1"/>
                <w:sz w:val="24"/>
                <w:lang w:val="zh-CN"/>
                <w14:textFill>
                  <w14:solidFill>
                    <w14:schemeClr w14:val="tx1"/>
                  </w14:solidFill>
                </w14:textFill>
              </w:rPr>
              <w:t>见下表。</w:t>
            </w:r>
          </w:p>
          <w:p>
            <w:pPr>
              <w:autoSpaceDE w:val="0"/>
              <w:autoSpaceDN w:val="0"/>
              <w:adjustRightInd w:val="0"/>
              <w:jc w:val="center"/>
              <w:rPr>
                <w:b/>
                <w:color w:val="000000" w:themeColor="text1"/>
                <w14:textFill>
                  <w14:solidFill>
                    <w14:schemeClr w14:val="tx1"/>
                  </w14:solidFill>
                </w14:textFill>
              </w:rPr>
            </w:pPr>
            <w:r>
              <w:rPr>
                <w:b/>
                <w:color w:val="000000" w:themeColor="text1"/>
                <w:lang w:val="zh-CN"/>
                <w14:textFill>
                  <w14:solidFill>
                    <w14:schemeClr w14:val="tx1"/>
                  </w14:solidFill>
                </w14:textFill>
              </w:rPr>
              <w:t>表2-</w:t>
            </w:r>
            <w:r>
              <w:rPr>
                <w:rFonts w:hint="eastAsia"/>
                <w:b/>
                <w:color w:val="000000" w:themeColor="text1"/>
                <w:lang w:val="en-US" w:eastAsia="zh-CN"/>
                <w14:textFill>
                  <w14:solidFill>
                    <w14:schemeClr w14:val="tx1"/>
                  </w14:solidFill>
                </w14:textFill>
              </w:rPr>
              <w:t>4</w:t>
            </w:r>
            <w:r>
              <w:rPr>
                <w:b/>
                <w:color w:val="000000" w:themeColor="text1"/>
                <w:lang w:val="zh-CN"/>
                <w14:textFill>
                  <w14:solidFill>
                    <w14:schemeClr w14:val="tx1"/>
                  </w14:solidFill>
                </w14:textFill>
              </w:rPr>
              <w:t xml:space="preserve">  </w:t>
            </w:r>
            <w:r>
              <w:rPr>
                <w:b/>
                <w:color w:val="000000" w:themeColor="text1"/>
                <w14:textFill>
                  <w14:solidFill>
                    <w14:schemeClr w14:val="tx1"/>
                  </w14:solidFill>
                </w14:textFill>
              </w:rPr>
              <w:t>主要</w:t>
            </w:r>
            <w:r>
              <w:rPr>
                <w:rFonts w:hint="eastAsia"/>
                <w:b/>
                <w:color w:val="000000" w:themeColor="text1"/>
                <w14:textFill>
                  <w14:solidFill>
                    <w14:schemeClr w14:val="tx1"/>
                  </w14:solidFill>
                </w14:textFill>
              </w:rPr>
              <w:t>能源及原辅材料</w:t>
            </w:r>
            <w:r>
              <w:rPr>
                <w:b/>
                <w:color w:val="000000" w:themeColor="text1"/>
                <w14:textFill>
                  <w14:solidFill>
                    <w14:schemeClr w14:val="tx1"/>
                  </w14:solidFill>
                </w14:textFill>
              </w:rPr>
              <w:t>使用情况</w:t>
            </w:r>
            <w:r>
              <w:rPr>
                <w:b/>
                <w:color w:val="000000" w:themeColor="text1"/>
                <w:lang w:val="zh-CN"/>
                <w14:textFill>
                  <w14:solidFill>
                    <w14:schemeClr w14:val="tx1"/>
                  </w14:solidFill>
                </w14:textFill>
              </w:rPr>
              <w:t>一览表</w:t>
            </w:r>
            <w:r>
              <w:rPr>
                <w:rFonts w:hint="eastAsia"/>
                <w:b/>
                <w:color w:val="000000" w:themeColor="text1"/>
                <w:lang w:val="zh-CN"/>
                <w14:textFill>
                  <w14:solidFill>
                    <w14:schemeClr w14:val="tx1"/>
                  </w14:solidFill>
                </w14:textFill>
              </w:rPr>
              <w:t xml:space="preserve">    单位</w:t>
            </w:r>
            <w:r>
              <w:rPr>
                <w:rFonts w:hint="eastAsia"/>
                <w:color w:val="000000" w:themeColor="text1"/>
                <w:szCs w:val="21"/>
                <w:lang w:val="zh-CN"/>
                <w14:textFill>
                  <w14:solidFill>
                    <w14:schemeClr w14:val="tx1"/>
                  </w14:solidFill>
                </w14:textFill>
              </w:rPr>
              <w:t>：</w:t>
            </w:r>
            <w:r>
              <w:rPr>
                <w:b/>
                <w:color w:val="000000" w:themeColor="text1"/>
                <w:szCs w:val="21"/>
                <w14:textFill>
                  <w14:solidFill>
                    <w14:schemeClr w14:val="tx1"/>
                  </w14:solidFill>
                </w14:textFill>
              </w:rPr>
              <w:t>t/a</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502"/>
              <w:gridCol w:w="1200"/>
              <w:gridCol w:w="1091"/>
              <w:gridCol w:w="1689"/>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72" w:type="pct"/>
                  <w:shd w:val="clear" w:color="auto" w:fill="auto"/>
                  <w:vAlign w:val="center"/>
                </w:tcPr>
                <w:p>
                  <w:pPr>
                    <w:keepNext w:val="0"/>
                    <w:keepLines w:val="0"/>
                    <w:pageBreakBefore w:val="0"/>
                    <w:wordWrap/>
                    <w:overflowPunct/>
                    <w:topLinePunct w:val="0"/>
                    <w:bidi w:val="0"/>
                    <w:spacing w:line="240" w:lineRule="auto"/>
                    <w:jc w:val="center"/>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序</w:t>
                  </w:r>
                  <w:r>
                    <w:rPr>
                      <w:rFonts w:hint="eastAsia"/>
                      <w:color w:val="000000" w:themeColor="text1"/>
                      <w:szCs w:val="21"/>
                      <w:lang w:val="en-US" w:eastAsia="zh-CN"/>
                      <w14:textFill>
                        <w14:solidFill>
                          <w14:schemeClr w14:val="tx1"/>
                        </w14:solidFill>
                      </w14:textFill>
                    </w:rPr>
                    <w:t>号</w:t>
                  </w:r>
                </w:p>
              </w:tc>
              <w:tc>
                <w:tcPr>
                  <w:tcW w:w="896" w:type="pct"/>
                  <w:shd w:val="clear" w:color="auto" w:fill="auto"/>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715" w:type="pct"/>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w:t>
                  </w:r>
                </w:p>
              </w:tc>
              <w:tc>
                <w:tcPr>
                  <w:tcW w:w="650" w:type="pct"/>
                  <w:shd w:val="clear" w:color="auto" w:fill="auto"/>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年</w:t>
                  </w:r>
                  <w:r>
                    <w:rPr>
                      <w:rFonts w:hint="eastAsia"/>
                      <w:color w:val="000000" w:themeColor="text1"/>
                      <w:szCs w:val="21"/>
                      <w14:textFill>
                        <w14:solidFill>
                          <w14:schemeClr w14:val="tx1"/>
                        </w14:solidFill>
                      </w14:textFill>
                    </w:rPr>
                    <w:t>用量</w:t>
                  </w:r>
                </w:p>
              </w:tc>
              <w:tc>
                <w:tcPr>
                  <w:tcW w:w="1007" w:type="pct"/>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储存方式</w:t>
                  </w:r>
                </w:p>
              </w:tc>
              <w:tc>
                <w:tcPr>
                  <w:tcW w:w="1356" w:type="pct"/>
                  <w:shd w:val="clear" w:color="auto" w:fill="auto"/>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auto"/>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96" w:type="pct"/>
                  <w:shd w:val="clear" w:color="auto" w:fill="auto"/>
                  <w:vAlign w:val="center"/>
                </w:tcPr>
                <w:p>
                  <w:pPr>
                    <w:keepNext w:val="0"/>
                    <w:keepLines w:val="0"/>
                    <w:pageBreakBefore w:val="0"/>
                    <w:wordWrap/>
                    <w:overflowPunct/>
                    <w:topLinePunct w:val="0"/>
                    <w:bidi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水泥</w:t>
                  </w:r>
                </w:p>
              </w:tc>
              <w:tc>
                <w:tcPr>
                  <w:tcW w:w="715" w:type="pct"/>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/a</w:t>
                  </w:r>
                </w:p>
              </w:tc>
              <w:tc>
                <w:tcPr>
                  <w:tcW w:w="650"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29777</w:t>
                  </w:r>
                </w:p>
              </w:tc>
              <w:tc>
                <w:tcPr>
                  <w:tcW w:w="1007" w:type="pct"/>
                  <w:vAlign w:val="center"/>
                </w:tcPr>
                <w:p>
                  <w:pPr>
                    <w:keepNext w:val="0"/>
                    <w:keepLines w:val="0"/>
                    <w:pageBreakBefore w:val="0"/>
                    <w:wordWrap/>
                    <w:overflowPunct/>
                    <w:topLinePunct w:val="0"/>
                    <w:bidi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筒仓</w:t>
                  </w:r>
                </w:p>
              </w:tc>
              <w:tc>
                <w:tcPr>
                  <w:tcW w:w="1356" w:type="pct"/>
                  <w:shd w:val="clear" w:color="auto" w:fill="auto"/>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auto"/>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896" w:type="pct"/>
                  <w:shd w:val="clear" w:color="auto" w:fill="auto"/>
                  <w:vAlign w:val="center"/>
                </w:tcPr>
                <w:p>
                  <w:pPr>
                    <w:pStyle w:val="100"/>
                    <w:keepNext w:val="0"/>
                    <w:keepLines w:val="0"/>
                    <w:pageBreakBefore w:val="0"/>
                    <w:wordWrap/>
                    <w:overflowPunct/>
                    <w:topLinePunct w:val="0"/>
                    <w:bidi w:val="0"/>
                    <w:spacing w:line="240" w:lineRule="auto"/>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矿粉</w:t>
                  </w:r>
                </w:p>
              </w:tc>
              <w:tc>
                <w:tcPr>
                  <w:tcW w:w="715" w:type="pct"/>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650"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44115</w:t>
                  </w:r>
                </w:p>
              </w:tc>
              <w:tc>
                <w:tcPr>
                  <w:tcW w:w="1007" w:type="pct"/>
                  <w:vAlign w:val="center"/>
                </w:tcPr>
                <w:p>
                  <w:pPr>
                    <w:keepNext w:val="0"/>
                    <w:keepLines w:val="0"/>
                    <w:pageBreakBefore w:val="0"/>
                    <w:wordWrap/>
                    <w:overflowPunct/>
                    <w:topLinePunct w:val="0"/>
                    <w:bidi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筒仓</w:t>
                  </w:r>
                </w:p>
              </w:tc>
              <w:tc>
                <w:tcPr>
                  <w:tcW w:w="1356" w:type="pct"/>
                  <w:shd w:val="clear" w:color="auto" w:fill="auto"/>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auto"/>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896"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砂（5-25mm）</w:t>
                  </w:r>
                </w:p>
              </w:tc>
              <w:tc>
                <w:tcPr>
                  <w:tcW w:w="715" w:type="pct"/>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650"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205200</w:t>
                  </w:r>
                </w:p>
              </w:tc>
              <w:tc>
                <w:tcPr>
                  <w:tcW w:w="1007" w:type="pct"/>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原料区堆放</w:t>
                  </w:r>
                </w:p>
              </w:tc>
              <w:tc>
                <w:tcPr>
                  <w:tcW w:w="1356"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外购</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来自商业料场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auto"/>
                  <w:vAlign w:val="center"/>
                </w:tcPr>
                <w:p>
                  <w:pPr>
                    <w:keepNext w:val="0"/>
                    <w:keepLines w:val="0"/>
                    <w:pageBreakBefore w:val="0"/>
                    <w:wordWrap/>
                    <w:overflowPunct/>
                    <w:topLinePunct w:val="0"/>
                    <w:bidi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896"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石子</w:t>
                  </w:r>
                </w:p>
              </w:tc>
              <w:tc>
                <w:tcPr>
                  <w:tcW w:w="715" w:type="pct"/>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t/a</w:t>
                  </w:r>
                </w:p>
              </w:tc>
              <w:tc>
                <w:tcPr>
                  <w:tcW w:w="650"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141300</w:t>
                  </w:r>
                </w:p>
              </w:tc>
              <w:tc>
                <w:tcPr>
                  <w:tcW w:w="1007" w:type="pct"/>
                  <w:vAlign w:val="center"/>
                </w:tcPr>
                <w:p>
                  <w:pPr>
                    <w:keepNext w:val="0"/>
                    <w:keepLines w:val="0"/>
                    <w:pageBreakBefore w:val="0"/>
                    <w:wordWrap/>
                    <w:overflowPunct/>
                    <w:topLinePunct w:val="0"/>
                    <w:bidi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原料区堆放</w:t>
                  </w:r>
                </w:p>
              </w:tc>
              <w:tc>
                <w:tcPr>
                  <w:tcW w:w="1356" w:type="pct"/>
                  <w:shd w:val="clear" w:color="auto" w:fill="auto"/>
                  <w:vAlign w:val="center"/>
                </w:tcPr>
                <w:p>
                  <w:pPr>
                    <w:keepNext w:val="0"/>
                    <w:keepLines w:val="0"/>
                    <w:pageBreakBefore w:val="0"/>
                    <w:wordWrap/>
                    <w:overflowPunct/>
                    <w:topLinePunct w:val="0"/>
                    <w:bidi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外购</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来自商业料场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896"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减水剂</w:t>
                  </w:r>
                </w:p>
              </w:tc>
              <w:tc>
                <w:tcPr>
                  <w:tcW w:w="715" w:type="pct"/>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t/a</w:t>
                  </w:r>
                </w:p>
              </w:tc>
              <w:tc>
                <w:tcPr>
                  <w:tcW w:w="650"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1728</w:t>
                  </w:r>
                </w:p>
              </w:tc>
              <w:tc>
                <w:tcPr>
                  <w:tcW w:w="1007" w:type="pct"/>
                  <w:vAlign w:val="center"/>
                </w:tcPr>
                <w:p>
                  <w:pPr>
                    <w:keepNext w:val="0"/>
                    <w:keepLines w:val="0"/>
                    <w:pageBreakBefore w:val="0"/>
                    <w:wordWrap/>
                    <w:overflowPunct/>
                    <w:topLinePunct w:val="0"/>
                    <w:bidi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原料区储罐存放</w:t>
                  </w:r>
                </w:p>
              </w:tc>
              <w:tc>
                <w:tcPr>
                  <w:tcW w:w="1356" w:type="pct"/>
                  <w:shd w:val="clear" w:color="auto" w:fill="auto"/>
                  <w:vAlign w:val="center"/>
                </w:tcPr>
                <w:p>
                  <w:pPr>
                    <w:keepNext w:val="0"/>
                    <w:keepLines w:val="0"/>
                    <w:pageBreakBefore w:val="0"/>
                    <w:wordWrap/>
                    <w:overflowPunct/>
                    <w:topLinePunct w:val="0"/>
                    <w:bidi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896"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钢棒</w:t>
                  </w:r>
                </w:p>
              </w:tc>
              <w:tc>
                <w:tcPr>
                  <w:tcW w:w="715" w:type="pct"/>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t/a</w:t>
                  </w:r>
                </w:p>
              </w:tc>
              <w:tc>
                <w:tcPr>
                  <w:tcW w:w="650"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8892</w:t>
                  </w:r>
                </w:p>
              </w:tc>
              <w:tc>
                <w:tcPr>
                  <w:tcW w:w="1007" w:type="pct"/>
                  <w:vAlign w:val="center"/>
                </w:tcPr>
                <w:p>
                  <w:pPr>
                    <w:keepNext w:val="0"/>
                    <w:keepLines w:val="0"/>
                    <w:pageBreakBefore w:val="0"/>
                    <w:wordWrap/>
                    <w:overflowPunct/>
                    <w:topLinePunct w:val="0"/>
                    <w:bidi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原料区堆放</w:t>
                  </w:r>
                </w:p>
              </w:tc>
              <w:tc>
                <w:tcPr>
                  <w:tcW w:w="1356" w:type="pct"/>
                  <w:shd w:val="clear" w:color="auto" w:fill="auto"/>
                  <w:vAlign w:val="center"/>
                </w:tcPr>
                <w:p>
                  <w:pPr>
                    <w:keepNext w:val="0"/>
                    <w:keepLines w:val="0"/>
                    <w:pageBreakBefore w:val="0"/>
                    <w:wordWrap/>
                    <w:overflowPunct/>
                    <w:topLinePunct w:val="0"/>
                    <w:bidi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896"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螺纹钢筋</w:t>
                  </w:r>
                </w:p>
              </w:tc>
              <w:tc>
                <w:tcPr>
                  <w:tcW w:w="715" w:type="pct"/>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t/a</w:t>
                  </w:r>
                </w:p>
              </w:tc>
              <w:tc>
                <w:tcPr>
                  <w:tcW w:w="650"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2844</w:t>
                  </w:r>
                </w:p>
              </w:tc>
              <w:tc>
                <w:tcPr>
                  <w:tcW w:w="1007" w:type="pct"/>
                  <w:vAlign w:val="center"/>
                </w:tcPr>
                <w:p>
                  <w:pPr>
                    <w:keepNext w:val="0"/>
                    <w:keepLines w:val="0"/>
                    <w:pageBreakBefore w:val="0"/>
                    <w:wordWrap/>
                    <w:overflowPunct/>
                    <w:topLinePunct w:val="0"/>
                    <w:bidi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原料区堆放</w:t>
                  </w:r>
                </w:p>
              </w:tc>
              <w:tc>
                <w:tcPr>
                  <w:tcW w:w="1356" w:type="pct"/>
                  <w:shd w:val="clear" w:color="auto" w:fill="auto"/>
                  <w:vAlign w:val="center"/>
                </w:tcPr>
                <w:p>
                  <w:pPr>
                    <w:keepNext w:val="0"/>
                    <w:keepLines w:val="0"/>
                    <w:pageBreakBefore w:val="0"/>
                    <w:wordWrap/>
                    <w:overflowPunct/>
                    <w:topLinePunct w:val="0"/>
                    <w:bidi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72" w:type="pct"/>
                  <w:shd w:val="clear" w:color="auto" w:fill="auto"/>
                  <w:vAlign w:val="center"/>
                </w:tcPr>
                <w:p>
                  <w:pPr>
                    <w:keepNext w:val="0"/>
                    <w:keepLines w:val="0"/>
                    <w:pageBreakBefore w:val="0"/>
                    <w:wordWrap/>
                    <w:overflowPunct/>
                    <w:topLinePunct w:val="0"/>
                    <w:bidi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896"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水</w:t>
                  </w:r>
                </w:p>
              </w:tc>
              <w:tc>
                <w:tcPr>
                  <w:tcW w:w="715" w:type="pct"/>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650"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45705</w:t>
                  </w:r>
                </w:p>
              </w:tc>
              <w:tc>
                <w:tcPr>
                  <w:tcW w:w="1007" w:type="pct"/>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356" w:type="pct"/>
                  <w:shd w:val="clear" w:color="auto" w:fill="auto"/>
                  <w:vAlign w:val="center"/>
                </w:tcPr>
                <w:p>
                  <w:pPr>
                    <w:keepNext w:val="0"/>
                    <w:keepLines w:val="0"/>
                    <w:pageBreakBefore w:val="0"/>
                    <w:wordWrap/>
                    <w:overflowPunct/>
                    <w:topLinePunct w:val="0"/>
                    <w:bidi w:val="0"/>
                    <w:spacing w:line="24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w:t>
                  </w:r>
                </w:p>
              </w:tc>
              <w:tc>
                <w:tcPr>
                  <w:tcW w:w="896" w:type="pct"/>
                  <w:shd w:val="clear" w:color="auto" w:fill="auto"/>
                  <w:vAlign w:val="center"/>
                </w:tcPr>
                <w:p>
                  <w:pPr>
                    <w:keepNext w:val="0"/>
                    <w:keepLines w:val="0"/>
                    <w:pageBreakBefore w:val="0"/>
                    <w:wordWrap/>
                    <w:overflowPunct/>
                    <w:topLinePunct w:val="0"/>
                    <w:bidi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电</w:t>
                  </w:r>
                </w:p>
              </w:tc>
              <w:tc>
                <w:tcPr>
                  <w:tcW w:w="715" w:type="pct"/>
                  <w:vAlign w:val="center"/>
                </w:tcPr>
                <w:p>
                  <w:pPr>
                    <w:keepNext w:val="0"/>
                    <w:keepLines w:val="0"/>
                    <w:pageBreakBefore w:val="0"/>
                    <w:wordWrap/>
                    <w:overflowPunct/>
                    <w:topLinePunct w:val="0"/>
                    <w:bidi w:val="0"/>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万kW·h/a</w:t>
                  </w:r>
                </w:p>
              </w:tc>
              <w:tc>
                <w:tcPr>
                  <w:tcW w:w="650"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300</w:t>
                  </w:r>
                </w:p>
              </w:tc>
              <w:tc>
                <w:tcPr>
                  <w:tcW w:w="1007" w:type="pct"/>
                  <w:vAlign w:val="center"/>
                </w:tcPr>
                <w:p>
                  <w:pPr>
                    <w:keepNext w:val="0"/>
                    <w:keepLines w:val="0"/>
                    <w:pageBreakBefore w:val="0"/>
                    <w:wordWrap/>
                    <w:overflowPunct/>
                    <w:topLinePunct w:val="0"/>
                    <w:bidi w:val="0"/>
                    <w:spacing w:line="240" w:lineRule="auto"/>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356" w:type="pct"/>
                  <w:shd w:val="clear" w:color="auto" w:fill="auto"/>
                  <w:vAlign w:val="center"/>
                </w:tcPr>
                <w:p>
                  <w:pPr>
                    <w:keepNext w:val="0"/>
                    <w:keepLines w:val="0"/>
                    <w:pageBreakBefore w:val="0"/>
                    <w:wordWrap/>
                    <w:overflowPunct/>
                    <w:topLinePunct w:val="0"/>
                    <w:bidi w:val="0"/>
                    <w:spacing w:line="240" w:lineRule="auto"/>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896"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天然气</w:t>
                  </w:r>
                </w:p>
              </w:tc>
              <w:tc>
                <w:tcPr>
                  <w:tcW w:w="715" w:type="pct"/>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万</w:t>
                  </w:r>
                  <w:r>
                    <w:rPr>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p>
              </w:tc>
              <w:tc>
                <w:tcPr>
                  <w:tcW w:w="650" w:type="pct"/>
                  <w:shd w:val="clear" w:color="auto" w:fill="auto"/>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215</w:t>
                  </w:r>
                </w:p>
              </w:tc>
              <w:tc>
                <w:tcPr>
                  <w:tcW w:w="1007" w:type="pct"/>
                  <w:vAlign w:val="center"/>
                </w:tcPr>
                <w:p>
                  <w:pPr>
                    <w:keepNext w:val="0"/>
                    <w:keepLines w:val="0"/>
                    <w:pageBreakBefore w:val="0"/>
                    <w:wordWrap/>
                    <w:overflowPunct/>
                    <w:topLinePunct w:val="0"/>
                    <w:bidi w:val="0"/>
                    <w:spacing w:line="240" w:lineRule="auto"/>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356" w:type="pct"/>
                  <w:shd w:val="clear" w:color="auto" w:fill="auto"/>
                  <w:vAlign w:val="center"/>
                </w:tcPr>
                <w:p>
                  <w:pPr>
                    <w:keepNext w:val="0"/>
                    <w:keepLines w:val="0"/>
                    <w:pageBreakBefore w:val="0"/>
                    <w:wordWrap/>
                    <w:overflowPunct/>
                    <w:topLinePunct w:val="0"/>
                    <w:bidi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园区天然气管网</w:t>
                  </w:r>
                </w:p>
              </w:tc>
            </w:tr>
          </w:tbl>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left="108" w:right="102" w:firstLine="482"/>
              <w:jc w:val="both"/>
              <w:textAlignment w:val="baseline"/>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主要原辅材料理化性质</w:t>
            </w:r>
            <w:r>
              <w:rPr>
                <w:rFonts w:hint="eastAsia" w:ascii="Times New Roman" w:hAnsi="Times New Roman" w:cs="Times New Roman"/>
                <w:b w:val="0"/>
                <w:bCs/>
                <w:color w:val="000000" w:themeColor="text1"/>
                <w:kern w:val="2"/>
                <w:sz w:val="24"/>
                <w:szCs w:val="24"/>
                <w:lang w:val="en-US" w:eastAsia="zh-CN" w:bidi="ar-SA"/>
                <w14:textFill>
                  <w14:solidFill>
                    <w14:schemeClr w14:val="tx1"/>
                  </w14:solidFill>
                </w14:textFill>
              </w:rPr>
              <w:t>：</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left="108" w:right="102" w:firstLine="482"/>
              <w:jc w:val="both"/>
              <w:textAlignment w:val="baseline"/>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减水剂：项目采用的减水剂为聚羧酸系高性能减水剂，是羧酸类接枝多元 共聚物与其他有效助剂的复配产品。白色液体，无特殊气味，减水率≥25% ，密 度（g/ml）：1.09±0.02 ，pH：6~7，溶于水。主要成分：水~69.9%、甲基烯丙醇聚氧乙烯醚~ 18% 、丙烯酸~2.8%、葡萄糖酸钠~2.5%、柠檬酸~2.0%。</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right="102" w:firstLine="482" w:firstLineChars="200"/>
              <w:jc w:val="both"/>
              <w:textAlignment w:val="baseline"/>
              <w:rPr>
                <w:rFonts w:hint="eastAsia"/>
                <w:b/>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6、</w:t>
            </w:r>
            <w:r>
              <w:rPr>
                <w:rFonts w:hint="eastAsia"/>
                <w:b/>
                <w:color w:val="000000" w:themeColor="text1"/>
                <w:sz w:val="24"/>
                <w:lang w:val="en-US" w:eastAsia="zh-CN"/>
                <w14:textFill>
                  <w14:solidFill>
                    <w14:schemeClr w14:val="tx1"/>
                  </w14:solidFill>
                </w14:textFill>
              </w:rPr>
              <w:t>物料平衡</w:t>
            </w:r>
          </w:p>
          <w:p>
            <w:pPr>
              <w:keepNext w:val="0"/>
              <w:keepLines w:val="0"/>
              <w:pageBreakBefore w:val="0"/>
              <w:numPr>
                <w:ilvl w:val="0"/>
                <w:numId w:val="0"/>
              </w:numPr>
              <w:wordWrap/>
              <w:overflowPunct/>
              <w:topLinePunct w:val="0"/>
              <w:bidi w:val="0"/>
              <w:adjustRightInd w:val="0"/>
              <w:snapToGrid w:val="0"/>
              <w:spacing w:line="360" w:lineRule="auto"/>
              <w:jc w:val="both"/>
              <w:rPr>
                <w:rFonts w:hint="default" w:eastAsia="宋体"/>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 xml:space="preserve">   </w:t>
            </w:r>
            <w:r>
              <w:rPr>
                <w:color w:val="000000" w:themeColor="text1"/>
                <w:sz w:val="24"/>
                <w14:textFill>
                  <w14:solidFill>
                    <w14:schemeClr w14:val="tx1"/>
                  </w14:solidFill>
                </w14:textFill>
              </w:rPr>
              <w:t>本</w:t>
            </w:r>
            <w:r>
              <w:rPr>
                <w:rFonts w:hint="eastAsia"/>
                <w:b w:val="0"/>
                <w:bCs/>
                <w:color w:val="000000" w:themeColor="text1"/>
                <w:sz w:val="24"/>
                <w:lang w:val="en-US" w:eastAsia="zh-CN"/>
                <w14:textFill>
                  <w14:solidFill>
                    <w14:schemeClr w14:val="tx1"/>
                  </w14:solidFill>
                </w14:textFill>
              </w:rPr>
              <w:t>项目物料平衡情况见表2-5。</w:t>
            </w:r>
          </w:p>
          <w:p>
            <w:pPr>
              <w:numPr>
                <w:ilvl w:val="0"/>
                <w:numId w:val="0"/>
              </w:numPr>
              <w:adjustRightInd w:val="0"/>
              <w:snapToGrid w:val="0"/>
              <w:spacing w:line="560" w:lineRule="exact"/>
              <w:ind w:firstLine="422" w:firstLineChars="200"/>
              <w:jc w:val="center"/>
              <w:rPr>
                <w:rFonts w:hint="default" w:eastAsia="宋体"/>
                <w:b/>
                <w:color w:val="000000" w:themeColor="text1"/>
                <w:lang w:val="en-US" w:eastAsia="zh-CN"/>
                <w14:textFill>
                  <w14:solidFill>
                    <w14:schemeClr w14:val="tx1"/>
                  </w14:solidFill>
                </w14:textFill>
              </w:rPr>
            </w:pPr>
            <w:r>
              <w:rPr>
                <w:b/>
                <w:color w:val="000000" w:themeColor="text1"/>
                <w:lang w:val="zh-CN"/>
                <w14:textFill>
                  <w14:solidFill>
                    <w14:schemeClr w14:val="tx1"/>
                  </w14:solidFill>
                </w14:textFill>
              </w:rPr>
              <w:t>表2-</w:t>
            </w:r>
            <w:r>
              <w:rPr>
                <w:rFonts w:hint="eastAsia"/>
                <w:b/>
                <w:color w:val="000000" w:themeColor="text1"/>
                <w:lang w:val="en-US" w:eastAsia="zh-CN"/>
                <w14:textFill>
                  <w14:solidFill>
                    <w14:schemeClr w14:val="tx1"/>
                  </w14:solidFill>
                </w14:textFill>
              </w:rPr>
              <w:t>5</w:t>
            </w:r>
            <w:r>
              <w:rPr>
                <w:b/>
                <w:color w:val="000000" w:themeColor="text1"/>
                <w:lang w:val="zh-CN"/>
                <w14:textFill>
                  <w14:solidFill>
                    <w14:schemeClr w14:val="tx1"/>
                  </w14:solidFill>
                </w14:textFill>
              </w:rPr>
              <w:t xml:space="preserve">   </w:t>
            </w:r>
            <w:r>
              <w:rPr>
                <w:rFonts w:hint="eastAsia"/>
                <w:b/>
                <w:color w:val="000000" w:themeColor="text1"/>
                <w:lang w:val="en-US" w:eastAsia="zh-CN"/>
                <w14:textFill>
                  <w14:solidFill>
                    <w14:schemeClr w14:val="tx1"/>
                  </w14:solidFill>
                </w14:textFill>
              </w:rPr>
              <w:t>项目物料平衡一览表</w:t>
            </w:r>
          </w:p>
          <w:tbl>
            <w:tblPr>
              <w:tblStyle w:val="25"/>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612"/>
              <w:gridCol w:w="649"/>
              <w:gridCol w:w="970"/>
              <w:gridCol w:w="1977"/>
              <w:gridCol w:w="1199"/>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eastAsia" w:eastAsia="宋体"/>
                      <w:b/>
                      <w:color w:val="000000" w:themeColor="text1"/>
                      <w:vertAlign w:val="baseline"/>
                      <w:lang w:val="en-US" w:eastAsia="zh-CN"/>
                      <w14:textFill>
                        <w14:solidFill>
                          <w14:schemeClr w14:val="tx1"/>
                        </w14:solidFill>
                      </w14:textFill>
                    </w:rPr>
                  </w:pPr>
                  <w:r>
                    <w:rPr>
                      <w:rFonts w:hint="eastAsia"/>
                      <w:b/>
                      <w:color w:val="000000" w:themeColor="text1"/>
                      <w:vertAlign w:val="baseline"/>
                      <w:lang w:val="en-US" w:eastAsia="zh-CN"/>
                      <w14:textFill>
                        <w14:solidFill>
                          <w14:schemeClr w14:val="tx1"/>
                        </w14:solidFill>
                      </w14:textFill>
                    </w:rPr>
                    <w:t>序号</w:t>
                  </w:r>
                </w:p>
              </w:tc>
              <w:tc>
                <w:tcPr>
                  <w:tcW w:w="3231" w:type="dxa"/>
                  <w:gridSpan w:val="3"/>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b/>
                      <w:color w:val="000000" w:themeColor="text1"/>
                      <w:vertAlign w:val="baseline"/>
                      <w14:textFill>
                        <w14:solidFill>
                          <w14:schemeClr w14:val="tx1"/>
                        </w14:solidFill>
                      </w14:textFill>
                    </w:rPr>
                  </w:pPr>
                  <w:r>
                    <w:rPr>
                      <w:rFonts w:hint="eastAsia"/>
                      <w:b/>
                      <w:color w:val="000000" w:themeColor="text1"/>
                      <w:vertAlign w:val="baseline"/>
                      <w:lang w:val="en-US" w:eastAsia="zh-CN"/>
                      <w14:textFill>
                        <w14:solidFill>
                          <w14:schemeClr w14:val="tx1"/>
                        </w14:solidFill>
                      </w14:textFill>
                    </w:rPr>
                    <w:t>物料投入</w:t>
                  </w:r>
                </w:p>
              </w:tc>
              <w:tc>
                <w:tcPr>
                  <w:tcW w:w="4375" w:type="dxa"/>
                  <w:gridSpan w:val="3"/>
                  <w:vAlign w:val="center"/>
                </w:tcPr>
                <w:p>
                  <w:pPr>
                    <w:numPr>
                      <w:ilvl w:val="0"/>
                      <w:numId w:val="0"/>
                    </w:numPr>
                    <w:adjustRightInd w:val="0"/>
                    <w:snapToGrid w:val="0"/>
                    <w:spacing w:line="560" w:lineRule="exact"/>
                    <w:jc w:val="center"/>
                    <w:rPr>
                      <w:rFonts w:hint="default"/>
                      <w:b/>
                      <w:color w:val="000000" w:themeColor="text1"/>
                      <w:vertAlign w:val="baseline"/>
                      <w:lang w:val="en-US"/>
                      <w14:textFill>
                        <w14:solidFill>
                          <w14:schemeClr w14:val="tx1"/>
                        </w14:solidFill>
                      </w14:textFill>
                    </w:rPr>
                  </w:pPr>
                  <w:r>
                    <w:rPr>
                      <w:rFonts w:hint="eastAsia"/>
                      <w:b/>
                      <w:color w:val="000000" w:themeColor="text1"/>
                      <w:vertAlign w:val="baseline"/>
                      <w:lang w:val="en-US" w:eastAsia="zh-CN"/>
                      <w14:textFill>
                        <w14:solidFill>
                          <w14:schemeClr w14:val="tx1"/>
                        </w14:solidFill>
                      </w14:textFill>
                    </w:rPr>
                    <w:t>产品产出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eastAsia"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1</w:t>
                  </w:r>
                </w:p>
              </w:tc>
              <w:tc>
                <w:tcPr>
                  <w:tcW w:w="1612" w:type="dxa"/>
                  <w:vAlign w:val="center"/>
                </w:tcPr>
                <w:p>
                  <w:pPr>
                    <w:keepNext w:val="0"/>
                    <w:keepLines w:val="0"/>
                    <w:pageBreakBefore w:val="0"/>
                    <w:kinsoku/>
                    <w:wordWrap/>
                    <w:overflowPunct/>
                    <w:topLinePunct w:val="0"/>
                    <w:bidi w:val="0"/>
                    <w:spacing w:line="240" w:lineRule="atLeast"/>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Cs w:val="21"/>
                      <w:lang w:val="en-US" w:eastAsia="zh-CN"/>
                      <w14:textFill>
                        <w14:solidFill>
                          <w14:schemeClr w14:val="tx1"/>
                        </w14:solidFill>
                      </w14:textFill>
                    </w:rPr>
                    <w:t>水泥</w:t>
                  </w:r>
                </w:p>
              </w:tc>
              <w:tc>
                <w:tcPr>
                  <w:tcW w:w="649" w:type="dxa"/>
                  <w:vAlign w:val="center"/>
                </w:tcPr>
                <w:p>
                  <w:pPr>
                    <w:keepNext w:val="0"/>
                    <w:keepLines w:val="0"/>
                    <w:pageBreakBefore w:val="0"/>
                    <w:kinsoku/>
                    <w:wordWrap/>
                    <w:overflowPunct/>
                    <w:topLinePunct w:val="0"/>
                    <w:bidi w:val="0"/>
                    <w:spacing w:line="240" w:lineRule="atLeast"/>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Cs w:val="21"/>
                      <w14:textFill>
                        <w14:solidFill>
                          <w14:schemeClr w14:val="tx1"/>
                        </w14:solidFill>
                      </w14:textFill>
                    </w:rPr>
                    <w:t>t</w:t>
                  </w:r>
                  <w:r>
                    <w:rPr>
                      <w:b w:val="0"/>
                      <w:bCs/>
                      <w:color w:val="000000" w:themeColor="text1"/>
                      <w:szCs w:val="21"/>
                      <w14:textFill>
                        <w14:solidFill>
                          <w14:schemeClr w14:val="tx1"/>
                        </w14:solidFill>
                      </w14:textFill>
                    </w:rPr>
                    <w:t>/a</w:t>
                  </w:r>
                </w:p>
              </w:tc>
              <w:tc>
                <w:tcPr>
                  <w:tcW w:w="970" w:type="dxa"/>
                  <w:vAlign w:val="center"/>
                </w:tcPr>
                <w:p>
                  <w:pPr>
                    <w:keepNext w:val="0"/>
                    <w:keepLines w:val="0"/>
                    <w:pageBreakBefore w:val="0"/>
                    <w:wordWrap/>
                    <w:overflowPunct/>
                    <w:topLinePunct w:val="0"/>
                    <w:bidi w:val="0"/>
                    <w:spacing w:line="240" w:lineRule="auto"/>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29777</w:t>
                  </w:r>
                </w:p>
              </w:tc>
              <w:tc>
                <w:tcPr>
                  <w:tcW w:w="1977" w:type="dxa"/>
                  <w:vAlign w:val="center"/>
                </w:tcPr>
                <w:p>
                  <w:pPr>
                    <w:numPr>
                      <w:ilvl w:val="0"/>
                      <w:numId w:val="0"/>
                    </w:numPr>
                    <w:adjustRightInd w:val="0"/>
                    <w:snapToGrid w:val="0"/>
                    <w:spacing w:line="560" w:lineRule="exact"/>
                    <w:jc w:val="center"/>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预应力混凝土管桩</w:t>
                  </w:r>
                </w:p>
              </w:tc>
              <w:tc>
                <w:tcPr>
                  <w:tcW w:w="1199" w:type="dxa"/>
                  <w:vAlign w:val="center"/>
                </w:tcPr>
                <w:p>
                  <w:pPr>
                    <w:numPr>
                      <w:ilvl w:val="0"/>
                      <w:numId w:val="0"/>
                    </w:numPr>
                    <w:adjustRightInd w:val="0"/>
                    <w:snapToGrid w:val="0"/>
                    <w:spacing w:line="560" w:lineRule="exact"/>
                    <w:jc w:val="center"/>
                    <w:rPr>
                      <w:b w:val="0"/>
                      <w:bCs/>
                      <w:color w:val="000000" w:themeColor="text1"/>
                      <w:vertAlign w:val="baseline"/>
                      <w14:textFill>
                        <w14:solidFill>
                          <w14:schemeClr w14:val="tx1"/>
                        </w14:solidFill>
                      </w14:textFill>
                    </w:rPr>
                  </w:pPr>
                  <w:r>
                    <w:rPr>
                      <w:rFonts w:hint="eastAsia"/>
                      <w:b w:val="0"/>
                      <w:bCs/>
                      <w:color w:val="000000" w:themeColor="text1"/>
                      <w:szCs w:val="21"/>
                      <w14:textFill>
                        <w14:solidFill>
                          <w14:schemeClr w14:val="tx1"/>
                        </w14:solidFill>
                      </w14:textFill>
                    </w:rPr>
                    <w:t>t</w:t>
                  </w:r>
                  <w:r>
                    <w:rPr>
                      <w:b w:val="0"/>
                      <w:bCs/>
                      <w:color w:val="000000" w:themeColor="text1"/>
                      <w:szCs w:val="21"/>
                      <w14:textFill>
                        <w14:solidFill>
                          <w14:schemeClr w14:val="tx1"/>
                        </w14:solidFill>
                      </w14:textFill>
                    </w:rPr>
                    <w:t>/a</w:t>
                  </w:r>
                </w:p>
              </w:tc>
              <w:tc>
                <w:tcPr>
                  <w:tcW w:w="1199" w:type="dxa"/>
                  <w:vAlign w:val="center"/>
                </w:tcPr>
                <w:p>
                  <w:pPr>
                    <w:numPr>
                      <w:ilvl w:val="0"/>
                      <w:numId w:val="0"/>
                    </w:numPr>
                    <w:adjustRightInd w:val="0"/>
                    <w:snapToGrid w:val="0"/>
                    <w:spacing w:line="560" w:lineRule="exact"/>
                    <w:jc w:val="center"/>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441000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eastAsia"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2</w:t>
                  </w:r>
                </w:p>
              </w:tc>
              <w:tc>
                <w:tcPr>
                  <w:tcW w:w="1612" w:type="dxa"/>
                  <w:vAlign w:val="center"/>
                </w:tcPr>
                <w:p>
                  <w:pPr>
                    <w:pStyle w:val="100"/>
                    <w:keepNext w:val="0"/>
                    <w:keepLines w:val="0"/>
                    <w:pageBreakBefore w:val="0"/>
                    <w:kinsoku/>
                    <w:wordWrap/>
                    <w:overflowPunct/>
                    <w:topLinePunct w:val="0"/>
                    <w:bidi w:val="0"/>
                    <w:spacing w:line="240" w:lineRule="atLeast"/>
                    <w:jc w:val="center"/>
                    <w:textAlignment w:val="auto"/>
                    <w:rPr>
                      <w:rFonts w:hint="eastAsia" w:ascii="宋体" w:hAnsi="宋体"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矿粉</w:t>
                  </w:r>
                </w:p>
              </w:tc>
              <w:tc>
                <w:tcPr>
                  <w:tcW w:w="649" w:type="dxa"/>
                  <w:vAlign w:val="center"/>
                </w:tcPr>
                <w:p>
                  <w:pPr>
                    <w:keepNext w:val="0"/>
                    <w:keepLines w:val="0"/>
                    <w:pageBreakBefore w:val="0"/>
                    <w:kinsoku/>
                    <w:wordWrap/>
                    <w:overflowPunct/>
                    <w:topLinePunct w:val="0"/>
                    <w:bidi w:val="0"/>
                    <w:spacing w:line="240" w:lineRule="atLeast"/>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b w:val="0"/>
                      <w:bCs/>
                      <w:color w:val="000000" w:themeColor="text1"/>
                      <w:szCs w:val="21"/>
                      <w14:textFill>
                        <w14:solidFill>
                          <w14:schemeClr w14:val="tx1"/>
                        </w14:solidFill>
                      </w14:textFill>
                    </w:rPr>
                    <w:t>t/a</w:t>
                  </w:r>
                </w:p>
              </w:tc>
              <w:tc>
                <w:tcPr>
                  <w:tcW w:w="970" w:type="dxa"/>
                  <w:vAlign w:val="center"/>
                </w:tcPr>
                <w:p>
                  <w:pPr>
                    <w:keepNext w:val="0"/>
                    <w:keepLines w:val="0"/>
                    <w:pageBreakBefore w:val="0"/>
                    <w:wordWrap/>
                    <w:overflowPunct/>
                    <w:topLinePunct w:val="0"/>
                    <w:bidi w:val="0"/>
                    <w:spacing w:line="240" w:lineRule="auto"/>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44115</w:t>
                  </w:r>
                </w:p>
              </w:tc>
              <w:tc>
                <w:tcPr>
                  <w:tcW w:w="1977" w:type="dxa"/>
                  <w:vAlign w:val="center"/>
                </w:tcPr>
                <w:p>
                  <w:pPr>
                    <w:numPr>
                      <w:ilvl w:val="0"/>
                      <w:numId w:val="0"/>
                    </w:numPr>
                    <w:adjustRightInd w:val="0"/>
                    <w:snapToGrid w:val="0"/>
                    <w:spacing w:line="560" w:lineRule="exact"/>
                    <w:jc w:val="center"/>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废钢棒端头</w:t>
                  </w:r>
                </w:p>
              </w:tc>
              <w:tc>
                <w:tcPr>
                  <w:tcW w:w="1199" w:type="dxa"/>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Cs w:val="21"/>
                      <w14:textFill>
                        <w14:solidFill>
                          <w14:schemeClr w14:val="tx1"/>
                        </w14:solidFill>
                      </w14:textFill>
                    </w:rPr>
                    <w:t>t</w:t>
                  </w:r>
                  <w:r>
                    <w:rPr>
                      <w:b w:val="0"/>
                      <w:bCs/>
                      <w:color w:val="000000" w:themeColor="text1"/>
                      <w:szCs w:val="21"/>
                      <w14:textFill>
                        <w14:solidFill>
                          <w14:schemeClr w14:val="tx1"/>
                        </w14:solidFill>
                      </w14:textFill>
                    </w:rPr>
                    <w:t>/a</w:t>
                  </w:r>
                </w:p>
              </w:tc>
              <w:tc>
                <w:tcPr>
                  <w:tcW w:w="1199" w:type="dxa"/>
                  <w:vAlign w:val="center"/>
                </w:tcPr>
                <w:p>
                  <w:pPr>
                    <w:numPr>
                      <w:ilvl w:val="0"/>
                      <w:numId w:val="0"/>
                    </w:numPr>
                    <w:adjustRightInd w:val="0"/>
                    <w:snapToGrid w:val="0"/>
                    <w:spacing w:line="560" w:lineRule="exact"/>
                    <w:jc w:val="center"/>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eastAsia"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3</w:t>
                  </w:r>
                </w:p>
              </w:tc>
              <w:tc>
                <w:tcPr>
                  <w:tcW w:w="1612" w:type="dxa"/>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砂</w:t>
                  </w:r>
                </w:p>
              </w:tc>
              <w:tc>
                <w:tcPr>
                  <w:tcW w:w="649" w:type="dxa"/>
                  <w:vAlign w:val="center"/>
                </w:tcPr>
                <w:p>
                  <w:pPr>
                    <w:keepNext w:val="0"/>
                    <w:keepLines w:val="0"/>
                    <w:pageBreakBefore w:val="0"/>
                    <w:kinsoku/>
                    <w:wordWrap/>
                    <w:overflowPunct/>
                    <w:topLinePunct w:val="0"/>
                    <w:bidi w:val="0"/>
                    <w:spacing w:line="240" w:lineRule="atLeast"/>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b w:val="0"/>
                      <w:bCs/>
                      <w:color w:val="000000" w:themeColor="text1"/>
                      <w:szCs w:val="21"/>
                      <w14:textFill>
                        <w14:solidFill>
                          <w14:schemeClr w14:val="tx1"/>
                        </w14:solidFill>
                      </w14:textFill>
                    </w:rPr>
                    <w:t>t/a</w:t>
                  </w:r>
                </w:p>
              </w:tc>
              <w:tc>
                <w:tcPr>
                  <w:tcW w:w="970" w:type="dxa"/>
                  <w:vAlign w:val="center"/>
                </w:tcPr>
                <w:p>
                  <w:pPr>
                    <w:keepNext w:val="0"/>
                    <w:keepLines w:val="0"/>
                    <w:pageBreakBefore w:val="0"/>
                    <w:wordWrap/>
                    <w:overflowPunct/>
                    <w:topLinePunct w:val="0"/>
                    <w:bidi w:val="0"/>
                    <w:spacing w:line="240" w:lineRule="auto"/>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205200</w:t>
                  </w:r>
                </w:p>
              </w:tc>
              <w:tc>
                <w:tcPr>
                  <w:tcW w:w="1977" w:type="dxa"/>
                  <w:vAlign w:val="center"/>
                </w:tcPr>
                <w:p>
                  <w:pPr>
                    <w:numPr>
                      <w:ilvl w:val="0"/>
                      <w:numId w:val="0"/>
                    </w:numPr>
                    <w:adjustRightInd w:val="0"/>
                    <w:snapToGrid w:val="0"/>
                    <w:spacing w:line="560" w:lineRule="exact"/>
                    <w:jc w:val="center"/>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废铁渣</w:t>
                  </w:r>
                </w:p>
              </w:tc>
              <w:tc>
                <w:tcPr>
                  <w:tcW w:w="1199" w:type="dxa"/>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b w:val="0"/>
                      <w:bCs/>
                      <w:color w:val="000000" w:themeColor="text1"/>
                      <w:szCs w:val="21"/>
                      <w14:textFill>
                        <w14:solidFill>
                          <w14:schemeClr w14:val="tx1"/>
                        </w14:solidFill>
                      </w14:textFill>
                    </w:rPr>
                    <w:t>t/a</w:t>
                  </w:r>
                </w:p>
              </w:tc>
              <w:tc>
                <w:tcPr>
                  <w:tcW w:w="1199" w:type="dxa"/>
                  <w:vAlign w:val="center"/>
                </w:tcPr>
                <w:p>
                  <w:pPr>
                    <w:numPr>
                      <w:ilvl w:val="0"/>
                      <w:numId w:val="0"/>
                    </w:numPr>
                    <w:adjustRightInd w:val="0"/>
                    <w:snapToGrid w:val="0"/>
                    <w:spacing w:line="560" w:lineRule="exact"/>
                    <w:jc w:val="center"/>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4</w:t>
                  </w:r>
                </w:p>
              </w:tc>
              <w:tc>
                <w:tcPr>
                  <w:tcW w:w="1612" w:type="dxa"/>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Cs w:val="21"/>
                      <w:lang w:val="en-US" w:eastAsia="zh-CN"/>
                      <w14:textFill>
                        <w14:solidFill>
                          <w14:schemeClr w14:val="tx1"/>
                        </w14:solidFill>
                      </w14:textFill>
                    </w:rPr>
                    <w:t>石子</w:t>
                  </w:r>
                </w:p>
              </w:tc>
              <w:tc>
                <w:tcPr>
                  <w:tcW w:w="649" w:type="dxa"/>
                  <w:vAlign w:val="center"/>
                </w:tcPr>
                <w:p>
                  <w:pPr>
                    <w:keepNext w:val="0"/>
                    <w:keepLines w:val="0"/>
                    <w:pageBreakBefore w:val="0"/>
                    <w:kinsoku/>
                    <w:wordWrap/>
                    <w:overflowPunct/>
                    <w:topLinePunct w:val="0"/>
                    <w:bidi w:val="0"/>
                    <w:spacing w:line="240" w:lineRule="atLeast"/>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b w:val="0"/>
                      <w:bCs/>
                      <w:color w:val="000000" w:themeColor="text1"/>
                      <w:szCs w:val="21"/>
                      <w14:textFill>
                        <w14:solidFill>
                          <w14:schemeClr w14:val="tx1"/>
                        </w14:solidFill>
                      </w14:textFill>
                    </w:rPr>
                    <w:t>t/a</w:t>
                  </w:r>
                </w:p>
              </w:tc>
              <w:tc>
                <w:tcPr>
                  <w:tcW w:w="970" w:type="dxa"/>
                  <w:vAlign w:val="center"/>
                </w:tcPr>
                <w:p>
                  <w:pPr>
                    <w:keepNext w:val="0"/>
                    <w:keepLines w:val="0"/>
                    <w:pageBreakBefore w:val="0"/>
                    <w:wordWrap/>
                    <w:overflowPunct/>
                    <w:topLinePunct w:val="0"/>
                    <w:bidi w:val="0"/>
                    <w:spacing w:line="240" w:lineRule="auto"/>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141300</w:t>
                  </w:r>
                </w:p>
              </w:tc>
              <w:tc>
                <w:tcPr>
                  <w:tcW w:w="1977" w:type="dxa"/>
                  <w:vAlign w:val="center"/>
                </w:tcPr>
                <w:p>
                  <w:pPr>
                    <w:numPr>
                      <w:ilvl w:val="0"/>
                      <w:numId w:val="0"/>
                    </w:numPr>
                    <w:adjustRightInd w:val="0"/>
                    <w:snapToGrid w:val="0"/>
                    <w:spacing w:line="560" w:lineRule="exact"/>
                    <w:ind w:left="0" w:leftChars="0" w:firstLine="0" w:firstLineChars="0"/>
                    <w:jc w:val="center"/>
                    <w:rPr>
                      <w:rFonts w:hint="default" w:ascii="Times New Roman" w:hAnsi="Times New Roman" w:eastAsia="宋体" w:cs="Times New Roman"/>
                      <w:b w:val="0"/>
                      <w:bCs/>
                      <w:color w:val="000000" w:themeColor="text1"/>
                      <w:kern w:val="2"/>
                      <w:sz w:val="21"/>
                      <w:szCs w:val="24"/>
                      <w:vertAlign w:val="baseline"/>
                      <w:lang w:val="en-US" w:eastAsia="zh-CN" w:bidi="ar-SA"/>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混凝土渣</w:t>
                  </w:r>
                </w:p>
              </w:tc>
              <w:tc>
                <w:tcPr>
                  <w:tcW w:w="1199" w:type="dxa"/>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b w:val="0"/>
                      <w:bCs/>
                      <w:color w:val="000000" w:themeColor="text1"/>
                      <w:szCs w:val="21"/>
                      <w14:textFill>
                        <w14:solidFill>
                          <w14:schemeClr w14:val="tx1"/>
                        </w14:solidFill>
                      </w14:textFill>
                    </w:rPr>
                    <w:t>t/a</w:t>
                  </w:r>
                </w:p>
              </w:tc>
              <w:tc>
                <w:tcPr>
                  <w:tcW w:w="1199" w:type="dxa"/>
                  <w:vAlign w:val="center"/>
                </w:tcPr>
                <w:p>
                  <w:pPr>
                    <w:numPr>
                      <w:ilvl w:val="0"/>
                      <w:numId w:val="0"/>
                    </w:numPr>
                    <w:adjustRightInd w:val="0"/>
                    <w:snapToGrid w:val="0"/>
                    <w:spacing w:line="560" w:lineRule="exact"/>
                    <w:jc w:val="center"/>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eastAsia"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5</w:t>
                  </w:r>
                </w:p>
              </w:tc>
              <w:tc>
                <w:tcPr>
                  <w:tcW w:w="1612" w:type="dxa"/>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Cs w:val="21"/>
                      <w:lang w:val="en-US" w:eastAsia="zh-CN"/>
                      <w14:textFill>
                        <w14:solidFill>
                          <w14:schemeClr w14:val="tx1"/>
                        </w14:solidFill>
                      </w14:textFill>
                    </w:rPr>
                    <w:t>减水剂</w:t>
                  </w:r>
                </w:p>
              </w:tc>
              <w:tc>
                <w:tcPr>
                  <w:tcW w:w="649" w:type="dxa"/>
                  <w:vAlign w:val="center"/>
                </w:tcPr>
                <w:p>
                  <w:pPr>
                    <w:keepNext w:val="0"/>
                    <w:keepLines w:val="0"/>
                    <w:pageBreakBefore w:val="0"/>
                    <w:kinsoku/>
                    <w:wordWrap/>
                    <w:overflowPunct/>
                    <w:topLinePunct w:val="0"/>
                    <w:bidi w:val="0"/>
                    <w:spacing w:line="240" w:lineRule="atLeast"/>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b w:val="0"/>
                      <w:bCs/>
                      <w:color w:val="000000" w:themeColor="text1"/>
                      <w:szCs w:val="21"/>
                      <w14:textFill>
                        <w14:solidFill>
                          <w14:schemeClr w14:val="tx1"/>
                        </w14:solidFill>
                      </w14:textFill>
                    </w:rPr>
                    <w:t>t/a</w:t>
                  </w:r>
                </w:p>
              </w:tc>
              <w:tc>
                <w:tcPr>
                  <w:tcW w:w="970" w:type="dxa"/>
                  <w:vAlign w:val="center"/>
                </w:tcPr>
                <w:p>
                  <w:pPr>
                    <w:keepNext w:val="0"/>
                    <w:keepLines w:val="0"/>
                    <w:pageBreakBefore w:val="0"/>
                    <w:wordWrap/>
                    <w:overflowPunct/>
                    <w:topLinePunct w:val="0"/>
                    <w:bidi w:val="0"/>
                    <w:spacing w:line="240" w:lineRule="auto"/>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1728</w:t>
                  </w:r>
                </w:p>
              </w:tc>
              <w:tc>
                <w:tcPr>
                  <w:tcW w:w="1977" w:type="dxa"/>
                  <w:vAlign w:val="center"/>
                </w:tcPr>
                <w:p>
                  <w:pPr>
                    <w:numPr>
                      <w:ilvl w:val="0"/>
                      <w:numId w:val="0"/>
                    </w:numPr>
                    <w:adjustRightInd w:val="0"/>
                    <w:snapToGrid w:val="0"/>
                    <w:spacing w:line="560" w:lineRule="exact"/>
                    <w:jc w:val="center"/>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水损耗</w:t>
                  </w:r>
                </w:p>
              </w:tc>
              <w:tc>
                <w:tcPr>
                  <w:tcW w:w="1199" w:type="dxa"/>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b w:val="0"/>
                      <w:bCs/>
                      <w:color w:val="000000" w:themeColor="text1"/>
                      <w:szCs w:val="21"/>
                      <w14:textFill>
                        <w14:solidFill>
                          <w14:schemeClr w14:val="tx1"/>
                        </w14:solidFill>
                      </w14:textFill>
                    </w:rPr>
                    <w:t>t/a</w:t>
                  </w:r>
                </w:p>
              </w:tc>
              <w:tc>
                <w:tcPr>
                  <w:tcW w:w="1199" w:type="dxa"/>
                  <w:vAlign w:val="center"/>
                </w:tcPr>
                <w:p>
                  <w:pPr>
                    <w:numPr>
                      <w:ilvl w:val="0"/>
                      <w:numId w:val="0"/>
                    </w:numPr>
                    <w:adjustRightInd w:val="0"/>
                    <w:snapToGrid w:val="0"/>
                    <w:spacing w:line="560" w:lineRule="exact"/>
                    <w:jc w:val="center"/>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4729.18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eastAsia"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6</w:t>
                  </w:r>
                </w:p>
              </w:tc>
              <w:tc>
                <w:tcPr>
                  <w:tcW w:w="1612" w:type="dxa"/>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Cs w:val="21"/>
                      <w:lang w:val="en-US" w:eastAsia="zh-CN"/>
                      <w14:textFill>
                        <w14:solidFill>
                          <w14:schemeClr w14:val="tx1"/>
                        </w14:solidFill>
                      </w14:textFill>
                    </w:rPr>
                    <w:t>钢棒</w:t>
                  </w:r>
                </w:p>
              </w:tc>
              <w:tc>
                <w:tcPr>
                  <w:tcW w:w="649" w:type="dxa"/>
                  <w:vAlign w:val="center"/>
                </w:tcPr>
                <w:p>
                  <w:pPr>
                    <w:keepNext w:val="0"/>
                    <w:keepLines w:val="0"/>
                    <w:pageBreakBefore w:val="0"/>
                    <w:kinsoku/>
                    <w:wordWrap/>
                    <w:overflowPunct/>
                    <w:topLinePunct w:val="0"/>
                    <w:bidi w:val="0"/>
                    <w:spacing w:line="240" w:lineRule="atLeast"/>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b w:val="0"/>
                      <w:bCs/>
                      <w:color w:val="000000" w:themeColor="text1"/>
                      <w:szCs w:val="21"/>
                      <w14:textFill>
                        <w14:solidFill>
                          <w14:schemeClr w14:val="tx1"/>
                        </w14:solidFill>
                      </w14:textFill>
                    </w:rPr>
                    <w:t>t/a</w:t>
                  </w:r>
                </w:p>
              </w:tc>
              <w:tc>
                <w:tcPr>
                  <w:tcW w:w="970" w:type="dxa"/>
                  <w:vAlign w:val="center"/>
                </w:tcPr>
                <w:p>
                  <w:pPr>
                    <w:keepNext w:val="0"/>
                    <w:keepLines w:val="0"/>
                    <w:pageBreakBefore w:val="0"/>
                    <w:wordWrap/>
                    <w:overflowPunct/>
                    <w:topLinePunct w:val="0"/>
                    <w:bidi w:val="0"/>
                    <w:spacing w:line="240" w:lineRule="auto"/>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8892</w:t>
                  </w:r>
                </w:p>
              </w:tc>
              <w:tc>
                <w:tcPr>
                  <w:tcW w:w="1977" w:type="dxa"/>
                  <w:vAlign w:val="center"/>
                </w:tcPr>
                <w:p>
                  <w:pPr>
                    <w:numPr>
                      <w:ilvl w:val="0"/>
                      <w:numId w:val="0"/>
                    </w:numPr>
                    <w:adjustRightInd w:val="0"/>
                    <w:snapToGrid w:val="0"/>
                    <w:spacing w:line="560" w:lineRule="exact"/>
                    <w:ind w:left="0" w:leftChars="0" w:firstLine="0" w:firstLineChars="0"/>
                    <w:jc w:val="center"/>
                    <w:rPr>
                      <w:rFonts w:hint="default" w:ascii="Times New Roman" w:hAnsi="Times New Roman" w:eastAsia="宋体" w:cs="Times New Roman"/>
                      <w:b w:val="0"/>
                      <w:bCs/>
                      <w:color w:val="000000" w:themeColor="text1"/>
                      <w:kern w:val="2"/>
                      <w:sz w:val="21"/>
                      <w:szCs w:val="24"/>
                      <w:vertAlign w:val="baseline"/>
                      <w:lang w:val="en-US" w:eastAsia="zh-CN" w:bidi="ar-SA"/>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无组织粉尘</w:t>
                  </w:r>
                </w:p>
              </w:tc>
              <w:tc>
                <w:tcPr>
                  <w:tcW w:w="1199" w:type="dxa"/>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t/a</w:t>
                  </w:r>
                </w:p>
              </w:tc>
              <w:tc>
                <w:tcPr>
                  <w:tcW w:w="1199" w:type="dxa"/>
                  <w:vAlign w:val="center"/>
                </w:tcPr>
                <w:p>
                  <w:pPr>
                    <w:numPr>
                      <w:ilvl w:val="0"/>
                      <w:numId w:val="0"/>
                    </w:numPr>
                    <w:adjustRightInd w:val="0"/>
                    <w:snapToGrid w:val="0"/>
                    <w:spacing w:line="560" w:lineRule="exact"/>
                    <w:ind w:left="0" w:leftChars="0" w:firstLine="0" w:firstLineChars="0"/>
                    <w:jc w:val="center"/>
                    <w:rPr>
                      <w:rFonts w:hint="default" w:ascii="Times New Roman" w:hAnsi="Times New Roman" w:eastAsia="宋体" w:cs="Times New Roman"/>
                      <w:b w:val="0"/>
                      <w:bCs/>
                      <w:color w:val="000000" w:themeColor="text1"/>
                      <w:kern w:val="2"/>
                      <w:sz w:val="21"/>
                      <w:szCs w:val="24"/>
                      <w:vertAlign w:val="baseline"/>
                      <w:lang w:val="en-US" w:eastAsia="zh-CN" w:bidi="ar-SA"/>
                      <w14:textFill>
                        <w14:solidFill>
                          <w14:schemeClr w14:val="tx1"/>
                        </w14:solidFill>
                      </w14:textFill>
                    </w:rPr>
                  </w:pPr>
                  <w:r>
                    <w:rPr>
                      <w:rFonts w:hint="eastAsia" w:cs="Times New Roman"/>
                      <w:b w:val="0"/>
                      <w:bCs/>
                      <w:color w:val="000000" w:themeColor="text1"/>
                      <w:kern w:val="2"/>
                      <w:sz w:val="21"/>
                      <w:szCs w:val="24"/>
                      <w:vertAlign w:val="baseline"/>
                      <w:lang w:val="en-US" w:eastAsia="zh-CN" w:bidi="ar-SA"/>
                      <w14:textFill>
                        <w14:solidFill>
                          <w14:schemeClr w14:val="tx1"/>
                        </w14:solidFill>
                      </w14:textFill>
                    </w:rPr>
                    <w:t>1.736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eastAsia"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7</w:t>
                  </w:r>
                </w:p>
              </w:tc>
              <w:tc>
                <w:tcPr>
                  <w:tcW w:w="1612" w:type="dxa"/>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Cs w:val="21"/>
                      <w:lang w:val="en-US" w:eastAsia="zh-CN"/>
                      <w14:textFill>
                        <w14:solidFill>
                          <w14:schemeClr w14:val="tx1"/>
                        </w14:solidFill>
                      </w14:textFill>
                    </w:rPr>
                    <w:t>螺纹钢筋</w:t>
                  </w:r>
                </w:p>
              </w:tc>
              <w:tc>
                <w:tcPr>
                  <w:tcW w:w="649" w:type="dxa"/>
                  <w:vAlign w:val="center"/>
                </w:tcPr>
                <w:p>
                  <w:pPr>
                    <w:keepNext w:val="0"/>
                    <w:keepLines w:val="0"/>
                    <w:pageBreakBefore w:val="0"/>
                    <w:kinsoku/>
                    <w:wordWrap/>
                    <w:overflowPunct/>
                    <w:topLinePunct w:val="0"/>
                    <w:bidi w:val="0"/>
                    <w:spacing w:line="240" w:lineRule="atLeast"/>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b w:val="0"/>
                      <w:bCs/>
                      <w:color w:val="000000" w:themeColor="text1"/>
                      <w:szCs w:val="21"/>
                      <w14:textFill>
                        <w14:solidFill>
                          <w14:schemeClr w14:val="tx1"/>
                        </w14:solidFill>
                      </w14:textFill>
                    </w:rPr>
                    <w:t>t/a</w:t>
                  </w:r>
                </w:p>
              </w:tc>
              <w:tc>
                <w:tcPr>
                  <w:tcW w:w="970" w:type="dxa"/>
                  <w:vAlign w:val="center"/>
                </w:tcPr>
                <w:p>
                  <w:pPr>
                    <w:keepNext w:val="0"/>
                    <w:keepLines w:val="0"/>
                    <w:pageBreakBefore w:val="0"/>
                    <w:wordWrap/>
                    <w:overflowPunct/>
                    <w:topLinePunct w:val="0"/>
                    <w:bidi w:val="0"/>
                    <w:spacing w:line="240" w:lineRule="auto"/>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2844</w:t>
                  </w:r>
                </w:p>
              </w:tc>
              <w:tc>
                <w:tcPr>
                  <w:tcW w:w="1977" w:type="dxa"/>
                  <w:vAlign w:val="center"/>
                </w:tcPr>
                <w:p>
                  <w:pPr>
                    <w:numPr>
                      <w:ilvl w:val="0"/>
                      <w:numId w:val="0"/>
                    </w:numPr>
                    <w:adjustRightInd w:val="0"/>
                    <w:snapToGrid w:val="0"/>
                    <w:spacing w:line="560" w:lineRule="exact"/>
                    <w:ind w:left="0" w:leftChars="0" w:firstLine="0" w:firstLineChars="0"/>
                    <w:jc w:val="center"/>
                    <w:rPr>
                      <w:rFonts w:hint="eastAsia" w:ascii="Times New Roman" w:hAnsi="Times New Roman" w:eastAsia="宋体" w:cs="Times New Roman"/>
                      <w:b w:val="0"/>
                      <w:bCs/>
                      <w:color w:val="000000" w:themeColor="text1"/>
                      <w:kern w:val="2"/>
                      <w:sz w:val="21"/>
                      <w:szCs w:val="24"/>
                      <w:vertAlign w:val="baseline"/>
                      <w:lang w:val="en-US" w:eastAsia="zh-CN" w:bidi="ar-SA"/>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回收粉尘</w:t>
                  </w:r>
                </w:p>
              </w:tc>
              <w:tc>
                <w:tcPr>
                  <w:tcW w:w="1199" w:type="dxa"/>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t/a</w:t>
                  </w:r>
                </w:p>
              </w:tc>
              <w:tc>
                <w:tcPr>
                  <w:tcW w:w="1199" w:type="dxa"/>
                  <w:vAlign w:val="center"/>
                </w:tcPr>
                <w:p>
                  <w:pPr>
                    <w:numPr>
                      <w:ilvl w:val="0"/>
                      <w:numId w:val="0"/>
                    </w:numPr>
                    <w:adjustRightInd w:val="0"/>
                    <w:snapToGrid w:val="0"/>
                    <w:spacing w:line="560" w:lineRule="exact"/>
                    <w:ind w:left="0" w:leftChars="0" w:firstLine="0" w:firstLineChars="0"/>
                    <w:jc w:val="center"/>
                    <w:rPr>
                      <w:rFonts w:hint="default" w:ascii="Times New Roman" w:hAnsi="Times New Roman" w:eastAsia="宋体" w:cs="Times New Roman"/>
                      <w:b w:val="0"/>
                      <w:bCs/>
                      <w:color w:val="000000" w:themeColor="text1"/>
                      <w:kern w:val="2"/>
                      <w:sz w:val="21"/>
                      <w:szCs w:val="24"/>
                      <w:vertAlign w:val="baseline"/>
                      <w:lang w:val="en-US" w:eastAsia="zh-CN" w:bidi="ar-SA"/>
                      <w14:textFill>
                        <w14:solidFill>
                          <w14:schemeClr w14:val="tx1"/>
                        </w14:solidFill>
                      </w14:textFill>
                    </w:rPr>
                  </w:pPr>
                  <w:r>
                    <w:rPr>
                      <w:rFonts w:hint="eastAsia" w:cs="Times New Roman"/>
                      <w:b w:val="0"/>
                      <w:bCs/>
                      <w:color w:val="000000" w:themeColor="text1"/>
                      <w:kern w:val="2"/>
                      <w:sz w:val="21"/>
                      <w:szCs w:val="24"/>
                      <w:vertAlign w:val="baseline"/>
                      <w:lang w:val="en-US" w:eastAsia="zh-CN" w:bidi="ar-SA"/>
                      <w14:textFill>
                        <w14:solidFill>
                          <w14:schemeClr w14:val="tx1"/>
                        </w14:solidFill>
                      </w14:textFill>
                    </w:rPr>
                    <w:t>314.084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84"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eastAsia"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8</w:t>
                  </w:r>
                </w:p>
              </w:tc>
              <w:tc>
                <w:tcPr>
                  <w:tcW w:w="1612" w:type="dxa"/>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Cs w:val="21"/>
                      <w:lang w:val="en-US" w:eastAsia="zh-CN"/>
                      <w14:textFill>
                        <w14:solidFill>
                          <w14:schemeClr w14:val="tx1"/>
                        </w14:solidFill>
                      </w14:textFill>
                    </w:rPr>
                    <w:t>水</w:t>
                  </w:r>
                </w:p>
              </w:tc>
              <w:tc>
                <w:tcPr>
                  <w:tcW w:w="649" w:type="dxa"/>
                  <w:vAlign w:val="center"/>
                </w:tcPr>
                <w:p>
                  <w:pPr>
                    <w:keepNext w:val="0"/>
                    <w:keepLines w:val="0"/>
                    <w:pageBreakBefore w:val="0"/>
                    <w:kinsoku/>
                    <w:wordWrap/>
                    <w:overflowPunct/>
                    <w:topLinePunct w:val="0"/>
                    <w:bidi w:val="0"/>
                    <w:spacing w:line="240" w:lineRule="atLeast"/>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Cs w:val="21"/>
                      <w:lang w:val="en-US" w:eastAsia="zh-CN"/>
                      <w14:textFill>
                        <w14:solidFill>
                          <w14:schemeClr w14:val="tx1"/>
                        </w14:solidFill>
                      </w14:textFill>
                    </w:rPr>
                    <w:t>t</w:t>
                  </w:r>
                  <w:r>
                    <w:rPr>
                      <w:rFonts w:hint="eastAsia"/>
                      <w:b w:val="0"/>
                      <w:bCs/>
                      <w:color w:val="000000" w:themeColor="text1"/>
                      <w:szCs w:val="21"/>
                      <w14:textFill>
                        <w14:solidFill>
                          <w14:schemeClr w14:val="tx1"/>
                        </w14:solidFill>
                      </w14:textFill>
                    </w:rPr>
                    <w:t>/a</w:t>
                  </w:r>
                </w:p>
              </w:tc>
              <w:tc>
                <w:tcPr>
                  <w:tcW w:w="970" w:type="dxa"/>
                  <w:vAlign w:val="center"/>
                </w:tcPr>
                <w:p>
                  <w:pPr>
                    <w:keepNext w:val="0"/>
                    <w:keepLines w:val="0"/>
                    <w:pageBreakBefore w:val="0"/>
                    <w:kinsoku/>
                    <w:wordWrap/>
                    <w:overflowPunct/>
                    <w:topLinePunct w:val="0"/>
                    <w:bidi w:val="0"/>
                    <w:spacing w:line="240" w:lineRule="atLeast"/>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color w:val="000000" w:themeColor="text1"/>
                      <w:szCs w:val="21"/>
                      <w:lang w:val="en-US" w:eastAsia="zh-CN"/>
                      <w14:textFill>
                        <w14:solidFill>
                          <w14:schemeClr w14:val="tx1"/>
                        </w14:solidFill>
                      </w14:textFill>
                    </w:rPr>
                    <w:t>41505</w:t>
                  </w:r>
                </w:p>
              </w:tc>
              <w:tc>
                <w:tcPr>
                  <w:tcW w:w="1977" w:type="dxa"/>
                  <w:vAlign w:val="center"/>
                </w:tcPr>
                <w:p>
                  <w:pPr>
                    <w:numPr>
                      <w:ilvl w:val="0"/>
                      <w:numId w:val="0"/>
                    </w:numPr>
                    <w:adjustRightInd w:val="0"/>
                    <w:snapToGrid w:val="0"/>
                    <w:spacing w:line="560" w:lineRule="exact"/>
                    <w:jc w:val="center"/>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w:t>
                  </w:r>
                </w:p>
              </w:tc>
              <w:tc>
                <w:tcPr>
                  <w:tcW w:w="1199" w:type="dxa"/>
                  <w:vAlign w:val="center"/>
                </w:tcPr>
                <w:p>
                  <w:pPr>
                    <w:keepNext w:val="0"/>
                    <w:keepLines w:val="0"/>
                    <w:pageBreakBefore w:val="0"/>
                    <w:wordWrap/>
                    <w:overflowPunct/>
                    <w:topLinePunct w:val="0"/>
                    <w:bidi w:val="0"/>
                    <w:spacing w:line="24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99" w:type="dxa"/>
                  <w:vAlign w:val="center"/>
                </w:tcPr>
                <w:p>
                  <w:pPr>
                    <w:numPr>
                      <w:ilvl w:val="0"/>
                      <w:numId w:val="0"/>
                    </w:numPr>
                    <w:adjustRightInd w:val="0"/>
                    <w:snapToGrid w:val="0"/>
                    <w:spacing w:line="560" w:lineRule="exact"/>
                    <w:jc w:val="center"/>
                    <w:rPr>
                      <w:rFonts w:hint="default"/>
                      <w:b w:val="0"/>
                      <w:bCs/>
                      <w:color w:val="000000" w:themeColor="text1"/>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dxa"/>
                  <w:gridSpan w:val="2"/>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eastAsia"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合计</w:t>
                  </w:r>
                </w:p>
              </w:tc>
              <w:tc>
                <w:tcPr>
                  <w:tcW w:w="649"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b w:val="0"/>
                      <w:bCs/>
                      <w:color w:val="000000" w:themeColor="text1"/>
                      <w:vertAlign w:val="baseline"/>
                      <w14:textFill>
                        <w14:solidFill>
                          <w14:schemeClr w14:val="tx1"/>
                        </w14:solidFill>
                      </w14:textFill>
                    </w:rPr>
                  </w:pPr>
                  <w:r>
                    <w:rPr>
                      <w:b w:val="0"/>
                      <w:bCs/>
                      <w:color w:val="000000" w:themeColor="text1"/>
                      <w:szCs w:val="21"/>
                      <w14:textFill>
                        <w14:solidFill>
                          <w14:schemeClr w14:val="tx1"/>
                        </w14:solidFill>
                      </w14:textFill>
                    </w:rPr>
                    <w:t>t/a</w:t>
                  </w:r>
                </w:p>
              </w:tc>
              <w:tc>
                <w:tcPr>
                  <w:tcW w:w="970" w:type="dxa"/>
                  <w:vAlign w:val="center"/>
                </w:tcPr>
                <w:p>
                  <w:pPr>
                    <w:keepNext w:val="0"/>
                    <w:keepLines w:val="0"/>
                    <w:pageBreakBefore w:val="0"/>
                    <w:numPr>
                      <w:ilvl w:val="0"/>
                      <w:numId w:val="0"/>
                    </w:numPr>
                    <w:kinsoku/>
                    <w:wordWrap/>
                    <w:overflowPunct/>
                    <w:topLinePunct w:val="0"/>
                    <w:bidi w:val="0"/>
                    <w:adjustRightInd w:val="0"/>
                    <w:snapToGrid w:val="0"/>
                    <w:spacing w:line="240" w:lineRule="atLeast"/>
                    <w:jc w:val="center"/>
                    <w:textAlignment w:val="auto"/>
                    <w:rPr>
                      <w:rFonts w:hint="default"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446561</w:t>
                  </w:r>
                </w:p>
              </w:tc>
              <w:tc>
                <w:tcPr>
                  <w:tcW w:w="1977" w:type="dxa"/>
                  <w:vAlign w:val="center"/>
                </w:tcPr>
                <w:p>
                  <w:pPr>
                    <w:numPr>
                      <w:ilvl w:val="0"/>
                      <w:numId w:val="0"/>
                    </w:numPr>
                    <w:adjustRightInd w:val="0"/>
                    <w:snapToGrid w:val="0"/>
                    <w:spacing w:line="560" w:lineRule="exact"/>
                    <w:jc w:val="center"/>
                    <w:rPr>
                      <w:rFonts w:hint="eastAsia" w:eastAsia="宋体"/>
                      <w:b w:val="0"/>
                      <w:bCs/>
                      <w:color w:val="000000" w:themeColor="text1"/>
                      <w:vertAlign w:val="baseline"/>
                      <w:lang w:val="en-US" w:eastAsia="zh-CN"/>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w:t>
                  </w:r>
                </w:p>
              </w:tc>
              <w:tc>
                <w:tcPr>
                  <w:tcW w:w="1199" w:type="dxa"/>
                  <w:vAlign w:val="center"/>
                </w:tcPr>
                <w:p>
                  <w:pPr>
                    <w:numPr>
                      <w:ilvl w:val="0"/>
                      <w:numId w:val="0"/>
                    </w:numPr>
                    <w:adjustRightInd w:val="0"/>
                    <w:snapToGrid w:val="0"/>
                    <w:spacing w:line="560" w:lineRule="exact"/>
                    <w:jc w:val="center"/>
                    <w:rPr>
                      <w:b w:val="0"/>
                      <w:bCs/>
                      <w:color w:val="000000" w:themeColor="text1"/>
                      <w:vertAlign w:val="baseline"/>
                      <w14:textFill>
                        <w14:solidFill>
                          <w14:schemeClr w14:val="tx1"/>
                        </w14:solidFill>
                      </w14:textFill>
                    </w:rPr>
                  </w:pPr>
                  <w:r>
                    <w:rPr>
                      <w:b w:val="0"/>
                      <w:bCs/>
                      <w:color w:val="000000" w:themeColor="text1"/>
                      <w:szCs w:val="21"/>
                      <w14:textFill>
                        <w14:solidFill>
                          <w14:schemeClr w14:val="tx1"/>
                        </w14:solidFill>
                      </w14:textFill>
                    </w:rPr>
                    <w:t>t/a</w:t>
                  </w:r>
                </w:p>
              </w:tc>
              <w:tc>
                <w:tcPr>
                  <w:tcW w:w="1199" w:type="dxa"/>
                  <w:vAlign w:val="center"/>
                </w:tcPr>
                <w:p>
                  <w:pPr>
                    <w:keepNext w:val="0"/>
                    <w:keepLines w:val="0"/>
                    <w:pageBreakBefore w:val="0"/>
                    <w:wordWrap/>
                    <w:overflowPunct/>
                    <w:topLinePunct w:val="0"/>
                    <w:bidi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 w:val="0"/>
                      <w:bCs/>
                      <w:color w:val="000000" w:themeColor="text1"/>
                      <w:vertAlign w:val="baseline"/>
                      <w:lang w:val="en-US" w:eastAsia="zh-CN"/>
                      <w14:textFill>
                        <w14:solidFill>
                          <w14:schemeClr w14:val="tx1"/>
                        </w14:solidFill>
                      </w14:textFill>
                    </w:rPr>
                    <w:t>446561</w:t>
                  </w:r>
                </w:p>
              </w:tc>
            </w:tr>
          </w:tbl>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7</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公用工程</w:t>
            </w:r>
          </w:p>
          <w:p>
            <w:pPr>
              <w:keepNext w:val="0"/>
              <w:keepLines w:val="0"/>
              <w:pageBreakBefore w:val="0"/>
              <w:wordWrap/>
              <w:overflowPunct/>
              <w:topLinePunct w:val="0"/>
              <w:bidi w:val="0"/>
              <w:adjustRightInd w:val="0"/>
              <w:snapToGrid w:val="0"/>
              <w:spacing w:line="360" w:lineRule="auto"/>
              <w:ind w:firstLine="482" w:firstLineChars="200"/>
              <w:jc w:val="both"/>
              <w:textAlignment w:val="baseline"/>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7</w:t>
            </w:r>
            <w:r>
              <w:rPr>
                <w:b/>
                <w:color w:val="000000" w:themeColor="text1"/>
                <w:sz w:val="24"/>
                <w14:textFill>
                  <w14:solidFill>
                    <w14:schemeClr w14:val="tx1"/>
                  </w14:solidFill>
                </w14:textFill>
              </w:rPr>
              <w:t>.1</w:t>
            </w:r>
            <w:r>
              <w:rPr>
                <w:rFonts w:hint="eastAsia"/>
                <w:b/>
                <w:color w:val="000000" w:themeColor="text1"/>
                <w:sz w:val="24"/>
                <w:lang w:val="en-US" w:eastAsia="zh-CN"/>
                <w14:textFill>
                  <w14:solidFill>
                    <w14:schemeClr w14:val="tx1"/>
                  </w14:solidFill>
                </w14:textFill>
              </w:rPr>
              <w:t>给排</w:t>
            </w:r>
            <w:r>
              <w:rPr>
                <w:b/>
                <w:color w:val="000000" w:themeColor="text1"/>
                <w:sz w:val="24"/>
                <w14:textFill>
                  <w14:solidFill>
                    <w14:schemeClr w14:val="tx1"/>
                  </w14:solidFill>
                </w14:textFill>
              </w:rPr>
              <w:t>水</w:t>
            </w:r>
          </w:p>
          <w:p>
            <w:pPr>
              <w:keepNext w:val="0"/>
              <w:keepLines w:val="0"/>
              <w:pageBreakBefore w:val="0"/>
              <w:wordWrap/>
              <w:overflowPunct/>
              <w:topLinePunct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sz w:val="24"/>
                <w:szCs w:val="24"/>
                <w14:textFill>
                  <w14:solidFill>
                    <w14:schemeClr w14:val="tx1"/>
                  </w14:solidFill>
                </w14:textFill>
              </w:rPr>
              <w:t>本项目用水由</w:t>
            </w:r>
            <w:r>
              <w:rPr>
                <w:rFonts w:hint="eastAsia"/>
                <w:color w:val="000000" w:themeColor="text1"/>
                <w:sz w:val="24"/>
                <w:szCs w:val="24"/>
                <w:lang w:val="en-US" w:eastAsia="zh-CN"/>
                <w14:textFill>
                  <w14:solidFill>
                    <w14:schemeClr w14:val="tx1"/>
                  </w14:solidFill>
                </w14:textFill>
              </w:rPr>
              <w:t>园区市政供水管网提供</w:t>
            </w:r>
            <w:r>
              <w:rPr>
                <w:color w:val="000000" w:themeColor="text1"/>
                <w:sz w:val="24"/>
                <w:szCs w:val="24"/>
                <w14:textFill>
                  <w14:solidFill>
                    <w14:schemeClr w14:val="tx1"/>
                  </w14:solidFill>
                </w14:textFill>
              </w:rPr>
              <w:t>。包括</w:t>
            </w:r>
            <w:r>
              <w:rPr>
                <w:rFonts w:hint="eastAsia"/>
                <w:color w:val="000000" w:themeColor="text1"/>
                <w:sz w:val="24"/>
                <w:szCs w:val="24"/>
                <w:lang w:val="en-US" w:eastAsia="zh-CN"/>
                <w14:textFill>
                  <w14:solidFill>
                    <w14:schemeClr w14:val="tx1"/>
                  </w14:solidFill>
                </w14:textFill>
              </w:rPr>
              <w:t>生产用水和</w:t>
            </w:r>
            <w:r>
              <w:rPr>
                <w:color w:val="000000" w:themeColor="text1"/>
                <w:sz w:val="24"/>
                <w:szCs w:val="24"/>
                <w14:textFill>
                  <w14:solidFill>
                    <w14:schemeClr w14:val="tx1"/>
                  </w14:solidFill>
                </w14:textFill>
              </w:rPr>
              <w:t>员工生活用水。具体用水</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情况如下：</w:t>
            </w:r>
          </w:p>
          <w:p>
            <w:pPr>
              <w:keepNext w:val="0"/>
              <w:keepLines w:val="0"/>
              <w:pageBreakBefore w:val="0"/>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生产用水</w:t>
            </w:r>
          </w:p>
          <w:p>
            <w:pPr>
              <w:pStyle w:val="100"/>
              <w:keepNext w:val="0"/>
              <w:keepLines w:val="0"/>
              <w:pageBreakBefore w:val="0"/>
              <w:wordWrap/>
              <w:overflowPunct/>
              <w:topLinePunct w:val="0"/>
              <w:bidi w:val="0"/>
              <w:adjustRightInd w:val="0"/>
              <w:snapToGrid w:val="0"/>
              <w:spacing w:line="360" w:lineRule="auto"/>
              <w:ind w:left="586"/>
              <w:jc w:val="both"/>
              <w:rPr>
                <w:color w:val="000000" w:themeColor="text1"/>
                <w:spacing w:val="-5"/>
                <w:sz w:val="24"/>
                <w:szCs w:val="24"/>
                <w14:textFill>
                  <w14:solidFill>
                    <w14:schemeClr w14:val="tx1"/>
                  </w14:solidFill>
                </w14:textFill>
              </w:rPr>
            </w:pPr>
            <w:r>
              <w:rPr>
                <w:color w:val="000000" w:themeColor="text1"/>
                <w:spacing w:val="-5"/>
                <w:sz w:val="24"/>
                <w:szCs w:val="24"/>
                <w14:textFill>
                  <w14:solidFill>
                    <w14:schemeClr w14:val="tx1"/>
                  </w14:solidFill>
                </w14:textFill>
              </w:rPr>
              <w:t>本项目产生的生产废水循环利用，不外排。</w:t>
            </w:r>
          </w:p>
          <w:p>
            <w:pPr>
              <w:pStyle w:val="100"/>
              <w:keepNext w:val="0"/>
              <w:keepLines w:val="0"/>
              <w:pageBreakBefore w:val="0"/>
              <w:wordWrap/>
              <w:overflowPunct/>
              <w:topLinePunct w:val="0"/>
              <w:bidi w:val="0"/>
              <w:adjustRightInd w:val="0"/>
              <w:snapToGrid w:val="0"/>
              <w:spacing w:line="360" w:lineRule="auto"/>
              <w:ind w:left="586"/>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搅拌</w:t>
            </w:r>
          </w:p>
          <w:p>
            <w:pPr>
              <w:pStyle w:val="100"/>
              <w:keepNext w:val="0"/>
              <w:keepLines w:val="0"/>
              <w:pageBreakBefore w:val="0"/>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各组成材料放入搅拌站中加水进行搅拌，本项目运营时搅拌用水量为</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42.35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12705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/a ，</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其中新鲜水34.596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，回用水12.464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/d，搅拌用水全部进入产品。</w:t>
            </w:r>
          </w:p>
          <w:p>
            <w:pPr>
              <w:pStyle w:val="100"/>
              <w:keepNext w:val="0"/>
              <w:keepLines w:val="0"/>
              <w:pageBreakBefore w:val="0"/>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 xml:space="preserve">  </w:t>
            </w: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锅炉</w:t>
            </w:r>
          </w:p>
          <w:p>
            <w:pPr>
              <w:pStyle w:val="100"/>
              <w:keepNext w:val="0"/>
              <w:keepLines w:val="0"/>
              <w:pageBreakBefore w:val="0"/>
              <w:wordWrap/>
              <w:overflowPunct/>
              <w:topLinePunct w:val="0"/>
              <w:bidi w:val="0"/>
              <w:adjustRightInd w:val="0"/>
              <w:snapToGrid w:val="0"/>
              <w:spacing w:line="360" w:lineRule="auto"/>
              <w:ind w:left="107" w:right="102" w:firstLine="465"/>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本项目锅炉为</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t/h天然气</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蒸汽</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锅炉，用水量约为</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96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 ，</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28800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/a ，根据《4430  工业锅炉（热力生产</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和供应行业）</w:t>
            </w:r>
            <w:r>
              <w:rPr>
                <w:rFonts w:hint="default" w:ascii="Times New Roman" w:hAnsi="Times New Roman" w:cs="Times New Roman"/>
                <w:color w:val="000000" w:themeColor="text1"/>
                <w:spacing w:val="-3"/>
                <w:sz w:val="24"/>
                <w:szCs w:val="24"/>
                <w14:textFill>
                  <w14:solidFill>
                    <w14:schemeClr w14:val="tx1"/>
                  </w14:solidFill>
                </w14:textFill>
              </w:rPr>
              <w:t>产污系数表－工业废</w:t>
            </w:r>
            <w:r>
              <w:rPr>
                <w:rFonts w:hint="default" w:ascii="Times New Roman" w:hAnsi="Times New Roman" w:cs="Times New Roman"/>
                <w:color w:val="000000" w:themeColor="text1"/>
                <w:spacing w:val="-4"/>
                <w:sz w:val="24"/>
                <w:szCs w:val="24"/>
                <w14:textFill>
                  <w14:solidFill>
                    <w14:schemeClr w14:val="tx1"/>
                  </w14:solidFill>
                </w14:textFill>
              </w:rPr>
              <w:t>水量和“化</w:t>
            </w:r>
            <w:r>
              <w:rPr>
                <w:rFonts w:hint="default" w:ascii="Times New Roman" w:hAnsi="Times New Roman" w:cs="Times New Roman"/>
                <w:color w:val="000000" w:themeColor="text1"/>
                <w:spacing w:val="-3"/>
                <w:sz w:val="24"/>
                <w:szCs w:val="24"/>
                <w14:textFill>
                  <w14:solidFill>
                    <w14:schemeClr w14:val="tx1"/>
                  </w14:solidFill>
                </w14:textFill>
              </w:rPr>
              <w:t>学需氧量</w:t>
            </w:r>
            <w:r>
              <w:rPr>
                <w:rFonts w:hint="default" w:ascii="Times New Roman" w:hAnsi="Times New Roman" w:cs="Times New Roman"/>
                <w:color w:val="000000" w:themeColor="text1"/>
                <w:spacing w:val="-87"/>
                <w:sz w:val="24"/>
                <w:szCs w:val="24"/>
                <w14:textFill>
                  <w14:solidFill>
                    <w14:schemeClr w14:val="tx1"/>
                  </w14:solidFill>
                </w14:textFill>
              </w:rPr>
              <w:t xml:space="preserve"> </w:t>
            </w:r>
            <w:r>
              <w:rPr>
                <w:rFonts w:hint="default" w:ascii="Times New Roman" w:hAnsi="Times New Roman" w:cs="Times New Roman"/>
                <w:color w:val="000000" w:themeColor="text1"/>
                <w:spacing w:val="-3"/>
                <w:sz w:val="24"/>
                <w:szCs w:val="24"/>
                <w14:textFill>
                  <w14:solidFill>
                    <w14:schemeClr w14:val="tx1"/>
                  </w14:solidFill>
                </w14:textFill>
              </w:rPr>
              <w:t>”》，产排污系数见表</w:t>
            </w:r>
            <w:r>
              <w:rPr>
                <w:rFonts w:hint="default" w:ascii="Times New Roman" w:hAnsi="Times New Roman" w:cs="Times New Roman"/>
                <w:color w:val="000000" w:themeColor="text1"/>
                <w:spacing w:val="-55"/>
                <w:sz w:val="24"/>
                <w:szCs w:val="24"/>
                <w14:textFill>
                  <w14:solidFill>
                    <w14:schemeClr w14:val="tx1"/>
                  </w14:solidFill>
                </w14:textFill>
              </w:rPr>
              <w:t xml:space="preserve"> </w:t>
            </w:r>
            <w:r>
              <w:rPr>
                <w:rFonts w:hint="default" w:ascii="Times New Roman" w:hAnsi="Times New Roman" w:eastAsia="Times New Roman" w:cs="Times New Roman"/>
                <w:color w:val="000000" w:themeColor="text1"/>
                <w:spacing w:val="-3"/>
                <w:sz w:val="24"/>
                <w:szCs w:val="24"/>
                <w14:textFill>
                  <w14:solidFill>
                    <w14:schemeClr w14:val="tx1"/>
                  </w14:solidFill>
                </w14:textFill>
              </w:rPr>
              <w:t>2-6</w:t>
            </w:r>
            <w:r>
              <w:rPr>
                <w:rFonts w:hint="default" w:ascii="Times New Roman" w:hAnsi="Times New Roman" w:cs="Times New Roman"/>
                <w:color w:val="000000" w:themeColor="text1"/>
                <w:spacing w:val="-3"/>
                <w:sz w:val="24"/>
                <w:szCs w:val="24"/>
                <w14:textFill>
                  <w14:solidFill>
                    <w14:schemeClr w14:val="tx1"/>
                  </w14:solidFill>
                </w14:textFill>
              </w:rPr>
              <w:t>。</w:t>
            </w:r>
          </w:p>
          <w:p>
            <w:pPr>
              <w:pStyle w:val="100"/>
              <w:spacing w:before="48" w:line="228" w:lineRule="auto"/>
              <w:jc w:val="center"/>
              <w:rPr>
                <w:rFonts w:hint="default" w:ascii="Times New Roman" w:hAnsi="Times New Roman" w:eastAsia="宋体" w:cs="Times New Roman"/>
                <w:b/>
                <w:bCs/>
                <w:color w:val="000000" w:themeColor="text1"/>
                <w:spacing w:val="7"/>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表 2-6    4430  工业锅炉（热力生产和供应行业）产污系数表－工业废水量</w:t>
            </w:r>
          </w:p>
          <w:tbl>
            <w:tblPr>
              <w:tblStyle w:val="102"/>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1"/>
              <w:gridCol w:w="1185"/>
              <w:gridCol w:w="1496"/>
              <w:gridCol w:w="806"/>
              <w:gridCol w:w="1448"/>
              <w:gridCol w:w="1280"/>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jc w:val="center"/>
              </w:trPr>
              <w:tc>
                <w:tcPr>
                  <w:tcW w:w="791" w:type="dxa"/>
                  <w:vAlign w:val="center"/>
                </w:tcPr>
                <w:p>
                  <w:pPr>
                    <w:pStyle w:val="100"/>
                    <w:spacing w:before="48" w:line="228" w:lineRule="auto"/>
                    <w:jc w:val="center"/>
                    <w:rPr>
                      <w:rFonts w:hint="default" w:ascii="Times New Roman" w:hAnsi="Times New Roman" w:eastAsia="宋体" w:cs="Times New Roman"/>
                      <w:b/>
                      <w:bCs/>
                      <w:color w:val="000000" w:themeColor="text1"/>
                      <w:spacing w:val="7"/>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产品</w:t>
                  </w:r>
                </w:p>
                <w:p>
                  <w:pPr>
                    <w:pStyle w:val="100"/>
                    <w:spacing w:before="48" w:line="228" w:lineRule="auto"/>
                    <w:jc w:val="center"/>
                    <w:rPr>
                      <w:rFonts w:hint="default" w:ascii="Times New Roman" w:hAnsi="Times New Roman" w:eastAsia="宋体" w:cs="Times New Roman"/>
                      <w:b/>
                      <w:bCs/>
                      <w:color w:val="000000" w:themeColor="text1"/>
                      <w:spacing w:val="7"/>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名称</w:t>
                  </w:r>
                </w:p>
              </w:tc>
              <w:tc>
                <w:tcPr>
                  <w:tcW w:w="1185" w:type="dxa"/>
                  <w:vAlign w:val="center"/>
                </w:tcPr>
                <w:p>
                  <w:pPr>
                    <w:pStyle w:val="100"/>
                    <w:spacing w:before="48" w:line="228" w:lineRule="auto"/>
                    <w:jc w:val="center"/>
                    <w:rPr>
                      <w:rFonts w:hint="default" w:ascii="Times New Roman" w:hAnsi="Times New Roman" w:eastAsia="宋体" w:cs="Times New Roman"/>
                      <w:b/>
                      <w:bCs/>
                      <w:color w:val="000000" w:themeColor="text1"/>
                      <w:spacing w:val="7"/>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原料名称</w:t>
                  </w:r>
                </w:p>
              </w:tc>
              <w:tc>
                <w:tcPr>
                  <w:tcW w:w="1496" w:type="dxa"/>
                  <w:vAlign w:val="center"/>
                </w:tcPr>
                <w:p>
                  <w:pPr>
                    <w:pStyle w:val="100"/>
                    <w:spacing w:before="48" w:line="228" w:lineRule="auto"/>
                    <w:jc w:val="center"/>
                    <w:rPr>
                      <w:rFonts w:hint="default" w:ascii="Times New Roman" w:hAnsi="Times New Roman" w:eastAsia="宋体" w:cs="Times New Roman"/>
                      <w:b/>
                      <w:bCs/>
                      <w:color w:val="000000" w:themeColor="text1"/>
                      <w:spacing w:val="7"/>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工艺名称</w:t>
                  </w:r>
                </w:p>
              </w:tc>
              <w:tc>
                <w:tcPr>
                  <w:tcW w:w="806" w:type="dxa"/>
                  <w:vAlign w:val="center"/>
                </w:tcPr>
                <w:p>
                  <w:pPr>
                    <w:pStyle w:val="100"/>
                    <w:spacing w:before="48" w:line="228" w:lineRule="auto"/>
                    <w:jc w:val="center"/>
                    <w:rPr>
                      <w:rFonts w:hint="default" w:ascii="Times New Roman" w:hAnsi="Times New Roman" w:eastAsia="宋体" w:cs="Times New Roman"/>
                      <w:b/>
                      <w:bCs/>
                      <w:color w:val="000000" w:themeColor="text1"/>
                      <w:spacing w:val="7"/>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规模</w:t>
                  </w:r>
                </w:p>
                <w:p>
                  <w:pPr>
                    <w:pStyle w:val="100"/>
                    <w:spacing w:before="48" w:line="228" w:lineRule="auto"/>
                    <w:jc w:val="center"/>
                    <w:rPr>
                      <w:rFonts w:hint="default" w:ascii="Times New Roman" w:hAnsi="Times New Roman" w:eastAsia="宋体" w:cs="Times New Roman"/>
                      <w:b/>
                      <w:bCs/>
                      <w:color w:val="000000" w:themeColor="text1"/>
                      <w:spacing w:val="7"/>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等级</w:t>
                  </w:r>
                </w:p>
              </w:tc>
              <w:tc>
                <w:tcPr>
                  <w:tcW w:w="1448" w:type="dxa"/>
                  <w:vAlign w:val="center"/>
                </w:tcPr>
                <w:p>
                  <w:pPr>
                    <w:pStyle w:val="100"/>
                    <w:spacing w:before="48" w:line="228" w:lineRule="auto"/>
                    <w:jc w:val="center"/>
                    <w:rPr>
                      <w:rFonts w:hint="default" w:ascii="Times New Roman" w:hAnsi="Times New Roman" w:eastAsia="宋体" w:cs="Times New Roman"/>
                      <w:b/>
                      <w:bCs/>
                      <w:color w:val="000000" w:themeColor="text1"/>
                      <w:spacing w:val="7"/>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污染物指标</w:t>
                  </w:r>
                </w:p>
              </w:tc>
              <w:tc>
                <w:tcPr>
                  <w:tcW w:w="1280" w:type="dxa"/>
                  <w:vAlign w:val="center"/>
                </w:tcPr>
                <w:p>
                  <w:pPr>
                    <w:pStyle w:val="100"/>
                    <w:spacing w:before="48" w:line="228" w:lineRule="auto"/>
                    <w:jc w:val="center"/>
                    <w:rPr>
                      <w:rFonts w:hint="default" w:ascii="Times New Roman" w:hAnsi="Times New Roman" w:eastAsia="宋体" w:cs="Times New Roman"/>
                      <w:b/>
                      <w:bCs/>
                      <w:color w:val="000000" w:themeColor="text1"/>
                      <w:spacing w:val="7"/>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单位</w:t>
                  </w:r>
                </w:p>
              </w:tc>
              <w:tc>
                <w:tcPr>
                  <w:tcW w:w="1511" w:type="dxa"/>
                  <w:vAlign w:val="center"/>
                </w:tcPr>
                <w:p>
                  <w:pPr>
                    <w:pStyle w:val="100"/>
                    <w:spacing w:before="48" w:line="228" w:lineRule="auto"/>
                    <w:jc w:val="center"/>
                    <w:rPr>
                      <w:rFonts w:hint="default" w:ascii="Times New Roman" w:hAnsi="Times New Roman" w:eastAsia="宋体" w:cs="Times New Roman"/>
                      <w:b/>
                      <w:bCs/>
                      <w:color w:val="000000" w:themeColor="text1"/>
                      <w:spacing w:val="7"/>
                      <w:sz w:val="21"/>
                      <w:szCs w:val="21"/>
                      <w14:textFill>
                        <w14:solidFill>
                          <w14:schemeClr w14:val="tx1"/>
                        </w14:solidFill>
                      </w14:textFill>
                    </w:rPr>
                  </w:pPr>
                  <w:r>
                    <w:rPr>
                      <w:rFonts w:hint="default" w:ascii="Times New Roman" w:hAnsi="Times New Roman" w:eastAsia="宋体" w:cs="Times New Roman"/>
                      <w:b/>
                      <w:bCs/>
                      <w:color w:val="000000" w:themeColor="text1"/>
                      <w:spacing w:val="7"/>
                      <w:sz w:val="21"/>
                      <w:szCs w:val="21"/>
                      <w14:textFill>
                        <w14:solidFill>
                          <w14:schemeClr w14:val="tx1"/>
                        </w14:solidFill>
                      </w14:textFill>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6" w:hRule="atLeast"/>
                <w:jc w:val="center"/>
              </w:trPr>
              <w:tc>
                <w:tcPr>
                  <w:tcW w:w="791" w:type="dxa"/>
                  <w:vAlign w:val="center"/>
                </w:tcPr>
                <w:p>
                  <w:pPr>
                    <w:pStyle w:val="100"/>
                    <w:spacing w:before="20" w:line="277" w:lineRule="auto"/>
                    <w:ind w:left="131" w:right="115" w:hanging="1"/>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蒸汽/</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3"/>
                      <w:sz w:val="21"/>
                      <w:szCs w:val="21"/>
                      <w14:textFill>
                        <w14:solidFill>
                          <w14:schemeClr w14:val="tx1"/>
                        </w14:solidFill>
                      </w14:textFill>
                    </w:rPr>
                    <w:t>热水/</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18"/>
                      <w:sz w:val="21"/>
                      <w:szCs w:val="21"/>
                      <w14:textFill>
                        <w14:solidFill>
                          <w14:schemeClr w14:val="tx1"/>
                        </w14:solidFill>
                      </w14:textFill>
                    </w:rPr>
                    <w:t>其他</w:t>
                  </w:r>
                </w:p>
              </w:tc>
              <w:tc>
                <w:tcPr>
                  <w:tcW w:w="1185" w:type="dxa"/>
                  <w:vAlign w:val="center"/>
                </w:tcPr>
                <w:p>
                  <w:pPr>
                    <w:pStyle w:val="100"/>
                    <w:spacing w:before="65" w:line="229" w:lineRule="auto"/>
                    <w:ind w:left="229"/>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天然气</w:t>
                  </w:r>
                </w:p>
              </w:tc>
              <w:tc>
                <w:tcPr>
                  <w:tcW w:w="1496" w:type="dxa"/>
                  <w:vAlign w:val="center"/>
                </w:tcPr>
                <w:p>
                  <w:pPr>
                    <w:pStyle w:val="100"/>
                    <w:spacing w:before="48" w:line="228"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全部类型锅</w:t>
                  </w:r>
                  <w:r>
                    <w:rPr>
                      <w:rFonts w:hint="default" w:ascii="Times New Roman" w:hAnsi="Times New Roman" w:eastAsia="宋体" w:cs="Times New Roman"/>
                      <w:color w:val="000000" w:themeColor="text1"/>
                      <w:spacing w:val="7"/>
                      <w:sz w:val="21"/>
                      <w:szCs w:val="21"/>
                      <w14:textFill>
                        <w14:solidFill>
                          <w14:schemeClr w14:val="tx1"/>
                        </w14:solidFill>
                      </w14:textFill>
                    </w:rPr>
                    <w:t>炉（炉外水</w:t>
                  </w:r>
                  <w:r>
                    <w:rPr>
                      <w:rFonts w:hint="default" w:ascii="Times New Roman" w:hAnsi="Times New Roman" w:eastAsia="宋体" w:cs="Times New Roman"/>
                      <w:color w:val="000000" w:themeColor="text1"/>
                      <w:spacing w:val="1"/>
                      <w:sz w:val="21"/>
                      <w:szCs w:val="21"/>
                      <w14:textFill>
                        <w14:solidFill>
                          <w14:schemeClr w14:val="tx1"/>
                        </w14:solidFill>
                      </w14:textFill>
                    </w:rPr>
                    <w:t>处理）</w:t>
                  </w:r>
                </w:p>
              </w:tc>
              <w:tc>
                <w:tcPr>
                  <w:tcW w:w="806" w:type="dxa"/>
                  <w:vAlign w:val="center"/>
                </w:tcPr>
                <w:p>
                  <w:pPr>
                    <w:pStyle w:val="100"/>
                    <w:spacing w:before="204" w:line="312" w:lineRule="exact"/>
                    <w:ind w:left="15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position w:val="7"/>
                      <w:sz w:val="21"/>
                      <w:szCs w:val="21"/>
                      <w14:textFill>
                        <w14:solidFill>
                          <w14:schemeClr w14:val="tx1"/>
                        </w14:solidFill>
                      </w14:textFill>
                    </w:rPr>
                    <w:t>所有</w:t>
                  </w:r>
                </w:p>
                <w:p>
                  <w:pPr>
                    <w:pStyle w:val="100"/>
                    <w:spacing w:line="228" w:lineRule="auto"/>
                    <w:ind w:left="16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规模</w:t>
                  </w:r>
                </w:p>
              </w:tc>
              <w:tc>
                <w:tcPr>
                  <w:tcW w:w="1448" w:type="dxa"/>
                  <w:vAlign w:val="center"/>
                </w:tcPr>
                <w:p>
                  <w:pPr>
                    <w:pStyle w:val="100"/>
                    <w:spacing w:before="65" w:line="228" w:lineRule="auto"/>
                    <w:ind w:left="13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工业废水量</w:t>
                  </w:r>
                </w:p>
              </w:tc>
              <w:tc>
                <w:tcPr>
                  <w:tcW w:w="1280" w:type="dxa"/>
                  <w:vAlign w:val="center"/>
                </w:tcPr>
                <w:p>
                  <w:pPr>
                    <w:pStyle w:val="100"/>
                    <w:spacing w:before="174" w:line="272" w:lineRule="auto"/>
                    <w:ind w:left="162" w:right="127" w:hanging="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吨/万立方</w:t>
                  </w:r>
                  <w:r>
                    <w:rPr>
                      <w:rFonts w:hint="default" w:ascii="Times New Roman" w:hAnsi="Times New Roman" w:eastAsia="宋体" w:cs="Times New Roman"/>
                      <w:color w:val="000000" w:themeColor="text1"/>
                      <w:spacing w:val="3"/>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7"/>
                      <w:sz w:val="21"/>
                      <w:szCs w:val="21"/>
                      <w14:textFill>
                        <w14:solidFill>
                          <w14:schemeClr w14:val="tx1"/>
                        </w14:solidFill>
                      </w14:textFill>
                    </w:rPr>
                    <w:t>米－原料</w:t>
                  </w:r>
                </w:p>
              </w:tc>
              <w:tc>
                <w:tcPr>
                  <w:tcW w:w="1511" w:type="dxa"/>
                  <w:vAlign w:val="center"/>
                </w:tcPr>
                <w:p>
                  <w:pPr>
                    <w:pStyle w:val="100"/>
                    <w:spacing w:before="48" w:line="268" w:lineRule="auto"/>
                    <w:ind w:right="27"/>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13.56（锅炉</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26"/>
                      <w:sz w:val="21"/>
                      <w:szCs w:val="21"/>
                      <w14:textFill>
                        <w14:solidFill>
                          <w14:schemeClr w14:val="tx1"/>
                        </w14:solidFill>
                      </w14:textFill>
                    </w:rPr>
                    <w:t>排污水+软</w:t>
                  </w:r>
                  <w:r>
                    <w:rPr>
                      <w:rFonts w:hint="default" w:ascii="Times New Roman" w:hAnsi="Times New Roman" w:eastAsia="宋体" w:cs="Times New Roman"/>
                      <w:color w:val="000000" w:themeColor="text1"/>
                      <w:spacing w:val="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5"/>
                      <w:sz w:val="21"/>
                      <w:szCs w:val="21"/>
                      <w14:textFill>
                        <w14:solidFill>
                          <w14:schemeClr w14:val="tx1"/>
                        </w14:solidFill>
                      </w14:textFill>
                    </w:rPr>
                    <w:t>化处理废水）</w:t>
                  </w:r>
                </w:p>
              </w:tc>
            </w:tr>
          </w:tbl>
          <w:p>
            <w:pPr>
              <w:pStyle w:val="100"/>
              <w:keepNext w:val="0"/>
              <w:keepLines w:val="0"/>
              <w:pageBreakBefore w:val="0"/>
              <w:wordWrap/>
              <w:overflowPunct/>
              <w:topLinePunct w:val="0"/>
              <w:bidi w:val="0"/>
              <w:adjustRightInd w:val="0"/>
              <w:snapToGrid w:val="0"/>
              <w:spacing w:line="360" w:lineRule="auto"/>
              <w:ind w:left="127" w:right="126" w:firstLine="445"/>
              <w:jc w:val="both"/>
              <w:rPr>
                <w:rFonts w:hint="default" w:ascii="Times New Roman" w:hAnsi="Times New Roman" w:cs="Times New Roman"/>
                <w:color w:val="000000" w:themeColor="text1"/>
                <w:spacing w:val="-8"/>
                <w:sz w:val="24"/>
                <w:szCs w:val="24"/>
                <w14:textFill>
                  <w14:solidFill>
                    <w14:schemeClr w14:val="tx1"/>
                  </w14:solidFill>
                </w14:textFill>
              </w:rPr>
            </w:pPr>
            <w:r>
              <w:rPr>
                <w:rFonts w:hint="default" w:ascii="Times New Roman" w:hAnsi="Times New Roman" w:cs="Times New Roman"/>
                <w:color w:val="000000" w:themeColor="text1"/>
                <w:spacing w:val="-8"/>
                <w:sz w:val="24"/>
                <w:szCs w:val="24"/>
                <w14:textFill>
                  <w14:solidFill>
                    <w14:schemeClr w14:val="tx1"/>
                  </w14:solidFill>
                </w14:textFill>
              </w:rPr>
              <w:t>本项目天然气用量为</w:t>
            </w:r>
            <w:r>
              <w:rPr>
                <w:rFonts w:hint="eastAsia" w:ascii="Times New Roman" w:hAnsi="Times New Roman" w:cs="Times New Roman"/>
                <w:color w:val="000000" w:themeColor="text1"/>
                <w:spacing w:val="-24"/>
                <w:sz w:val="24"/>
                <w:szCs w:val="24"/>
                <w:lang w:val="en-US" w:eastAsia="zh-CN"/>
                <w14:textFill>
                  <w14:solidFill>
                    <w14:schemeClr w14:val="tx1"/>
                  </w14:solidFill>
                </w14:textFill>
              </w:rPr>
              <w:t>215</w:t>
            </w:r>
            <w:r>
              <w:rPr>
                <w:rFonts w:hint="default" w:ascii="Times New Roman" w:hAnsi="Times New Roman" w:cs="Times New Roman"/>
                <w:color w:val="000000" w:themeColor="text1"/>
                <w:spacing w:val="-8"/>
                <w:sz w:val="24"/>
                <w:szCs w:val="24"/>
                <w14:textFill>
                  <w14:solidFill>
                    <w14:schemeClr w14:val="tx1"/>
                  </w14:solidFill>
                </w14:textFill>
              </w:rPr>
              <w:t>万m</w:t>
            </w:r>
            <w:r>
              <w:rPr>
                <w:rFonts w:hint="default" w:ascii="Times New Roman" w:hAnsi="Times New Roman" w:cs="Times New Roman"/>
                <w:color w:val="000000" w:themeColor="text1"/>
                <w:spacing w:val="-8"/>
                <w:sz w:val="24"/>
                <w:szCs w:val="24"/>
                <w:vertAlign w:val="superscript"/>
                <w14:textFill>
                  <w14:solidFill>
                    <w14:schemeClr w14:val="tx1"/>
                  </w14:solidFill>
                </w14:textFill>
              </w:rPr>
              <w:t>3</w:t>
            </w:r>
            <w:r>
              <w:rPr>
                <w:rFonts w:hint="default" w:ascii="Times New Roman" w:hAnsi="Times New Roman" w:cs="Times New Roman"/>
                <w:color w:val="000000" w:themeColor="text1"/>
                <w:spacing w:val="-8"/>
                <w:sz w:val="24"/>
                <w:szCs w:val="24"/>
                <w14:textFill>
                  <w14:solidFill>
                    <w14:schemeClr w14:val="tx1"/>
                  </w14:solidFill>
                </w14:textFill>
              </w:rPr>
              <w:t>/a ，故锅炉排污水及软化制备废水产生量为</w:t>
            </w:r>
            <w:r>
              <w:rPr>
                <w:rFonts w:hint="eastAsia" w:ascii="Times New Roman" w:hAnsi="Times New Roman" w:cs="Times New Roman"/>
                <w:color w:val="000000" w:themeColor="text1"/>
                <w:sz w:val="24"/>
                <w:szCs w:val="24"/>
                <w:lang w:val="en-US" w:eastAsia="zh-CN"/>
                <w14:textFill>
                  <w14:solidFill>
                    <w14:schemeClr w14:val="tx1"/>
                  </w14:solidFill>
                </w14:textFill>
              </w:rPr>
              <w:t>2915.4</w:t>
            </w:r>
            <w:r>
              <w:rPr>
                <w:rFonts w:hint="default" w:ascii="Times New Roman" w:hAnsi="Times New Roman" w:cs="Times New Roman"/>
                <w:color w:val="000000" w:themeColor="text1"/>
                <w:spacing w:val="-8"/>
                <w:sz w:val="24"/>
                <w:szCs w:val="24"/>
                <w14:textFill>
                  <w14:solidFill>
                    <w14:schemeClr w14:val="tx1"/>
                  </w14:solidFill>
                </w14:textFill>
              </w:rPr>
              <w:t>m</w:t>
            </w:r>
            <w:r>
              <w:rPr>
                <w:rFonts w:hint="default" w:ascii="Times New Roman" w:hAnsi="Times New Roman" w:cs="Times New Roman"/>
                <w:color w:val="000000" w:themeColor="text1"/>
                <w:spacing w:val="-8"/>
                <w:sz w:val="24"/>
                <w:szCs w:val="24"/>
                <w:vertAlign w:val="superscript"/>
                <w14:textFill>
                  <w14:solidFill>
                    <w14:schemeClr w14:val="tx1"/>
                  </w14:solidFill>
                </w14:textFill>
              </w:rPr>
              <w:t>3</w:t>
            </w:r>
            <w:r>
              <w:rPr>
                <w:rFonts w:hint="default" w:ascii="Times New Roman" w:hAnsi="Times New Roman" w:cs="Times New Roman"/>
                <w:color w:val="000000" w:themeColor="text1"/>
                <w:spacing w:val="-8"/>
                <w:sz w:val="24"/>
                <w:szCs w:val="24"/>
                <w14:textFill>
                  <w14:solidFill>
                    <w14:schemeClr w14:val="tx1"/>
                  </w14:solidFill>
                </w14:textFill>
              </w:rPr>
              <w:t xml:space="preserve">/a </w:t>
            </w:r>
            <w:r>
              <w:rPr>
                <w:rFonts w:hint="default" w:ascii="Times New Roman" w:hAnsi="Times New Roman" w:cs="Times New Roman"/>
                <w:color w:val="000000" w:themeColor="text1"/>
                <w:spacing w:val="-7"/>
                <w:sz w:val="24"/>
                <w:szCs w:val="24"/>
                <w14:textFill>
                  <w14:solidFill>
                    <w14:schemeClr w14:val="tx1"/>
                  </w14:solidFill>
                </w14:textFill>
              </w:rPr>
              <w:t>，</w:t>
            </w:r>
            <w:r>
              <w:rPr>
                <w:rFonts w:hint="eastAsia" w:ascii="Times New Roman" w:hAnsi="Times New Roman" w:cs="Times New Roman"/>
                <w:color w:val="000000" w:themeColor="text1"/>
                <w:spacing w:val="-7"/>
                <w:sz w:val="24"/>
                <w:szCs w:val="24"/>
                <w:lang w:val="en-US" w:eastAsia="zh-CN"/>
                <w14:textFill>
                  <w14:solidFill>
                    <w14:schemeClr w14:val="tx1"/>
                  </w14:solidFill>
                </w14:textFill>
              </w:rPr>
              <w:t>排至循环水池，沉淀后</w:t>
            </w:r>
            <w:r>
              <w:rPr>
                <w:color w:val="000000" w:themeColor="text1"/>
                <w:spacing w:val="-7"/>
                <w:sz w:val="24"/>
                <w:szCs w:val="24"/>
                <w14:textFill>
                  <w14:solidFill>
                    <w14:schemeClr w14:val="tx1"/>
                  </w14:solidFill>
                </w14:textFill>
              </w:rPr>
              <w:t>使</w:t>
            </w:r>
            <w:r>
              <w:rPr>
                <w:rFonts w:hint="default" w:ascii="Times New Roman" w:hAnsi="Times New Roman" w:cs="Times New Roman"/>
                <w:color w:val="000000" w:themeColor="text1"/>
                <w:spacing w:val="-8"/>
                <w:sz w:val="24"/>
                <w:szCs w:val="24"/>
                <w14:textFill>
                  <w14:solidFill>
                    <w14:schemeClr w14:val="tx1"/>
                  </w14:solidFill>
                </w14:textFill>
              </w:rPr>
              <w:t>用</w:t>
            </w:r>
            <w:r>
              <w:rPr>
                <w:rFonts w:hint="eastAsia" w:ascii="Times New Roman" w:hAnsi="Times New Roman" w:cs="Times New Roman"/>
                <w:color w:val="000000" w:themeColor="text1"/>
                <w:spacing w:val="-8"/>
                <w:sz w:val="24"/>
                <w:szCs w:val="24"/>
                <w:lang w:val="en-US" w:eastAsia="zh-CN"/>
                <w14:textFill>
                  <w14:solidFill>
                    <w14:schemeClr w14:val="tx1"/>
                  </w14:solidFill>
                </w14:textFill>
              </w:rPr>
              <w:t>于搅拌、洒水降尘</w:t>
            </w:r>
            <w:r>
              <w:rPr>
                <w:rFonts w:hint="default" w:ascii="Times New Roman" w:hAnsi="Times New Roman" w:cs="Times New Roman"/>
                <w:color w:val="000000" w:themeColor="text1"/>
                <w:spacing w:val="-8"/>
                <w:sz w:val="24"/>
                <w:szCs w:val="24"/>
                <w14:textFill>
                  <w14:solidFill>
                    <w14:schemeClr w14:val="tx1"/>
                  </w14:solidFill>
                </w14:textFill>
              </w:rPr>
              <w:t>不外排。</w:t>
            </w:r>
          </w:p>
          <w:p>
            <w:pPr>
              <w:pStyle w:val="100"/>
              <w:keepNext w:val="0"/>
              <w:keepLines w:val="0"/>
              <w:pageBreakBefore w:val="0"/>
              <w:wordWrap/>
              <w:overflowPunct/>
              <w:topLinePunct w:val="0"/>
              <w:bidi w:val="0"/>
              <w:adjustRightInd w:val="0"/>
              <w:snapToGrid w:val="0"/>
              <w:spacing w:line="360" w:lineRule="auto"/>
              <w:ind w:left="127" w:right="126" w:firstLine="445"/>
              <w:jc w:val="both"/>
              <w:rPr>
                <w:rFonts w:hint="default" w:ascii="Times New Roman" w:hAnsi="Times New Roman" w:cs="Times New Roman"/>
                <w:color w:val="000000" w:themeColor="text1"/>
                <w:spacing w:val="-8"/>
                <w:sz w:val="24"/>
                <w:szCs w:val="24"/>
                <w14:textFill>
                  <w14:solidFill>
                    <w14:schemeClr w14:val="tx1"/>
                  </w14:solidFill>
                </w14:textFill>
              </w:rPr>
            </w:pPr>
            <w:r>
              <w:rPr>
                <w:rFonts w:hint="eastAsia" w:ascii="微软雅黑" w:hAnsi="微软雅黑" w:eastAsia="微软雅黑" w:cs="微软雅黑"/>
                <w:color w:val="000000" w:themeColor="text1"/>
                <w:spacing w:val="-8"/>
                <w:sz w:val="24"/>
                <w:szCs w:val="24"/>
                <w14:textFill>
                  <w14:solidFill>
                    <w14:schemeClr w14:val="tx1"/>
                  </w14:solidFill>
                </w14:textFill>
              </w:rPr>
              <w:t>③</w:t>
            </w:r>
            <w:r>
              <w:rPr>
                <w:rFonts w:hint="default" w:ascii="Times New Roman" w:hAnsi="Times New Roman" w:cs="Times New Roman"/>
                <w:color w:val="000000" w:themeColor="text1"/>
                <w:spacing w:val="-8"/>
                <w:sz w:val="24"/>
                <w:szCs w:val="24"/>
                <w14:textFill>
                  <w14:solidFill>
                    <w14:schemeClr w14:val="tx1"/>
                  </w14:solidFill>
                </w14:textFill>
              </w:rPr>
              <w:t>堆场和道路洒水</w:t>
            </w:r>
          </w:p>
          <w:p>
            <w:pPr>
              <w:pStyle w:val="100"/>
              <w:keepNext w:val="0"/>
              <w:keepLines w:val="0"/>
              <w:pageBreakBefore w:val="0"/>
              <w:wordWrap/>
              <w:overflowPunct/>
              <w:topLinePunct w:val="0"/>
              <w:bidi w:val="0"/>
              <w:adjustRightInd w:val="0"/>
              <w:snapToGrid w:val="0"/>
              <w:spacing w:line="360" w:lineRule="auto"/>
              <w:ind w:right="126" w:firstLine="448" w:firstLineChars="200"/>
              <w:jc w:val="both"/>
              <w:rPr>
                <w:rFonts w:hint="default" w:ascii="Times New Roman" w:hAnsi="Times New Roman" w:cs="Times New Roman"/>
                <w:color w:val="000000" w:themeColor="text1"/>
                <w:spacing w:val="-8"/>
                <w:sz w:val="24"/>
                <w:szCs w:val="24"/>
                <w14:textFill>
                  <w14:solidFill>
                    <w14:schemeClr w14:val="tx1"/>
                  </w14:solidFill>
                </w14:textFill>
              </w:rPr>
            </w:pPr>
            <w:r>
              <w:rPr>
                <w:rFonts w:hint="default" w:ascii="Times New Roman" w:hAnsi="Times New Roman" w:cs="Times New Roman"/>
                <w:color w:val="000000" w:themeColor="text1"/>
                <w:spacing w:val="-8"/>
                <w:sz w:val="24"/>
                <w:szCs w:val="24"/>
                <w14:textFill>
                  <w14:solidFill>
                    <w14:schemeClr w14:val="tx1"/>
                  </w14:solidFill>
                </w14:textFill>
              </w:rPr>
              <w:t>项目砂石、水泥等运输过程中会产生粉尘，根据业主单位提供的资料，其洒水用水量为</w:t>
            </w:r>
            <w:r>
              <w:rPr>
                <w:rFonts w:hint="eastAsia" w:ascii="Times New Roman" w:hAnsi="Times New Roman" w:cs="Times New Roman"/>
                <w:color w:val="000000" w:themeColor="text1"/>
                <w:spacing w:val="-8"/>
                <w:sz w:val="24"/>
                <w:szCs w:val="24"/>
                <w:lang w:val="en-US" w:eastAsia="zh-CN"/>
                <w14:textFill>
                  <w14:solidFill>
                    <w14:schemeClr w14:val="tx1"/>
                  </w14:solidFill>
                </w14:textFill>
              </w:rPr>
              <w:t>2</w:t>
            </w:r>
            <w:r>
              <w:rPr>
                <w:rFonts w:hint="default" w:ascii="Times New Roman" w:hAnsi="Times New Roman" w:cs="Times New Roman"/>
                <w:color w:val="000000" w:themeColor="text1"/>
                <w:spacing w:val="-8"/>
                <w:sz w:val="24"/>
                <w:szCs w:val="24"/>
                <w14:textFill>
                  <w14:solidFill>
                    <w14:schemeClr w14:val="tx1"/>
                  </w14:solidFill>
                </w14:textFill>
              </w:rPr>
              <w:t>m</w:t>
            </w:r>
            <w:r>
              <w:rPr>
                <w:rFonts w:hint="default" w:ascii="Times New Roman" w:hAnsi="Times New Roman" w:cs="Times New Roman"/>
                <w:color w:val="000000" w:themeColor="text1"/>
                <w:spacing w:val="-8"/>
                <w:sz w:val="24"/>
                <w:szCs w:val="24"/>
                <w:vertAlign w:val="superscript"/>
                <w14:textFill>
                  <w14:solidFill>
                    <w14:schemeClr w14:val="tx1"/>
                  </w14:solidFill>
                </w14:textFill>
              </w:rPr>
              <w:t>3</w:t>
            </w:r>
            <w:r>
              <w:rPr>
                <w:rFonts w:hint="default" w:ascii="Times New Roman" w:hAnsi="Times New Roman" w:cs="Times New Roman"/>
                <w:color w:val="000000" w:themeColor="text1"/>
                <w:spacing w:val="-8"/>
                <w:sz w:val="24"/>
                <w:szCs w:val="24"/>
                <w14:textFill>
                  <w14:solidFill>
                    <w14:schemeClr w14:val="tx1"/>
                  </w14:solidFill>
                </w14:textFill>
              </w:rPr>
              <w:t>/d ，</w:t>
            </w:r>
            <w:r>
              <w:rPr>
                <w:rFonts w:hint="eastAsia" w:ascii="Times New Roman" w:hAnsi="Times New Roman" w:cs="Times New Roman"/>
                <w:color w:val="000000" w:themeColor="text1"/>
                <w:spacing w:val="-8"/>
                <w:sz w:val="24"/>
                <w:szCs w:val="24"/>
                <w:lang w:val="en-US" w:eastAsia="zh-CN"/>
                <w14:textFill>
                  <w14:solidFill>
                    <w14:schemeClr w14:val="tx1"/>
                  </w14:solidFill>
                </w14:textFill>
              </w:rPr>
              <w:t>60</w:t>
            </w:r>
            <w:r>
              <w:rPr>
                <w:rFonts w:hint="default" w:ascii="Times New Roman" w:hAnsi="Times New Roman" w:cs="Times New Roman"/>
                <w:color w:val="000000" w:themeColor="text1"/>
                <w:spacing w:val="-8"/>
                <w:sz w:val="24"/>
                <w:szCs w:val="24"/>
                <w14:textFill>
                  <w14:solidFill>
                    <w14:schemeClr w14:val="tx1"/>
                  </w14:solidFill>
                </w14:textFill>
              </w:rPr>
              <w:t>0m</w:t>
            </w:r>
            <w:r>
              <w:rPr>
                <w:rFonts w:hint="default" w:ascii="Times New Roman" w:hAnsi="Times New Roman" w:cs="Times New Roman"/>
                <w:color w:val="000000" w:themeColor="text1"/>
                <w:spacing w:val="-8"/>
                <w:sz w:val="24"/>
                <w:szCs w:val="24"/>
                <w:vertAlign w:val="superscript"/>
                <w14:textFill>
                  <w14:solidFill>
                    <w14:schemeClr w14:val="tx1"/>
                  </w14:solidFill>
                </w14:textFill>
              </w:rPr>
              <w:t>3</w:t>
            </w:r>
            <w:r>
              <w:rPr>
                <w:rFonts w:hint="default" w:ascii="Times New Roman" w:hAnsi="Times New Roman" w:cs="Times New Roman"/>
                <w:color w:val="000000" w:themeColor="text1"/>
                <w:spacing w:val="-8"/>
                <w:sz w:val="24"/>
                <w:szCs w:val="24"/>
                <w14:textFill>
                  <w14:solidFill>
                    <w14:schemeClr w14:val="tx1"/>
                  </w14:solidFill>
                </w14:textFill>
              </w:rPr>
              <w:t>/a ，</w:t>
            </w:r>
            <w:r>
              <w:rPr>
                <w:rFonts w:hint="eastAsia" w:ascii="Times New Roman" w:hAnsi="Times New Roman" w:cs="Times New Roman"/>
                <w:color w:val="000000" w:themeColor="text1"/>
                <w:spacing w:val="-8"/>
                <w:sz w:val="24"/>
                <w:szCs w:val="24"/>
                <w:lang w:val="en-US" w:eastAsia="zh-CN"/>
                <w14:textFill>
                  <w14:solidFill>
                    <w14:schemeClr w14:val="tx1"/>
                  </w14:solidFill>
                </w14:textFill>
              </w:rPr>
              <w:t>全部使用回用水，</w:t>
            </w:r>
            <w:r>
              <w:rPr>
                <w:rFonts w:hint="default" w:ascii="Times New Roman" w:hAnsi="Times New Roman" w:cs="Times New Roman"/>
                <w:color w:val="000000" w:themeColor="text1"/>
                <w:spacing w:val="-8"/>
                <w:sz w:val="24"/>
                <w:szCs w:val="24"/>
                <w14:textFill>
                  <w14:solidFill>
                    <w14:schemeClr w14:val="tx1"/>
                  </w14:solidFill>
                </w14:textFill>
              </w:rPr>
              <w:t>全部以蒸发形式消耗。</w:t>
            </w:r>
          </w:p>
          <w:p>
            <w:pPr>
              <w:keepNext w:val="0"/>
              <w:keepLines w:val="0"/>
              <w:pageBreakBefore w:val="0"/>
              <w:wordWrap/>
              <w:overflowPunct/>
              <w:topLinePunct w:val="0"/>
              <w:bidi w:val="0"/>
              <w:adjustRightInd w:val="0"/>
              <w:snapToGrid w:val="0"/>
              <w:spacing w:line="360" w:lineRule="auto"/>
              <w:ind w:firstLine="480" w:firstLineChars="200"/>
              <w:jc w:val="both"/>
              <w:rPr>
                <w:rFonts w:hint="default" w:eastAsia="宋体"/>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生活用水</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w:t>
            </w:r>
            <w:r>
              <w:rPr>
                <w:color w:val="000000" w:themeColor="text1"/>
                <w:sz w:val="24"/>
                <w:szCs w:val="24"/>
                <w14:textFill>
                  <w14:solidFill>
                    <w14:schemeClr w14:val="tx1"/>
                  </w14:solidFill>
                </w14:textFill>
              </w:rPr>
              <w:t>劳动定员</w:t>
            </w:r>
            <w:r>
              <w:rPr>
                <w:rFonts w:hint="eastAsia"/>
                <w:color w:val="000000" w:themeColor="text1"/>
                <w:sz w:val="24"/>
                <w:szCs w:val="24"/>
                <w:lang w:val="en-US" w:eastAsia="zh-CN"/>
                <w14:textFill>
                  <w14:solidFill>
                    <w14:schemeClr w14:val="tx1"/>
                  </w14:solidFill>
                </w14:textFill>
              </w:rPr>
              <w:t>120</w:t>
            </w:r>
            <w:r>
              <w:rPr>
                <w:color w:val="000000" w:themeColor="text1"/>
                <w:sz w:val="24"/>
                <w:szCs w:val="24"/>
                <w14:textFill>
                  <w14:solidFill>
                    <w14:schemeClr w14:val="tx1"/>
                  </w14:solidFill>
                </w14:textFill>
              </w:rPr>
              <w:t>人，生活用新鲜水按100L/人·d计算，则生活用水量为</w:t>
            </w:r>
            <w:r>
              <w:rPr>
                <w:rFonts w:hint="eastAsia"/>
                <w:color w:val="000000" w:themeColor="text1"/>
                <w:sz w:val="24"/>
                <w:szCs w:val="24"/>
                <w:lang w:val="en-US" w:eastAsia="zh-CN"/>
                <w14:textFill>
                  <w14:solidFill>
                    <w14:schemeClr w14:val="tx1"/>
                  </w14:solidFill>
                </w14:textFill>
              </w:rPr>
              <w:t>12</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w:t>
            </w:r>
            <w:r>
              <w:rPr>
                <w:rFonts w:hint="eastAsia"/>
                <w:color w:val="000000" w:themeColor="text1"/>
                <w:sz w:val="24"/>
                <w:szCs w:val="24"/>
                <w:lang w:eastAsia="zh-CN"/>
                <w14:textFill>
                  <w14:solidFill>
                    <w14:schemeClr w14:val="tx1"/>
                  </w14:solidFill>
                </w14:textFill>
              </w:rPr>
              <w:t>，</w:t>
            </w:r>
            <w:r>
              <w:rPr>
                <w:rFonts w:hint="eastAsia" w:cs="Times New Roman"/>
                <w:color w:val="000000" w:themeColor="text1"/>
                <w:spacing w:val="-8"/>
                <w:sz w:val="24"/>
                <w:szCs w:val="24"/>
                <w:lang w:val="en-US" w:eastAsia="zh-CN"/>
                <w14:textFill>
                  <w14:solidFill>
                    <w14:schemeClr w14:val="tx1"/>
                  </w14:solidFill>
                </w14:textFill>
              </w:rPr>
              <w:t>3600</w:t>
            </w:r>
            <w:r>
              <w:rPr>
                <w:rFonts w:hint="default" w:ascii="Times New Roman" w:hAnsi="Times New Roman" w:cs="Times New Roman"/>
                <w:color w:val="000000" w:themeColor="text1"/>
                <w:spacing w:val="-8"/>
                <w:sz w:val="24"/>
                <w:szCs w:val="24"/>
                <w14:textFill>
                  <w14:solidFill>
                    <w14:schemeClr w14:val="tx1"/>
                  </w14:solidFill>
                </w14:textFill>
              </w:rPr>
              <w:t>m</w:t>
            </w:r>
            <w:r>
              <w:rPr>
                <w:rFonts w:hint="default" w:ascii="Times New Roman" w:hAnsi="Times New Roman" w:cs="Times New Roman"/>
                <w:color w:val="000000" w:themeColor="text1"/>
                <w:spacing w:val="-8"/>
                <w:sz w:val="24"/>
                <w:szCs w:val="24"/>
                <w:vertAlign w:val="superscript"/>
                <w14:textFill>
                  <w14:solidFill>
                    <w14:schemeClr w14:val="tx1"/>
                  </w14:solidFill>
                </w14:textFill>
              </w:rPr>
              <w:t>3</w:t>
            </w:r>
            <w:r>
              <w:rPr>
                <w:rFonts w:hint="default" w:ascii="Times New Roman" w:hAnsi="Times New Roman" w:cs="Times New Roman"/>
                <w:color w:val="000000" w:themeColor="text1"/>
                <w:spacing w:val="-8"/>
                <w:sz w:val="24"/>
                <w:szCs w:val="24"/>
                <w14:textFill>
                  <w14:solidFill>
                    <w14:schemeClr w14:val="tx1"/>
                  </w14:solidFill>
                </w14:textFill>
              </w:rPr>
              <w:t xml:space="preserve">/a </w:t>
            </w:r>
            <w:r>
              <w:rPr>
                <w:color w:val="000000" w:themeColor="text1"/>
                <w:sz w:val="24"/>
                <w:szCs w:val="24"/>
                <w14:textFill>
                  <w14:solidFill>
                    <w14:schemeClr w14:val="tx1"/>
                  </w14:solidFill>
                </w14:textFill>
              </w:rPr>
              <w:t>。生活用水排放系数取0.90，则新增生活污水产生量为</w:t>
            </w:r>
            <w:r>
              <w:rPr>
                <w:rFonts w:hint="eastAsia"/>
                <w:color w:val="000000" w:themeColor="text1"/>
                <w:sz w:val="24"/>
                <w:szCs w:val="24"/>
                <w:lang w:val="en-US" w:eastAsia="zh-CN"/>
                <w14:textFill>
                  <w14:solidFill>
                    <w14:schemeClr w14:val="tx1"/>
                  </w14:solidFill>
                </w14:textFill>
              </w:rPr>
              <w:t>10.8</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w:t>
            </w:r>
            <w:r>
              <w:rPr>
                <w:rFonts w:hint="eastAsia" w:cs="Times New Roman"/>
                <w:color w:val="000000" w:themeColor="text1"/>
                <w:spacing w:val="-8"/>
                <w:sz w:val="24"/>
                <w:szCs w:val="24"/>
                <w:lang w:val="en-US" w:eastAsia="zh-CN"/>
                <w14:textFill>
                  <w14:solidFill>
                    <w14:schemeClr w14:val="tx1"/>
                  </w14:solidFill>
                </w14:textFill>
              </w:rPr>
              <w:t>3240</w:t>
            </w:r>
            <w:r>
              <w:rPr>
                <w:rFonts w:hint="default" w:ascii="Times New Roman" w:hAnsi="Times New Roman" w:cs="Times New Roman"/>
                <w:color w:val="000000" w:themeColor="text1"/>
                <w:spacing w:val="-8"/>
                <w:sz w:val="24"/>
                <w:szCs w:val="24"/>
                <w14:textFill>
                  <w14:solidFill>
                    <w14:schemeClr w14:val="tx1"/>
                  </w14:solidFill>
                </w14:textFill>
              </w:rPr>
              <w:t>m</w:t>
            </w:r>
            <w:r>
              <w:rPr>
                <w:rFonts w:hint="default" w:ascii="Times New Roman" w:hAnsi="Times New Roman" w:cs="Times New Roman"/>
                <w:color w:val="000000" w:themeColor="text1"/>
                <w:spacing w:val="-8"/>
                <w:sz w:val="24"/>
                <w:szCs w:val="24"/>
                <w:vertAlign w:val="superscript"/>
                <w14:textFill>
                  <w14:solidFill>
                    <w14:schemeClr w14:val="tx1"/>
                  </w14:solidFill>
                </w14:textFill>
              </w:rPr>
              <w:t>3</w:t>
            </w:r>
            <w:r>
              <w:rPr>
                <w:rFonts w:hint="default" w:ascii="Times New Roman" w:hAnsi="Times New Roman" w:cs="Times New Roman"/>
                <w:color w:val="000000" w:themeColor="text1"/>
                <w:spacing w:val="-8"/>
                <w:sz w:val="24"/>
                <w:szCs w:val="24"/>
                <w14:textFill>
                  <w14:solidFill>
                    <w14:schemeClr w14:val="tx1"/>
                  </w14:solidFill>
                </w14:textFill>
              </w:rPr>
              <w:t xml:space="preserve">/a </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生活污水排入</w:t>
            </w:r>
            <w:r>
              <w:rPr>
                <w:rFonts w:hint="eastAsia"/>
                <w:color w:val="000000" w:themeColor="text1"/>
                <w:sz w:val="24"/>
                <w:szCs w:val="24"/>
                <w:lang w:val="en-US" w:eastAsia="zh-CN"/>
                <w14:textFill>
                  <w14:solidFill>
                    <w14:schemeClr w14:val="tx1"/>
                  </w14:solidFill>
                </w14:textFill>
              </w:rPr>
              <w:t>园区</w:t>
            </w:r>
            <w:r>
              <w:rPr>
                <w:rFonts w:hint="eastAsia"/>
                <w:color w:val="000000" w:themeColor="text1"/>
                <w:sz w:val="24"/>
                <w:szCs w:val="24"/>
                <w14:textFill>
                  <w14:solidFill>
                    <w14:schemeClr w14:val="tx1"/>
                  </w14:solidFill>
                </w14:textFill>
              </w:rPr>
              <w:t>排水管网</w:t>
            </w:r>
            <w:r>
              <w:rPr>
                <w:rFonts w:hint="eastAsia"/>
                <w:color w:val="000000" w:themeColor="text1"/>
                <w:sz w:val="24"/>
                <w:szCs w:val="24"/>
                <w:lang w:val="en-US" w:eastAsia="zh-CN"/>
                <w14:textFill>
                  <w14:solidFill>
                    <w14:schemeClr w14:val="tx1"/>
                  </w14:solidFill>
                </w14:textFill>
              </w:rPr>
              <w:t>进入园区污水处理厂处理</w:t>
            </w:r>
            <w:r>
              <w:rPr>
                <w:color w:val="000000" w:themeColor="text1"/>
                <w:sz w:val="24"/>
                <w:szCs w:val="24"/>
                <w14:textFill>
                  <w14:solidFill>
                    <w14:schemeClr w14:val="tx1"/>
                  </w14:solidFill>
                </w14:textFill>
              </w:rPr>
              <w:t>。</w:t>
            </w:r>
          </w:p>
          <w:p>
            <w:pPr>
              <w:pStyle w:val="7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baseline"/>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给排水情况见表2-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，水平衡关系见图</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1。</w:t>
            </w:r>
          </w:p>
          <w:p>
            <w:pPr>
              <w:keepNext w:val="0"/>
              <w:keepLines w:val="0"/>
              <w:pageBreakBefore w:val="0"/>
              <w:kinsoku/>
              <w:wordWrap/>
              <w:overflowPunct/>
              <w:topLinePunct w:val="0"/>
              <w:autoSpaceDE/>
              <w:autoSpaceDN/>
              <w:bidi w:val="0"/>
              <w:spacing w:line="360" w:lineRule="auto"/>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表2-</w:t>
            </w:r>
            <w:r>
              <w:rPr>
                <w:rFonts w:hint="eastAsia" w:cs="Times New Roman"/>
                <w:b/>
                <w:bCs/>
                <w:color w:val="000000" w:themeColor="text1"/>
                <w:szCs w:val="21"/>
                <w:lang w:val="en-US" w:eastAsia="zh-CN"/>
                <w14:textFill>
                  <w14:solidFill>
                    <w14:schemeClr w14:val="tx1"/>
                  </w14:solidFill>
                </w14:textFill>
              </w:rPr>
              <w:t>7</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14:textFill>
                  <w14:solidFill>
                    <w14:schemeClr w14:val="tx1"/>
                  </w14:solidFill>
                </w14:textFill>
              </w:rPr>
              <w:t xml:space="preserve"> 项目供排水量统计表</w:t>
            </w:r>
          </w:p>
          <w:tbl>
            <w:tblPr>
              <w:tblStyle w:val="24"/>
              <w:tblpPr w:leftFromText="180" w:rightFromText="180" w:vertAnchor="text" w:horzAnchor="page" w:tblpXSpec="center" w:tblpY="393"/>
              <w:tblOverlap w:val="never"/>
              <w:tblW w:w="8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886"/>
              <w:gridCol w:w="954"/>
              <w:gridCol w:w="847"/>
              <w:gridCol w:w="989"/>
              <w:gridCol w:w="693"/>
              <w:gridCol w:w="839"/>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14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88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用水标准</w:t>
                  </w:r>
                </w:p>
              </w:tc>
              <w:tc>
                <w:tcPr>
                  <w:tcW w:w="95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用水</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规模</w:t>
                  </w:r>
                </w:p>
              </w:tc>
              <w:tc>
                <w:tcPr>
                  <w:tcW w:w="84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日用水量m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tc>
              <w:tc>
                <w:tcPr>
                  <w:tcW w:w="98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年用水量m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693"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排水系数</w:t>
                  </w:r>
                </w:p>
              </w:tc>
              <w:tc>
                <w:tcPr>
                  <w:tcW w:w="83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年排水量m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1655"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4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生活用水</w:t>
                  </w:r>
                </w:p>
              </w:tc>
              <w:tc>
                <w:tcPr>
                  <w:tcW w:w="886"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0L/人·d</w:t>
                  </w:r>
                </w:p>
              </w:tc>
              <w:tc>
                <w:tcPr>
                  <w:tcW w:w="954"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14:textFill>
                        <w14:solidFill>
                          <w14:schemeClr w14:val="tx1"/>
                        </w14:solidFill>
                      </w14:textFill>
                    </w:rPr>
                    <w:t>0人</w:t>
                  </w:r>
                </w:p>
              </w:tc>
              <w:tc>
                <w:tcPr>
                  <w:tcW w:w="847" w:type="dxa"/>
                  <w:noWrap w:val="0"/>
                  <w:vAlign w:val="center"/>
                </w:tcPr>
                <w:p>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w:t>
                  </w:r>
                </w:p>
              </w:tc>
              <w:tc>
                <w:tcPr>
                  <w:tcW w:w="989"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3600</w:t>
                  </w:r>
                </w:p>
              </w:tc>
              <w:tc>
                <w:tcPr>
                  <w:tcW w:w="693" w:type="dxa"/>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39" w:type="dxa"/>
                  <w:noWrap w:val="0"/>
                  <w:vAlign w:val="center"/>
                </w:tcPr>
                <w:p>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3240</w:t>
                  </w:r>
                </w:p>
              </w:tc>
              <w:tc>
                <w:tcPr>
                  <w:tcW w:w="1655"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46"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搅拌用水</w:t>
                  </w:r>
                </w:p>
              </w:tc>
              <w:tc>
                <w:tcPr>
                  <w:tcW w:w="886"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54" w:type="dxa"/>
                  <w:noWrap w:val="0"/>
                  <w:vAlign w:val="center"/>
                </w:tcPr>
                <w:p>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42.35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14:textFill>
                        <w14:solidFill>
                          <w14:schemeClr w14:val="tx1"/>
                        </w14:solidFill>
                      </w14:textFill>
                    </w:rPr>
                    <w:t>/d</w:t>
                  </w:r>
                </w:p>
              </w:tc>
              <w:tc>
                <w:tcPr>
                  <w:tcW w:w="847" w:type="dxa"/>
                  <w:noWrap w:val="0"/>
                  <w:vAlign w:val="center"/>
                </w:tcPr>
                <w:p>
                  <w:pPr>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42.35</w:t>
                  </w:r>
                </w:p>
              </w:tc>
              <w:tc>
                <w:tcPr>
                  <w:tcW w:w="989" w:type="dxa"/>
                  <w:noWrap w:val="0"/>
                  <w:vAlign w:val="center"/>
                </w:tcPr>
                <w:p>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12705</w:t>
                  </w:r>
                </w:p>
              </w:tc>
              <w:tc>
                <w:tcPr>
                  <w:tcW w:w="693" w:type="dxa"/>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839" w:type="dxa"/>
                  <w:noWrap w:val="0"/>
                  <w:vAlign w:val="center"/>
                </w:tcPr>
                <w:p>
                  <w:pPr>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w:t>
                  </w:r>
                </w:p>
              </w:tc>
              <w:tc>
                <w:tcPr>
                  <w:tcW w:w="1655" w:type="dxa"/>
                  <w:noWrap w:val="0"/>
                  <w:vAlign w:val="center"/>
                </w:tcPr>
                <w:p>
                  <w:pPr>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其中新鲜水</w:t>
                  </w:r>
                  <w:r>
                    <w:rPr>
                      <w:rFonts w:hint="eastAsia" w:cs="Times New Roman"/>
                      <w:color w:val="000000" w:themeColor="text1"/>
                      <w:kern w:val="2"/>
                      <w:sz w:val="21"/>
                      <w:szCs w:val="21"/>
                      <w:lang w:val="en-US" w:eastAsia="zh-CN" w:bidi="ar-SA"/>
                      <w14:textFill>
                        <w14:solidFill>
                          <w14:schemeClr w14:val="tx1"/>
                        </w14:solidFill>
                      </w14:textFill>
                    </w:rPr>
                    <w:t>34.632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/d</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，回用水</w:t>
                  </w:r>
                  <w:r>
                    <w:rPr>
                      <w:rFonts w:hint="eastAsia" w:cs="Times New Roman"/>
                      <w:color w:val="000000" w:themeColor="text1"/>
                      <w:kern w:val="2"/>
                      <w:sz w:val="21"/>
                      <w:szCs w:val="21"/>
                      <w:lang w:val="en-US" w:eastAsia="zh-CN" w:bidi="ar-SA"/>
                      <w14:textFill>
                        <w14:solidFill>
                          <w14:schemeClr w14:val="tx1"/>
                        </w14:solidFill>
                      </w14:textFill>
                    </w:rPr>
                    <w:t>7.718</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46" w:type="dxa"/>
                  <w:noWrap w:val="0"/>
                  <w:vAlign w:val="center"/>
                </w:tcPr>
                <w:p>
                  <w:pPr>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锅炉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用水</w:t>
                  </w:r>
                </w:p>
              </w:tc>
              <w:tc>
                <w:tcPr>
                  <w:tcW w:w="886" w:type="dxa"/>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color w:val="000000" w:themeColor="text1"/>
                      <w:sz w:val="21"/>
                      <w:szCs w:val="21"/>
                      <w14:textFill>
                        <w14:solidFill>
                          <w14:schemeClr w14:val="tx1"/>
                        </w14:solidFill>
                      </w14:textFill>
                    </w:rPr>
                    <w:t>/d</w:t>
                  </w:r>
                </w:p>
              </w:tc>
              <w:tc>
                <w:tcPr>
                  <w:tcW w:w="954"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4t/h</w:t>
                  </w:r>
                </w:p>
              </w:tc>
              <w:tc>
                <w:tcPr>
                  <w:tcW w:w="847" w:type="dxa"/>
                  <w:noWrap w:val="0"/>
                  <w:vAlign w:val="center"/>
                </w:tcPr>
                <w:p>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96</w:t>
                  </w:r>
                </w:p>
              </w:tc>
              <w:tc>
                <w:tcPr>
                  <w:tcW w:w="989"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28800</w:t>
                  </w:r>
                </w:p>
              </w:tc>
              <w:tc>
                <w:tcPr>
                  <w:tcW w:w="693"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13.56吨/万立方米原料</w:t>
                  </w:r>
                </w:p>
              </w:tc>
              <w:tc>
                <w:tcPr>
                  <w:tcW w:w="839" w:type="dxa"/>
                  <w:noWrap w:val="0"/>
                  <w:vAlign w:val="center"/>
                </w:tcPr>
                <w:p>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0（沉淀后回用）</w:t>
                  </w:r>
                </w:p>
              </w:tc>
              <w:tc>
                <w:tcPr>
                  <w:tcW w:w="1655"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2915.4</w:t>
                  </w:r>
                  <w:r>
                    <w:rPr>
                      <w:rFonts w:hint="default" w:ascii="Times New Roman" w:hAnsi="Times New Roman" w:cs="Times New Roman"/>
                      <w:color w:val="000000" w:themeColor="text1"/>
                      <w:spacing w:val="-8"/>
                      <w:sz w:val="21"/>
                      <w:szCs w:val="21"/>
                      <w14:textFill>
                        <w14:solidFill>
                          <w14:schemeClr w14:val="tx1"/>
                        </w14:solidFill>
                      </w14:textFill>
                    </w:rPr>
                    <w:t>m</w:t>
                  </w:r>
                  <w:r>
                    <w:rPr>
                      <w:rFonts w:hint="default" w:ascii="Times New Roman" w:hAnsi="Times New Roman" w:cs="Times New Roman"/>
                      <w:color w:val="000000" w:themeColor="text1"/>
                      <w:spacing w:val="-8"/>
                      <w:sz w:val="21"/>
                      <w:szCs w:val="21"/>
                      <w:vertAlign w:val="superscript"/>
                      <w14:textFill>
                        <w14:solidFill>
                          <w14:schemeClr w14:val="tx1"/>
                        </w14:solidFill>
                      </w14:textFill>
                    </w:rPr>
                    <w:t>3</w:t>
                  </w:r>
                  <w:r>
                    <w:rPr>
                      <w:rFonts w:hint="default" w:ascii="Times New Roman" w:hAnsi="Times New Roman" w:cs="Times New Roman"/>
                      <w:color w:val="000000" w:themeColor="text1"/>
                      <w:spacing w:val="-8"/>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全部</w:t>
                  </w:r>
                  <w:r>
                    <w:rPr>
                      <w:rFonts w:hint="eastAsia" w:cs="Times New Roman"/>
                      <w:color w:val="000000" w:themeColor="text1"/>
                      <w:sz w:val="21"/>
                      <w:szCs w:val="21"/>
                      <w:lang w:val="en-US" w:eastAsia="zh-CN"/>
                      <w14:textFill>
                        <w14:solidFill>
                          <w14:schemeClr w14:val="tx1"/>
                        </w14:solidFill>
                      </w14:textFill>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146"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堆场和道路洒水</w:t>
                  </w:r>
                </w:p>
              </w:tc>
              <w:tc>
                <w:tcPr>
                  <w:tcW w:w="886"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54" w:type="dxa"/>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6"/>
                      <w:sz w:val="21"/>
                      <w:szCs w:val="21"/>
                      <w14:textFill>
                        <w14:solidFill>
                          <w14:schemeClr w14:val="tx1"/>
                        </w14:solidFill>
                      </w14:textFill>
                    </w:rPr>
                    <w:t>/d</w:t>
                  </w:r>
                </w:p>
              </w:tc>
              <w:tc>
                <w:tcPr>
                  <w:tcW w:w="847"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989"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600</w:t>
                  </w:r>
                </w:p>
              </w:tc>
              <w:tc>
                <w:tcPr>
                  <w:tcW w:w="693" w:type="dxa"/>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39" w:type="dxa"/>
                  <w:noWrap w:val="0"/>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1655"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全部使用回用水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986" w:type="dxa"/>
                  <w:gridSpan w:val="3"/>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847" w:type="dxa"/>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152.35</w:t>
                  </w:r>
                </w:p>
              </w:tc>
              <w:tc>
                <w:tcPr>
                  <w:tcW w:w="989"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45705</w:t>
                  </w:r>
                </w:p>
              </w:tc>
              <w:tc>
                <w:tcPr>
                  <w:tcW w:w="693"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39"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3240</w:t>
                  </w:r>
                </w:p>
              </w:tc>
              <w:tc>
                <w:tcPr>
                  <w:tcW w:w="1655"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bl>
          <w:p>
            <w:pPr>
              <w:spacing w:line="480" w:lineRule="exact"/>
              <w:jc w:val="center"/>
              <w:textAlignment w:val="baseline"/>
              <w:rPr>
                <w:b/>
                <w:color w:val="000000" w:themeColor="text1"/>
                <w14:textFill>
                  <w14:solidFill>
                    <w14:schemeClr w14:val="tx1"/>
                  </w14:solidFill>
                </w14:textFill>
              </w:rPr>
            </w:pPr>
            <w:r>
              <w:rPr>
                <w:rFonts w:hint="eastAsia" w:eastAsia="宋体"/>
                <w:b/>
                <w:color w:val="000000" w:themeColor="text1"/>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358775</wp:posOffset>
                  </wp:positionH>
                  <wp:positionV relativeFrom="paragraph">
                    <wp:posOffset>755015</wp:posOffset>
                  </wp:positionV>
                  <wp:extent cx="4581525" cy="3314700"/>
                  <wp:effectExtent l="0" t="0" r="9525" b="0"/>
                  <wp:wrapTopAndBottom/>
                  <wp:docPr id="2" name="图片 2" descr="171172945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1729452117"/>
                          <pic:cNvPicPr>
                            <a:picLocks noChangeAspect="1"/>
                          </pic:cNvPicPr>
                        </pic:nvPicPr>
                        <pic:blipFill>
                          <a:blip r:embed="rId7"/>
                          <a:stretch>
                            <a:fillRect/>
                          </a:stretch>
                        </pic:blipFill>
                        <pic:spPr>
                          <a:xfrm>
                            <a:off x="0" y="0"/>
                            <a:ext cx="4581525" cy="3314700"/>
                          </a:xfrm>
                          <a:prstGeom prst="rect">
                            <a:avLst/>
                          </a:prstGeom>
                        </pic:spPr>
                      </pic:pic>
                    </a:graphicData>
                  </a:graphic>
                </wp:anchor>
              </w:drawing>
            </w:r>
            <w:r>
              <w:rPr>
                <w:b/>
                <w:color w:val="000000" w:themeColor="text1"/>
                <w14:textFill>
                  <w14:solidFill>
                    <w14:schemeClr w14:val="tx1"/>
                  </w14:solidFill>
                </w14:textFill>
              </w:rPr>
              <w:t>图2-1   项目水平衡图    单位： 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d</w:t>
            </w:r>
          </w:p>
          <w:p>
            <w:pPr>
              <w:spacing w:line="560" w:lineRule="exact"/>
              <w:ind w:firstLine="482" w:firstLineChars="200"/>
              <w:textAlignment w:val="baseline"/>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7.2</w:t>
            </w:r>
            <w:r>
              <w:rPr>
                <w:b/>
                <w:color w:val="000000" w:themeColor="text1"/>
                <w:sz w:val="24"/>
                <w14:textFill>
                  <w14:solidFill>
                    <w14:schemeClr w14:val="tx1"/>
                  </w14:solidFill>
                </w14:textFill>
              </w:rPr>
              <w:t>供电</w:t>
            </w:r>
          </w:p>
          <w:p>
            <w:pPr>
              <w:spacing w:line="56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厂区用电由园区市政供电电网引入，满足使用</w:t>
            </w:r>
            <w:r>
              <w:rPr>
                <w:rFonts w:hint="eastAsia"/>
                <w:color w:val="000000" w:themeColor="text1"/>
                <w:sz w:val="24"/>
                <w14:textFill>
                  <w14:solidFill>
                    <w14:schemeClr w14:val="tx1"/>
                  </w14:solidFill>
                </w14:textFill>
              </w:rPr>
              <w:t>。</w:t>
            </w:r>
          </w:p>
          <w:p>
            <w:pPr>
              <w:spacing w:line="560" w:lineRule="exact"/>
              <w:ind w:firstLine="482" w:firstLineChars="200"/>
              <w:textAlignment w:val="baseline"/>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7.3</w:t>
            </w:r>
            <w:r>
              <w:rPr>
                <w:b/>
                <w:color w:val="000000" w:themeColor="text1"/>
                <w:sz w:val="24"/>
                <w14:textFill>
                  <w14:solidFill>
                    <w14:schemeClr w14:val="tx1"/>
                  </w14:solidFill>
                </w14:textFill>
              </w:rPr>
              <w:t>供暖</w:t>
            </w:r>
          </w:p>
          <w:p>
            <w:pPr>
              <w:spacing w:line="560" w:lineRule="exact"/>
              <w:ind w:firstLine="480" w:firstLineChars="200"/>
              <w:textAlignment w:val="baseline"/>
              <w:rPr>
                <w:color w:val="000000" w:themeColor="text1"/>
                <w:kern w:val="0"/>
                <w:sz w:val="24"/>
                <w14:textFill>
                  <w14:solidFill>
                    <w14:schemeClr w14:val="tx1"/>
                  </w14:solidFill>
                </w14:textFill>
              </w:rPr>
            </w:pPr>
            <w:r>
              <w:rPr>
                <w:rFonts w:hint="eastAsia" w:eastAsiaTheme="minorEastAsia"/>
                <w:color w:val="000000" w:themeColor="text1"/>
                <w:kern w:val="0"/>
                <w:sz w:val="24"/>
                <w:lang w:val="en-US" w:eastAsia="zh-CN" w:bidi="ar"/>
                <w14:textFill>
                  <w14:solidFill>
                    <w14:schemeClr w14:val="tx1"/>
                  </w14:solidFill>
                </w14:textFill>
              </w:rPr>
              <w:t>项目区</w:t>
            </w:r>
            <w:r>
              <w:rPr>
                <w:rFonts w:hint="eastAsia" w:cs="宋体"/>
                <w:bCs/>
                <w:color w:val="000000" w:themeColor="text1"/>
                <w:kern w:val="0"/>
                <w:sz w:val="24"/>
                <w:lang w:val="zh-CN" w:bidi="ar"/>
                <w14:textFill>
                  <w14:solidFill>
                    <w14:schemeClr w14:val="tx1"/>
                  </w14:solidFill>
                </w14:textFill>
              </w:rPr>
              <w:t>不采暖</w:t>
            </w:r>
            <w:r>
              <w:rPr>
                <w:color w:val="000000" w:themeColor="text1"/>
                <w:kern w:val="0"/>
                <w:sz w:val="24"/>
                <w14:textFill>
                  <w14:solidFill>
                    <w14:schemeClr w14:val="tx1"/>
                  </w14:solidFill>
                </w14:textFill>
              </w:rPr>
              <w:t>。</w:t>
            </w:r>
          </w:p>
          <w:p>
            <w:pPr>
              <w:spacing w:line="560" w:lineRule="exact"/>
              <w:ind w:firstLine="482" w:firstLineChars="200"/>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8</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劳动定员及工作制度</w:t>
            </w:r>
          </w:p>
          <w:p>
            <w:pPr>
              <w:adjustRightInd w:val="0"/>
              <w:snapToGrid w:val="0"/>
              <w:spacing w:line="560" w:lineRule="exact"/>
              <w:ind w:firstLine="480" w:firstLineChars="200"/>
              <w:rPr>
                <w:b/>
                <w:color w:val="000000" w:themeColor="text1"/>
                <w:sz w:val="24"/>
                <w14:textFill>
                  <w14:solidFill>
                    <w14:schemeClr w14:val="tx1"/>
                  </w14:solidFill>
                </w14:textFill>
              </w:rPr>
            </w:pPr>
            <w:r>
              <w:rPr>
                <w:rFonts w:hint="eastAsia"/>
                <w:color w:val="000000" w:themeColor="text1"/>
                <w:sz w:val="24"/>
                <w:lang w:val="zh-CN"/>
                <w14:textFill>
                  <w14:solidFill>
                    <w14:schemeClr w14:val="tx1"/>
                  </w14:solidFill>
                </w14:textFill>
              </w:rPr>
              <w:t>本项目劳</w:t>
            </w:r>
            <w:r>
              <w:rPr>
                <w:rFonts w:hint="eastAsia"/>
                <w:color w:val="000000" w:themeColor="text1"/>
                <w:sz w:val="24"/>
                <w14:textFill>
                  <w14:solidFill>
                    <w14:schemeClr w14:val="tx1"/>
                  </w14:solidFill>
                </w14:textFill>
              </w:rPr>
              <w:t>动定员</w:t>
            </w:r>
            <w:r>
              <w:rPr>
                <w:rFonts w:hint="eastAsia"/>
                <w:color w:val="000000" w:themeColor="text1"/>
                <w:sz w:val="24"/>
                <w:lang w:val="en-US" w:eastAsia="zh-CN"/>
                <w14:textFill>
                  <w14:solidFill>
                    <w14:schemeClr w14:val="tx1"/>
                  </w14:solidFill>
                </w14:textFill>
              </w:rPr>
              <w:t>120</w:t>
            </w:r>
            <w:r>
              <w:rPr>
                <w:rFonts w:hint="eastAsia"/>
                <w:color w:val="000000" w:themeColor="text1"/>
                <w:sz w:val="24"/>
                <w14:textFill>
                  <w14:solidFill>
                    <w14:schemeClr w14:val="tx1"/>
                  </w14:solidFill>
                </w14:textFill>
              </w:rPr>
              <w:t>人，年运行3</w:t>
            </w:r>
            <w:r>
              <w:rPr>
                <w:rFonts w:hint="eastAsia"/>
                <w:color w:val="000000" w:themeColor="text1"/>
                <w:sz w:val="24"/>
                <w:lang w:val="en-US" w:eastAsia="zh-CN"/>
                <w14:textFill>
                  <w14:solidFill>
                    <w14:schemeClr w14:val="tx1"/>
                  </w14:solidFill>
                </w14:textFill>
              </w:rPr>
              <w:t>00</w:t>
            </w:r>
            <w:r>
              <w:rPr>
                <w:rFonts w:hint="eastAsia"/>
                <w:color w:val="000000" w:themeColor="text1"/>
                <w:sz w:val="24"/>
                <w14:textFill>
                  <w14:solidFill>
                    <w14:schemeClr w14:val="tx1"/>
                  </w14:solidFill>
                </w14:textFill>
              </w:rPr>
              <w:t>天，每天</w:t>
            </w:r>
            <w:r>
              <w:rPr>
                <w:rFonts w:hint="eastAsia"/>
                <w:color w:val="000000" w:themeColor="text1"/>
                <w:sz w:val="24"/>
                <w:lang w:val="en-US" w:eastAsia="zh-CN"/>
                <w14:textFill>
                  <w14:solidFill>
                    <w14:schemeClr w14:val="tx1"/>
                  </w14:solidFill>
                </w14:textFill>
              </w:rPr>
              <w:t>二</w:t>
            </w:r>
            <w:r>
              <w:rPr>
                <w:rFonts w:hint="eastAsia"/>
                <w:color w:val="000000" w:themeColor="text1"/>
                <w:sz w:val="24"/>
                <w14:textFill>
                  <w14:solidFill>
                    <w14:schemeClr w14:val="tx1"/>
                  </w14:solidFill>
                </w14:textFill>
              </w:rPr>
              <w:t>班，每班</w:t>
            </w:r>
            <w:r>
              <w:rPr>
                <w:rFonts w:hint="eastAsia"/>
                <w:color w:val="000000" w:themeColor="text1"/>
                <w:sz w:val="24"/>
                <w:lang w:val="en-US" w:eastAsia="zh-CN"/>
                <w14:textFill>
                  <w14:solidFill>
                    <w14:schemeClr w14:val="tx1"/>
                  </w14:solidFill>
                </w14:textFill>
              </w:rPr>
              <w:t>12</w:t>
            </w:r>
            <w:r>
              <w:rPr>
                <w:rFonts w:hint="eastAsia"/>
                <w:color w:val="000000" w:themeColor="text1"/>
                <w:sz w:val="24"/>
                <w14:textFill>
                  <w14:solidFill>
                    <w14:schemeClr w14:val="tx1"/>
                  </w14:solidFill>
                </w14:textFill>
              </w:rPr>
              <w:t>小时</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年工作时间7200h</w:t>
            </w:r>
            <w:r>
              <w:rPr>
                <w:color w:val="000000" w:themeColor="text1"/>
                <w:sz w:val="24"/>
                <w14:textFill>
                  <w14:solidFill>
                    <w14:schemeClr w14:val="tx1"/>
                  </w14:solidFill>
                </w14:textFill>
              </w:rPr>
              <w:t>。</w:t>
            </w:r>
          </w:p>
          <w:p>
            <w:pPr>
              <w:adjustRightInd w:val="0"/>
              <w:snapToGrid w:val="0"/>
              <w:spacing w:line="560" w:lineRule="exact"/>
              <w:ind w:firstLine="482" w:firstLineChars="200"/>
              <w:rPr>
                <w:b/>
                <w:bCs/>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9</w:t>
            </w:r>
            <w:r>
              <w:rPr>
                <w:rFonts w:hint="eastAsia"/>
                <w:b/>
                <w:color w:val="000000" w:themeColor="text1"/>
                <w:sz w:val="24"/>
                <w14:textFill>
                  <w14:solidFill>
                    <w14:schemeClr w14:val="tx1"/>
                  </w14:solidFill>
                </w14:textFill>
              </w:rPr>
              <w:t>、</w:t>
            </w:r>
            <w:r>
              <w:rPr>
                <w:rFonts w:hint="eastAsia" w:cs="宋体"/>
                <w:b/>
                <w:bCs/>
                <w:color w:val="000000" w:themeColor="text1"/>
                <w:sz w:val="24"/>
                <w:lang w:bidi="ar"/>
                <w14:textFill>
                  <w14:solidFill>
                    <w14:schemeClr w14:val="tx1"/>
                  </w14:solidFill>
                </w14:textFill>
              </w:rPr>
              <w:t>总平面布置及平面布置合理性</w:t>
            </w:r>
          </w:p>
          <w:p>
            <w:pPr>
              <w:adjustRightInd w:val="0"/>
              <w:snapToGrid w:val="0"/>
              <w:spacing w:line="560" w:lineRule="exact"/>
              <w:ind w:firstLine="480" w:firstLineChars="200"/>
              <w:rPr>
                <w:rFonts w:hint="eastAsia" w:eastAsia="仿宋_GB2312"/>
                <w:color w:val="000000" w:themeColor="text1"/>
                <w:lang w:eastAsia="zh-CN"/>
                <w14:textFill>
                  <w14:solidFill>
                    <w14:schemeClr w14:val="tx1"/>
                  </w14:solidFill>
                </w14:textFill>
              </w:rPr>
            </w:pPr>
            <w:r>
              <w:rPr>
                <w:rFonts w:hint="eastAsia"/>
                <w:color w:val="000000" w:themeColor="text1"/>
                <w:sz w:val="24"/>
                <w:lang w:val="zh-CN"/>
                <w14:textFill>
                  <w14:solidFill>
                    <w14:schemeClr w14:val="tx1"/>
                  </w14:solidFill>
                </w14:textFill>
              </w:rPr>
              <w:t>项目位于</w:t>
            </w:r>
            <w:r>
              <w:rPr>
                <w:rFonts w:hint="eastAsia" w:cs="宋体"/>
                <w:color w:val="000000" w:themeColor="text1"/>
                <w:sz w:val="24"/>
                <w:highlight w:val="none"/>
                <w:lang w:val="en-US" w:eastAsia="zh-CN"/>
                <w14:textFill>
                  <w14:solidFill>
                    <w14:schemeClr w14:val="tx1"/>
                  </w14:solidFill>
                </w14:textFill>
              </w:rPr>
              <w:t>胡杨河经济技术开发区南区</w:t>
            </w:r>
            <w:r>
              <w:rPr>
                <w:rFonts w:hint="eastAsia"/>
                <w:color w:val="000000" w:themeColor="text1"/>
                <w:sz w:val="24"/>
                <w:lang w:val="zh-CN"/>
                <w14:textFill>
                  <w14:solidFill>
                    <w14:schemeClr w14:val="tx1"/>
                  </w14:solidFill>
                </w14:textFill>
              </w:rPr>
              <w:t>，项目区南侧为园区规划道路，</w:t>
            </w:r>
            <w:r>
              <w:rPr>
                <w:rFonts w:hint="eastAsia"/>
                <w:color w:val="000000" w:themeColor="text1"/>
                <w:sz w:val="24"/>
                <w:lang w:val="en-US" w:eastAsia="zh-CN"/>
                <w14:textFill>
                  <w14:solidFill>
                    <w14:schemeClr w14:val="tx1"/>
                  </w14:solidFill>
                </w14:textFill>
              </w:rPr>
              <w:t>东侧、西侧、北侧均为园区厂房</w:t>
            </w:r>
            <w:r>
              <w:rPr>
                <w:rFonts w:hint="eastAsia"/>
                <w:color w:val="000000" w:themeColor="text1"/>
                <w:sz w:val="24"/>
                <w:lang w:val="zh-CN"/>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南</w:t>
            </w:r>
            <w:r>
              <w:rPr>
                <w:rFonts w:hint="eastAsia"/>
                <w:color w:val="000000" w:themeColor="text1"/>
                <w:sz w:val="24"/>
                <w:lang w:val="zh-CN"/>
                <w14:textFill>
                  <w14:solidFill>
                    <w14:schemeClr w14:val="tx1"/>
                  </w14:solidFill>
                </w14:textFill>
              </w:rPr>
              <w:t>侧设置</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val="zh-CN"/>
                <w14:textFill>
                  <w14:solidFill>
                    <w14:schemeClr w14:val="tx1"/>
                  </w14:solidFill>
                </w14:textFill>
              </w:rPr>
              <w:t>个出入口和园区</w:t>
            </w:r>
            <w:r>
              <w:rPr>
                <w:rFonts w:hint="eastAsia"/>
                <w:color w:val="000000" w:themeColor="text1"/>
                <w:sz w:val="24"/>
                <w:lang w:val="en-US" w:eastAsia="zh-CN"/>
                <w14:textFill>
                  <w14:solidFill>
                    <w14:schemeClr w14:val="tx1"/>
                  </w14:solidFill>
                </w14:textFill>
              </w:rPr>
              <w:t>道路</w:t>
            </w:r>
            <w:r>
              <w:rPr>
                <w:rFonts w:hint="eastAsia"/>
                <w:color w:val="000000" w:themeColor="text1"/>
                <w:sz w:val="24"/>
                <w:lang w:val="zh-CN"/>
                <w14:textFill>
                  <w14:solidFill>
                    <w14:schemeClr w14:val="tx1"/>
                  </w14:solidFill>
                </w14:textFill>
              </w:rPr>
              <w:t>连接，交通较为便利。目前，园区公共管理建设、市政工程建设、道路系统、道路两侧绿化用地及园区公共绿地等基础设施建设完成，为本项目提供了良好的依托条件。</w:t>
            </w:r>
          </w:p>
          <w:p>
            <w:pPr>
              <w:adjustRightInd w:val="0"/>
              <w:snapToGrid w:val="0"/>
              <w:spacing w:line="560" w:lineRule="exact"/>
              <w:ind w:firstLine="480" w:firstLineChars="200"/>
              <w:rPr>
                <w:rFonts w:hint="eastAsia"/>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本项目厂区平面布局：生产车间</w:t>
            </w:r>
            <w:r>
              <w:rPr>
                <w:rFonts w:hint="eastAsia"/>
                <w:color w:val="000000" w:themeColor="text1"/>
                <w:sz w:val="24"/>
                <w:lang w:val="en-US" w:eastAsia="zh-CN"/>
                <w14:textFill>
                  <w14:solidFill>
                    <w14:schemeClr w14:val="tx1"/>
                  </w14:solidFill>
                </w14:textFill>
              </w:rPr>
              <w:t>自西向东</w:t>
            </w:r>
            <w:r>
              <w:rPr>
                <w:rFonts w:hint="eastAsia"/>
                <w:color w:val="000000" w:themeColor="text1"/>
                <w:sz w:val="24"/>
                <w:lang w:val="zh-CN"/>
                <w14:textFill>
                  <w14:solidFill>
                    <w14:schemeClr w14:val="tx1"/>
                  </w14:solidFill>
                </w14:textFill>
              </w:rPr>
              <w:t>呈“直线”型</w:t>
            </w:r>
            <w:r>
              <w:rPr>
                <w:rFonts w:hint="eastAsia"/>
                <w:color w:val="000000" w:themeColor="text1"/>
                <w:sz w:val="24"/>
                <w:lang w:val="en-US" w:eastAsia="zh-CN"/>
                <w14:textFill>
                  <w14:solidFill>
                    <w14:schemeClr w14:val="tx1"/>
                  </w14:solidFill>
                </w14:textFill>
              </w:rPr>
              <w:t>布设生产工艺，原料堆场位于项目区西侧，成品堆场位于车间内东侧和南侧</w:t>
            </w:r>
            <w:r>
              <w:rPr>
                <w:rFonts w:hint="eastAsia"/>
                <w:color w:val="000000" w:themeColor="text1"/>
                <w:sz w:val="24"/>
                <w:lang w:val="zh-CN"/>
                <w14:textFill>
                  <w14:solidFill>
                    <w14:schemeClr w14:val="tx1"/>
                  </w14:solidFill>
                </w14:textFill>
              </w:rPr>
              <w:t>。生产区域功能齐全，整个厂房在满足生产、操作、安全和环保的要求许可时，联合集中布置，集中控制；厂区平面布置功能区分明确，根据工业企业的性质、规模、生产流程、交通运输、环境保护及场地自然条件合理布局；厂区通道宽度满足各种运输线路布局。</w:t>
            </w:r>
          </w:p>
          <w:p>
            <w:pPr>
              <w:adjustRightInd w:val="0"/>
              <w:snapToGrid w:val="0"/>
              <w:spacing w:line="560" w:lineRule="exact"/>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zh-CN"/>
                <w14:textFill>
                  <w14:solidFill>
                    <w14:schemeClr w14:val="tx1"/>
                  </w14:solidFill>
                </w14:textFill>
              </w:rPr>
              <w:t>生产车间内设备根据产品生产工艺流程形成流水线式布置，避免各工序生产线路反复，节约了人力和物力。整个厂区布置有利生产、方便管理。</w:t>
            </w:r>
            <w:r>
              <w:rPr>
                <w:rFonts w:hint="eastAsia"/>
                <w:color w:val="000000" w:themeColor="text1"/>
                <w:sz w:val="24"/>
                <w:lang w:val="en-US" w:eastAsia="zh-CN"/>
                <w14:textFill>
                  <w14:solidFill>
                    <w14:schemeClr w14:val="tx1"/>
                  </w14:solidFill>
                </w14:textFill>
              </w:rPr>
              <w:t>员工生活区位于园区统一生活区。</w:t>
            </w:r>
          </w:p>
          <w:p>
            <w:pPr>
              <w:pStyle w:val="81"/>
              <w:spacing w:line="520" w:lineRule="exact"/>
              <w:ind w:firstLine="480" w:firstLineChars="200"/>
              <w:rPr>
                <w:rFonts w:ascii="宋体" w:hAnsi="宋体"/>
                <w:color w:val="000000" w:themeColor="text1"/>
                <w:sz w:val="24"/>
                <w:szCs w:val="24"/>
                <w:lang w:bidi="ar"/>
                <w14:textFill>
                  <w14:solidFill>
                    <w14:schemeClr w14:val="tx1"/>
                  </w14:solidFill>
                </w14:textFill>
              </w:rPr>
            </w:pPr>
            <w:r>
              <w:rPr>
                <w:rFonts w:ascii="宋体" w:hAnsi="宋体"/>
                <w:color w:val="000000" w:themeColor="text1"/>
                <w:sz w:val="24"/>
                <w:szCs w:val="24"/>
                <w14:textFill>
                  <w14:solidFill>
                    <w14:schemeClr w14:val="tx1"/>
                  </w14:solidFill>
                </w14:textFill>
              </w:rPr>
              <w:t>本项目所在地周围环境质量较好，满足相应的环境功能区划。从地理位置、环境条件、气象条件及</w:t>
            </w:r>
            <w:r>
              <w:rPr>
                <w:rFonts w:hint="eastAsia" w:ascii="宋体" w:hAnsi="宋体"/>
                <w:color w:val="000000" w:themeColor="text1"/>
                <w:sz w:val="24"/>
                <w:szCs w:val="24"/>
                <w14:textFill>
                  <w14:solidFill>
                    <w14:schemeClr w14:val="tx1"/>
                  </w14:solidFill>
                </w14:textFill>
              </w:rPr>
              <w:t>废水</w:t>
            </w:r>
            <w:r>
              <w:rPr>
                <w:rFonts w:ascii="宋体" w:hAnsi="宋体"/>
                <w:color w:val="000000" w:themeColor="text1"/>
                <w:sz w:val="24"/>
                <w:szCs w:val="24"/>
                <w14:textFill>
                  <w14:solidFill>
                    <w14:schemeClr w14:val="tx1"/>
                  </w14:solidFill>
                </w14:textFill>
              </w:rPr>
              <w:t>排放状况等环境经济因素综合考虑，项目总图布置从环保角度是合理的。</w:t>
            </w:r>
          </w:p>
          <w:p>
            <w:pPr>
              <w:pStyle w:val="81"/>
              <w:numPr>
                <w:ilvl w:val="0"/>
                <w:numId w:val="0"/>
              </w:numPr>
              <w:spacing w:line="520" w:lineRule="exact"/>
              <w:ind w:firstLine="480"/>
              <w:rPr>
                <w:rFonts w:cs="宋体"/>
                <w:color w:val="000000" w:themeColor="text1"/>
                <w:sz w:val="24"/>
                <w:lang w:bidi="ar"/>
                <w14:textFill>
                  <w14:solidFill>
                    <w14:schemeClr w14:val="tx1"/>
                  </w14:solidFill>
                </w14:textFill>
              </w:rPr>
            </w:pPr>
            <w:r>
              <w:rPr>
                <w:rFonts w:hint="eastAsia" w:ascii="宋体" w:hAnsi="宋体"/>
                <w:color w:val="000000" w:themeColor="text1"/>
                <w:sz w:val="24"/>
                <w:szCs w:val="24"/>
                <w:lang w:bidi="ar"/>
                <w14:textFill>
                  <w14:solidFill>
                    <w14:schemeClr w14:val="tx1"/>
                  </w14:solidFill>
                </w14:textFill>
              </w:rPr>
              <w:t>综上所述，总图布置从环保角度是合理的。</w:t>
            </w:r>
            <w:r>
              <w:rPr>
                <w:rFonts w:hint="eastAsia"/>
                <w:color w:val="000000" w:themeColor="text1"/>
                <w:sz w:val="24"/>
                <w:szCs w:val="24"/>
                <w:lang w:bidi="ar"/>
                <w14:textFill>
                  <w14:solidFill>
                    <w14:schemeClr w14:val="tx1"/>
                  </w14:solidFill>
                </w14:textFill>
              </w:rPr>
              <w:t>项目平面布置图见</w:t>
            </w:r>
            <w:r>
              <w:rPr>
                <w:rFonts w:hint="eastAsia"/>
                <w:color w:val="000000" w:themeColor="text1"/>
                <w:sz w:val="24"/>
                <w:szCs w:val="24"/>
                <w:lang w:val="en-US" w:eastAsia="zh-CN" w:bidi="ar"/>
                <w14:textFill>
                  <w14:solidFill>
                    <w14:schemeClr w14:val="tx1"/>
                  </w14:solidFill>
                </w14:textFill>
              </w:rPr>
              <w:t>附图</w:t>
            </w:r>
            <w:r>
              <w:rPr>
                <w:rFonts w:hint="eastAsia"/>
                <w:color w:val="000000" w:themeColor="text1"/>
                <w:sz w:val="24"/>
                <w:szCs w:val="24"/>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6" w:hRule="atLeast"/>
          <w:jc w:val="center"/>
        </w:trPr>
        <w:tc>
          <w:tcPr>
            <w:tcW w:w="454" w:type="dxa"/>
            <w:vAlign w:val="center"/>
          </w:tcPr>
          <w:p>
            <w:pPr>
              <w:pStyle w:val="20"/>
              <w:adjustRightInd w:val="0"/>
              <w:snapToGrid w:val="0"/>
              <w:spacing w:before="0" w:beforeAutospacing="0" w:after="0" w:afterAutospacing="0"/>
              <w:jc w:val="center"/>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工艺流程和产排污环节</w:t>
            </w:r>
          </w:p>
        </w:tc>
        <w:tc>
          <w:tcPr>
            <w:tcW w:w="8606" w:type="dxa"/>
          </w:tcPr>
          <w:p>
            <w:pPr>
              <w:autoSpaceDE w:val="0"/>
              <w:autoSpaceDN w:val="0"/>
              <w:adjustRightInd w:val="0"/>
              <w:spacing w:line="560" w:lineRule="exact"/>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一、施工期</w:t>
            </w:r>
          </w:p>
          <w:p>
            <w:pPr>
              <w:adjustRightInd w:val="0"/>
              <w:snapToGrid w:val="0"/>
              <w:spacing w:line="560" w:lineRule="exact"/>
              <w:ind w:firstLine="480" w:firstLineChars="200"/>
              <w:rPr>
                <w:bCs/>
                <w:color w:val="000000" w:themeColor="text1"/>
                <w:sz w:val="24"/>
                <w14:textFill>
                  <w14:solidFill>
                    <w14:schemeClr w14:val="tx1"/>
                  </w14:solidFill>
                </w14:textFill>
              </w:rPr>
            </w:pPr>
            <w:r>
              <w:rPr>
                <w:rFonts w:hint="eastAsia"/>
                <w:bCs/>
                <w:color w:val="000000" w:themeColor="text1"/>
                <w:sz w:val="24"/>
                <w:szCs w:val="21"/>
                <w14:textFill>
                  <w14:solidFill>
                    <w14:schemeClr w14:val="tx1"/>
                  </w14:solidFill>
                </w14:textFill>
              </w:rPr>
              <w:t>项目施工首先对建设场地进行平整，然后进行建筑主体地基开挖，进行主体建筑结构施工，主体建筑施工完成后进行配套设施建设及场地硬化处理。</w:t>
            </w:r>
            <w:bookmarkStart w:id="8" w:name="OLE_LINK1"/>
            <w:bookmarkEnd w:id="8"/>
            <w:r>
              <w:rPr>
                <w:rFonts w:hint="eastAsia" w:ascii="宋体" w:hAnsi="宋体"/>
                <w:bCs/>
                <w:color w:val="000000" w:themeColor="text1"/>
                <w:sz w:val="24"/>
                <w14:textFill>
                  <w14:solidFill>
                    <w14:schemeClr w14:val="tx1"/>
                  </w14:solidFill>
                </w14:textFill>
              </w:rPr>
              <w:t>施工期工艺流程及产污节点见下图。</w:t>
            </w:r>
          </w:p>
          <w:p>
            <w:pPr>
              <w:adjustRightInd w:val="0"/>
              <w:snapToGrid w:val="0"/>
              <w:spacing w:line="360" w:lineRule="auto"/>
              <w:jc w:val="center"/>
              <w:rPr>
                <w:bCs/>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5250815" cy="921385"/>
                  <wp:effectExtent l="0" t="0" r="6985" b="0"/>
                  <wp:docPr id="299" name="图片 299" descr="C:\Users\DELL\AppData\Local\Temp\ksohtml1528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C:\Users\DELL\AppData\Local\Temp\ksohtml15280\wp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50815" cy="921385"/>
                          </a:xfrm>
                          <a:prstGeom prst="rect">
                            <a:avLst/>
                          </a:prstGeom>
                          <a:noFill/>
                          <a:ln>
                            <a:noFill/>
                          </a:ln>
                        </pic:spPr>
                      </pic:pic>
                    </a:graphicData>
                  </a:graphic>
                </wp:inline>
              </w:drawing>
            </w:r>
            <w:r>
              <w:rPr>
                <w:bCs/>
                <w:color w:val="000000" w:themeColor="text1"/>
                <w14:textFill>
                  <w14:solidFill>
                    <w14:schemeClr w14:val="tx1"/>
                  </w14:solidFill>
                </w14:textFill>
              </w:rPr>
              <w:t xml:space="preserve"> </w:t>
            </w:r>
          </w:p>
          <w:p>
            <w:pPr>
              <w:adjustRightInd w:val="0"/>
              <w:snapToGrid w:val="0"/>
              <w:spacing w:line="360" w:lineRule="auto"/>
              <w:jc w:val="center"/>
              <w:rPr>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图</w:t>
            </w:r>
            <w:r>
              <w:rPr>
                <w:rFonts w:hint="eastAsia"/>
                <w:b/>
                <w:bCs/>
                <w:color w:val="000000" w:themeColor="text1"/>
                <w14:textFill>
                  <w14:solidFill>
                    <w14:schemeClr w14:val="tx1"/>
                  </w14:solidFill>
                </w14:textFill>
              </w:rPr>
              <w:t>2-</w:t>
            </w: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 xml:space="preserve">    </w:t>
            </w:r>
            <w:r>
              <w:rPr>
                <w:rFonts w:ascii="宋体" w:hAnsi="宋体"/>
                <w:b/>
                <w:bCs/>
                <w:color w:val="000000" w:themeColor="text1"/>
                <w14:textFill>
                  <w14:solidFill>
                    <w14:schemeClr w14:val="tx1"/>
                  </w14:solidFill>
                </w14:textFill>
              </w:rPr>
              <w:t>施工</w:t>
            </w:r>
            <w:r>
              <w:rPr>
                <w:rFonts w:hint="eastAsia" w:ascii="宋体" w:hAnsi="宋体"/>
                <w:b/>
                <w:bCs/>
                <w:color w:val="000000" w:themeColor="text1"/>
                <w14:textFill>
                  <w14:solidFill>
                    <w14:schemeClr w14:val="tx1"/>
                  </w14:solidFill>
                </w14:textFill>
              </w:rPr>
              <w:t>期工艺流程及产污环节图</w:t>
            </w:r>
          </w:p>
          <w:p>
            <w:pPr>
              <w:pStyle w:val="100"/>
              <w:spacing w:line="520" w:lineRule="exact"/>
              <w:ind w:firstLine="472" w:firstLineChars="200"/>
              <w:rPr>
                <w:color w:val="000000" w:themeColor="text1"/>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工艺流程简述：</w:t>
            </w:r>
          </w:p>
          <w:p>
            <w:pPr>
              <w:pStyle w:val="100"/>
              <w:spacing w:line="520" w:lineRule="exact"/>
              <w:ind w:right="27" w:firstLine="488" w:firstLineChars="200"/>
              <w:rPr>
                <w:color w:val="000000" w:themeColor="text1"/>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施工期主要是对地块进行场地硬化，硬</w:t>
            </w:r>
            <w:r>
              <w:rPr>
                <w:rFonts w:hint="eastAsia"/>
                <w:color w:val="000000" w:themeColor="text1"/>
                <w:spacing w:val="1"/>
                <w:sz w:val="24"/>
                <w:szCs w:val="24"/>
                <w14:textFill>
                  <w14:solidFill>
                    <w14:schemeClr w14:val="tx1"/>
                  </w14:solidFill>
                </w14:textFill>
              </w:rPr>
              <w:t>化后进行</w:t>
            </w:r>
            <w:r>
              <w:rPr>
                <w:rFonts w:hint="eastAsia"/>
                <w:color w:val="000000" w:themeColor="text1"/>
                <w:spacing w:val="1"/>
                <w:sz w:val="24"/>
                <w:szCs w:val="24"/>
                <w:lang w:val="en-US" w:eastAsia="zh-CN"/>
                <w14:textFill>
                  <w14:solidFill>
                    <w14:schemeClr w14:val="tx1"/>
                  </w14:solidFill>
                </w14:textFill>
              </w:rPr>
              <w:t>原料堆场</w:t>
            </w:r>
            <w:r>
              <w:rPr>
                <w:rFonts w:hint="eastAsia"/>
                <w:color w:val="000000" w:themeColor="text1"/>
                <w:spacing w:val="1"/>
                <w:sz w:val="24"/>
                <w:szCs w:val="24"/>
                <w14:textFill>
                  <w14:solidFill>
                    <w14:schemeClr w14:val="tx1"/>
                  </w14:solidFill>
                </w14:textFill>
              </w:rPr>
              <w:t>建设以及</w:t>
            </w:r>
            <w:r>
              <w:rPr>
                <w:rFonts w:hint="eastAsia"/>
                <w:color w:val="000000" w:themeColor="text1"/>
                <w:spacing w:val="-3"/>
                <w:sz w:val="24"/>
                <w:szCs w:val="24"/>
                <w14:textFill>
                  <w14:solidFill>
                    <w14:schemeClr w14:val="tx1"/>
                  </w14:solidFill>
                </w14:textFill>
              </w:rPr>
              <w:t>内部装修和设备安装，同时配套建设环保设施，整个工程结束后，投入使用。</w:t>
            </w:r>
          </w:p>
          <w:p>
            <w:pPr>
              <w:pStyle w:val="100"/>
              <w:spacing w:line="520" w:lineRule="exact"/>
              <w:ind w:left="593"/>
              <w:rPr>
                <w:color w:val="000000" w:themeColor="text1"/>
                <w:spacing w:val="-1"/>
                <w:sz w:val="24"/>
                <w:szCs w:val="24"/>
                <w14:textFill>
                  <w14:solidFill>
                    <w14:schemeClr w14:val="tx1"/>
                  </w14:solidFill>
                </w14:textFill>
              </w:rPr>
            </w:pPr>
            <w:r>
              <w:rPr>
                <w:rFonts w:hint="eastAsia"/>
                <w:color w:val="000000" w:themeColor="text1"/>
                <w:spacing w:val="-1"/>
                <w:sz w:val="24"/>
                <w:szCs w:val="24"/>
                <w14:textFill>
                  <w14:solidFill>
                    <w14:schemeClr w14:val="tx1"/>
                  </w14:solidFill>
                </w14:textFill>
              </w:rPr>
              <w:t>产污环节分析：</w:t>
            </w:r>
          </w:p>
          <w:p>
            <w:pPr>
              <w:pStyle w:val="100"/>
              <w:spacing w:line="520" w:lineRule="exact"/>
              <w:ind w:left="116" w:right="107" w:firstLine="476"/>
              <w:jc w:val="both"/>
              <w:rPr>
                <w:color w:val="000000" w:themeColor="text1"/>
                <w:spacing w:val="-1"/>
                <w:sz w:val="24"/>
                <w:szCs w:val="24"/>
                <w14:textFill>
                  <w14:solidFill>
                    <w14:schemeClr w14:val="tx1"/>
                  </w14:solidFill>
                </w14:textFill>
              </w:rPr>
            </w:pPr>
            <w:r>
              <w:rPr>
                <w:rFonts w:hint="eastAsia"/>
                <w:color w:val="000000" w:themeColor="text1"/>
                <w:spacing w:val="2"/>
                <w:sz w:val="24"/>
                <w:szCs w:val="24"/>
                <w14:textFill>
                  <w14:solidFill>
                    <w14:schemeClr w14:val="tx1"/>
                  </w14:solidFill>
                </w14:textFill>
              </w:rPr>
              <w:t>施工期间的产污主要是施工扬尘以及施工机械尾气、施工噪</w:t>
            </w:r>
            <w:r>
              <w:rPr>
                <w:rFonts w:hint="eastAsia"/>
                <w:color w:val="000000" w:themeColor="text1"/>
                <w:spacing w:val="1"/>
                <w:sz w:val="24"/>
                <w:szCs w:val="24"/>
                <w14:textFill>
                  <w14:solidFill>
                    <w14:schemeClr w14:val="tx1"/>
                  </w14:solidFill>
                </w14:textFill>
              </w:rPr>
              <w:t>声、施工废</w:t>
            </w:r>
            <w:r>
              <w:rPr>
                <w:rFonts w:hint="eastAsia"/>
                <w:color w:val="000000" w:themeColor="text1"/>
                <w:sz w:val="24"/>
                <w:szCs w:val="24"/>
                <w14:textFill>
                  <w14:solidFill>
                    <w14:schemeClr w14:val="tx1"/>
                  </w14:solidFill>
                </w14:textFill>
              </w:rPr>
              <w:t>水以及施工垃圾（如建筑垃圾、施工人员的生活垃圾和土石方等</w:t>
            </w:r>
            <w:r>
              <w:rPr>
                <w:rFonts w:hint="eastAsia"/>
                <w:color w:val="000000" w:themeColor="text1"/>
                <w:spacing w:val="26"/>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以及施</w:t>
            </w:r>
            <w:r>
              <w:rPr>
                <w:rFonts w:hint="eastAsia"/>
                <w:color w:val="000000" w:themeColor="text1"/>
                <w:spacing w:val="-1"/>
                <w:sz w:val="24"/>
                <w:szCs w:val="24"/>
                <w14:textFill>
                  <w14:solidFill>
                    <w14:schemeClr w14:val="tx1"/>
                  </w14:solidFill>
                </w14:textFill>
              </w:rPr>
              <w:t>工人员产生生活污水和生活垃圾。</w:t>
            </w:r>
          </w:p>
          <w:p>
            <w:pPr>
              <w:autoSpaceDE w:val="0"/>
              <w:autoSpaceDN w:val="0"/>
              <w:adjustRightInd w:val="0"/>
              <w:spacing w:line="520" w:lineRule="exact"/>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二、运营期</w:t>
            </w:r>
          </w:p>
          <w:p>
            <w:pPr>
              <w:autoSpaceDE w:val="0"/>
              <w:autoSpaceDN w:val="0"/>
              <w:adjustRightInd w:val="0"/>
              <w:spacing w:line="520" w:lineRule="exact"/>
              <w:ind w:firstLine="480" w:firstLineChars="200"/>
              <w:rPr>
                <w:rFonts w:hint="eastAsia" w:eastAsia="宋体"/>
                <w:bCs/>
                <w:color w:val="000000" w:themeColor="text1"/>
                <w:kern w:val="0"/>
                <w:sz w:val="24"/>
                <w:lang w:eastAsia="zh-CN"/>
                <w14:textFill>
                  <w14:solidFill>
                    <w14:schemeClr w14:val="tx1"/>
                  </w14:solidFill>
                </w14:textFill>
              </w:rPr>
            </w:pPr>
            <w:r>
              <w:rPr>
                <w:rFonts w:hint="eastAsia"/>
                <w:bCs/>
                <w:color w:val="000000" w:themeColor="text1"/>
                <w:kern w:val="0"/>
                <w:sz w:val="24"/>
                <w14:textFill>
                  <w14:solidFill>
                    <w14:schemeClr w14:val="tx1"/>
                  </w14:solidFill>
                </w14:textFill>
              </w:rPr>
              <w:t>本项目运营期工艺流程及产污环节如下：</w:t>
            </w:r>
          </w:p>
          <w:p>
            <w:pPr>
              <w:rPr>
                <w:rFonts w:hint="eastAsia" w:eastAsia="宋体"/>
                <w:bCs/>
                <w:color w:val="000000" w:themeColor="text1"/>
                <w:kern w:val="0"/>
                <w:sz w:val="24"/>
                <w:lang w:eastAsia="zh-CN"/>
                <w14:textFill>
                  <w14:solidFill>
                    <w14:schemeClr w14:val="tx1"/>
                  </w14:solidFill>
                </w14:textFill>
              </w:rPr>
            </w:pPr>
            <w:r>
              <w:rPr>
                <w:rFonts w:hint="eastAsia" w:eastAsia="宋体"/>
                <w:bCs/>
                <w:color w:val="000000" w:themeColor="text1"/>
                <w:kern w:val="0"/>
                <w:sz w:val="24"/>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-981710</wp:posOffset>
                  </wp:positionH>
                  <wp:positionV relativeFrom="paragraph">
                    <wp:posOffset>67310</wp:posOffset>
                  </wp:positionV>
                  <wp:extent cx="5114925" cy="5591175"/>
                  <wp:effectExtent l="0" t="0" r="9525" b="9525"/>
                  <wp:wrapTopAndBottom/>
                  <wp:docPr id="8" name="图片 8" descr="171099161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0991611562"/>
                          <pic:cNvPicPr>
                            <a:picLocks noChangeAspect="1"/>
                          </pic:cNvPicPr>
                        </pic:nvPicPr>
                        <pic:blipFill>
                          <a:blip r:embed="rId9"/>
                          <a:stretch>
                            <a:fillRect/>
                          </a:stretch>
                        </pic:blipFill>
                        <pic:spPr>
                          <a:xfrm>
                            <a:off x="0" y="0"/>
                            <a:ext cx="5114925" cy="5591175"/>
                          </a:xfrm>
                          <a:prstGeom prst="rect">
                            <a:avLst/>
                          </a:prstGeom>
                        </pic:spPr>
                      </pic:pic>
                    </a:graphicData>
                  </a:graphic>
                </wp:anchor>
              </w:drawing>
            </w:r>
          </w:p>
          <w:p>
            <w:pPr>
              <w:autoSpaceDE w:val="0"/>
              <w:autoSpaceDN w:val="0"/>
              <w:adjustRightInd w:val="0"/>
              <w:spacing w:line="520" w:lineRule="exact"/>
              <w:ind w:firstLine="480" w:firstLineChars="200"/>
              <w:jc w:val="center"/>
              <w:rPr>
                <w:b/>
                <w:bCs/>
                <w:color w:val="000000" w:themeColor="text1"/>
                <w:kern w:val="0"/>
                <w:sz w:val="24"/>
                <w:szCs w:val="30"/>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2199005</wp:posOffset>
                      </wp:positionH>
                      <wp:positionV relativeFrom="paragraph">
                        <wp:posOffset>-5139055</wp:posOffset>
                      </wp:positionV>
                      <wp:extent cx="0" cy="276860"/>
                      <wp:effectExtent l="57150" t="0" r="57150" b="8890"/>
                      <wp:wrapNone/>
                      <wp:docPr id="5" name="直接箭头连接符 5"/>
                      <wp:cNvGraphicFramePr/>
                      <a:graphic xmlns:a="http://schemas.openxmlformats.org/drawingml/2006/main">
                        <a:graphicData uri="http://schemas.microsoft.com/office/word/2010/wordprocessingShape">
                          <wps:wsp>
                            <wps:cNvCnPr/>
                            <wps:spPr>
                              <a:xfrm>
                                <a:off x="3459480" y="3256280"/>
                                <a:ext cx="0" cy="2768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3.15pt;margin-top:-404.65pt;height:21.8pt;width:0pt;z-index:251660288;mso-width-relative:page;mso-height-relative:page;" filled="f" stroked="t" coordsize="21600,21600" o:gfxdata="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sOhzdwAAAANAQAADwAAAAAAAAABACAAAAAi&#10;AAAAZHJzL2Rvd25yZXYueG1sUEsBAhQAFAAAAAgAh07iQK27PHoGAgAA0wMAAA4AAAAAAAAAAQAg&#10;AAAAKwEAAGRycy9lMm9Eb2MueG1sUEsFBgAAAAAGAAYAWQEAAKMFAAAAAA==&#10;">
                      <v:fill on="f" focussize="0,0"/>
                      <v:stroke weight="2pt" color="#4F81BD [3204]" joinstyle="round" endarrow="open"/>
                      <v:imagedata o:title=""/>
                      <o:lock v:ext="edit" aspectratio="f"/>
                    </v:shape>
                  </w:pict>
                </mc:Fallback>
              </mc:AlternateContent>
            </w:r>
            <w:r>
              <w:rPr>
                <w:b/>
                <w:bCs/>
                <w:color w:val="000000" w:themeColor="text1"/>
                <w:kern w:val="0"/>
                <w14:textFill>
                  <w14:solidFill>
                    <w14:schemeClr w14:val="tx1"/>
                  </w14:solidFill>
                </w14:textFill>
              </w:rPr>
              <w:t>图2-</w:t>
            </w:r>
            <w:r>
              <w:rPr>
                <w:rFonts w:hint="eastAsia"/>
                <w:b/>
                <w:bCs/>
                <w:color w:val="000000" w:themeColor="text1"/>
                <w:kern w:val="0"/>
                <w:lang w:val="en-US" w:eastAsia="zh-CN"/>
                <w14:textFill>
                  <w14:solidFill>
                    <w14:schemeClr w14:val="tx1"/>
                  </w14:solidFill>
                </w14:textFill>
              </w:rPr>
              <w:t>3</w:t>
            </w:r>
            <w:r>
              <w:rPr>
                <w:b/>
                <w:bCs/>
                <w:color w:val="000000" w:themeColor="text1"/>
                <w:kern w:val="0"/>
                <w14:textFill>
                  <w14:solidFill>
                    <w14:schemeClr w14:val="tx1"/>
                  </w14:solidFill>
                </w14:textFill>
              </w:rPr>
              <w:t xml:space="preserve">  运营期</w:t>
            </w:r>
            <w:r>
              <w:rPr>
                <w:rFonts w:hint="eastAsia"/>
                <w:b/>
                <w:bCs/>
                <w:color w:val="000000" w:themeColor="text1"/>
                <w:kern w:val="0"/>
                <w14:textFill>
                  <w14:solidFill>
                    <w14:schemeClr w14:val="tx1"/>
                  </w14:solidFill>
                </w14:textFill>
              </w:rPr>
              <w:t>工艺流程及产污环节</w:t>
            </w:r>
            <w:r>
              <w:rPr>
                <w:b/>
                <w:bCs/>
                <w:color w:val="000000" w:themeColor="text1"/>
                <w:kern w:val="0"/>
                <w14:textFill>
                  <w14:solidFill>
                    <w14:schemeClr w14:val="tx1"/>
                  </w14:solidFill>
                </w14:textFill>
              </w:rPr>
              <w:t>图</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预应力混凝土管桩工艺流程及产污环</w:t>
            </w:r>
            <w:r>
              <w:rPr>
                <w:rFonts w:hint="default" w:ascii="Times New Roman" w:hAnsi="Times New Roman" w:cs="Times New Roman"/>
                <w:color w:val="000000" w:themeColor="text1"/>
                <w:kern w:val="0"/>
                <w:sz w:val="24"/>
                <w:szCs w:val="24"/>
                <w:lang w:val="en-US" w:eastAsia="zh-CN"/>
                <w14:textFill>
                  <w14:solidFill>
                    <w14:schemeClr w14:val="tx1"/>
                  </w14:solidFill>
                </w14:textFill>
              </w:rPr>
              <w:t>节</w:t>
            </w:r>
            <w:r>
              <w:rPr>
                <w:rFonts w:hint="default" w:ascii="Times New Roman" w:hAnsi="Times New Roman" w:cs="Times New Roman"/>
                <w:color w:val="000000" w:themeColor="text1"/>
                <w:kern w:val="0"/>
                <w:sz w:val="24"/>
                <w:szCs w:val="24"/>
                <w14:textFill>
                  <w14:solidFill>
                    <w14:schemeClr w14:val="tx1"/>
                  </w14:solidFill>
                </w14:textFill>
              </w:rPr>
              <w:t>简述：</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（1）原材料储存及处理</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①</w:t>
            </w:r>
            <w:r>
              <w:rPr>
                <w:rFonts w:hint="default" w:ascii="Times New Roman" w:hAnsi="Times New Roman" w:cs="Times New Roman"/>
                <w:color w:val="000000" w:themeColor="text1"/>
                <w:kern w:val="0"/>
                <w:sz w:val="24"/>
                <w:szCs w:val="24"/>
                <w:lang w:val="en-US" w:eastAsia="zh-CN"/>
                <w14:textFill>
                  <w14:solidFill>
                    <w14:schemeClr w14:val="tx1"/>
                  </w14:solidFill>
                </w14:textFill>
              </w:rPr>
              <w:t>矿粉</w:t>
            </w:r>
            <w:r>
              <w:rPr>
                <w:rFonts w:hint="default" w:ascii="Times New Roman" w:hAnsi="Times New Roman" w:cs="Times New Roman"/>
                <w:color w:val="000000" w:themeColor="text1"/>
                <w:kern w:val="0"/>
                <w:sz w:val="24"/>
                <w:szCs w:val="24"/>
                <w14:textFill>
                  <w14:solidFill>
                    <w14:schemeClr w14:val="tx1"/>
                  </w14:solidFill>
                </w14:textFill>
              </w:rPr>
              <w:t>、水泥</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矿粉、水泥经车运送至</w:t>
            </w:r>
            <w:r>
              <w:rPr>
                <w:rFonts w:hint="default" w:ascii="Times New Roman" w:hAnsi="Times New Roman" w:cs="Times New Roman"/>
                <w:color w:val="000000" w:themeColor="text1"/>
                <w:kern w:val="0"/>
                <w:sz w:val="24"/>
                <w:szCs w:val="24"/>
                <w:lang w:val="en-US" w:eastAsia="zh-CN"/>
                <w14:textFill>
                  <w14:solidFill>
                    <w14:schemeClr w14:val="tx1"/>
                  </w14:solidFill>
                </w14:textFill>
              </w:rPr>
              <w:t>筒仓</w:t>
            </w:r>
            <w:r>
              <w:rPr>
                <w:rFonts w:hint="default" w:ascii="Times New Roman" w:hAnsi="Times New Roman" w:cs="Times New Roman"/>
                <w:color w:val="000000" w:themeColor="text1"/>
                <w:kern w:val="0"/>
                <w:sz w:val="24"/>
                <w:szCs w:val="24"/>
                <w14:textFill>
                  <w14:solidFill>
                    <w14:schemeClr w14:val="tx1"/>
                  </w14:solidFill>
                </w14:textFill>
              </w:rPr>
              <w:t>，采用螺旋输送机送入搅拌站加水搅拌</w:t>
            </w:r>
            <w:r>
              <w:rPr>
                <w:rFonts w:hint="default" w:ascii="Times New Roman" w:hAnsi="Times New Roman" w:cs="Times New Roman"/>
                <w:color w:val="000000" w:themeColor="text1"/>
                <w:kern w:val="0"/>
                <w:sz w:val="24"/>
                <w:szCs w:val="24"/>
                <w:lang w:eastAsia="zh-CN"/>
                <w14:textFill>
                  <w14:solidFill>
                    <w14:schemeClr w14:val="tx1"/>
                  </w14:solidFill>
                </w14:textFill>
              </w:rPr>
              <w:t>。</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②</w:t>
            </w:r>
            <w:r>
              <w:rPr>
                <w:rFonts w:hint="default" w:ascii="Times New Roman" w:hAnsi="Times New Roman" w:cs="Times New Roman"/>
                <w:color w:val="000000" w:themeColor="text1"/>
                <w:kern w:val="0"/>
                <w:sz w:val="24"/>
                <w:szCs w:val="24"/>
                <w:lang w:val="en-US" w:eastAsia="zh-CN"/>
                <w14:textFill>
                  <w14:solidFill>
                    <w14:schemeClr w14:val="tx1"/>
                  </w14:solidFill>
                </w14:textFill>
              </w:rPr>
              <w:t>砂</w:t>
            </w:r>
            <w:r>
              <w:rPr>
                <w:rFonts w:hint="default" w:ascii="Times New Roman" w:hAnsi="Times New Roman" w:cs="Times New Roman"/>
                <w:color w:val="000000" w:themeColor="text1"/>
                <w:kern w:val="0"/>
                <w:sz w:val="24"/>
                <w:szCs w:val="24"/>
                <w14:textFill>
                  <w14:solidFill>
                    <w14:schemeClr w14:val="tx1"/>
                  </w14:solidFill>
                </w14:textFill>
              </w:rPr>
              <w:t>、石子</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经车运至项目堆场，从车上经输送带转运时喷水操作，以避免产生粉尘。生产时用装载机放入料仓计量后通过密闭输送带送入搅拌站加水搅拌。</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（2）搅拌</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根据混凝土强度的实际情况进行调整。各组成材料放入搅拌站中进行搅拌，搅拌约6～7</w:t>
            </w:r>
            <w:r>
              <w:rPr>
                <w:rFonts w:hint="default" w:ascii="Times New Roman" w:hAnsi="Times New Roman" w:cs="Times New Roman"/>
                <w:color w:val="000000" w:themeColor="text1"/>
                <w:kern w:val="0"/>
                <w:sz w:val="24"/>
                <w:szCs w:val="24"/>
                <w:lang w:val="en-US" w:eastAsia="zh-CN"/>
                <w14:textFill>
                  <w14:solidFill>
                    <w14:schemeClr w14:val="tx1"/>
                  </w14:solidFill>
                </w14:textFill>
              </w:rPr>
              <w:t>min</w:t>
            </w:r>
            <w:r>
              <w:rPr>
                <w:rFonts w:hint="default" w:ascii="Times New Roman" w:hAnsi="Times New Roman" w:cs="Times New Roman"/>
                <w:color w:val="000000" w:themeColor="text1"/>
                <w:kern w:val="0"/>
                <w:sz w:val="24"/>
                <w:szCs w:val="24"/>
                <w14:textFill>
                  <w14:solidFill>
                    <w14:schemeClr w14:val="tx1"/>
                  </w14:solidFill>
                </w14:textFill>
              </w:rPr>
              <w:t>即可。</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（3）编笼、装配、张拉</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钢棒经自动编笼、点焊后形成钢筋骨架（焊接采用的是滚焊机无焊条进行焊接，将钢筋进行固定），与模板装配成型。将搅拌好的混凝土放进准备好的模具内。然后张拉钢棒，以达到需要的预应力。</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（4）离心成型</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将张拉后“半成品”放入离心机上，进行离心处理，以使物料成型。</w:t>
            </w:r>
          </w:p>
          <w:p>
            <w:pPr>
              <w:pStyle w:val="101"/>
              <w:keepNext w:val="0"/>
              <w:keepLines w:val="0"/>
              <w:pageBreakBefore w:val="0"/>
              <w:widowControl/>
              <w:numPr>
                <w:ilvl w:val="0"/>
                <w:numId w:val="3"/>
              </w:numPr>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养护</w:t>
            </w:r>
          </w:p>
          <w:p>
            <w:pPr>
              <w:pStyle w:val="101"/>
              <w:keepNext w:val="0"/>
              <w:keepLines w:val="0"/>
              <w:pageBreakBefore w:val="0"/>
              <w:widowControl/>
              <w:numPr>
                <w:ilvl w:val="0"/>
                <w:numId w:val="0"/>
              </w:numPr>
              <w:kinsoku/>
              <w:wordWrap/>
              <w:overflowPunct/>
              <w:topLinePunct w:val="0"/>
              <w:bidi w:val="0"/>
              <w:snapToGrid/>
              <w:spacing w:line="360" w:lineRule="auto"/>
              <w:ind w:firstLine="480" w:firstLineChars="20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将离心好的“半成品”放入蒸压釜内蒸压养护，保持釜内温度 90 度，养护6h。</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6</w:t>
            </w:r>
            <w:r>
              <w:rPr>
                <w:rFonts w:hint="default" w:ascii="Times New Roman" w:hAnsi="Times New Roman" w:cs="Times New Roman"/>
                <w:color w:val="000000" w:themeColor="text1"/>
                <w:kern w:val="0"/>
                <w:sz w:val="24"/>
                <w:szCs w:val="24"/>
                <w14:textFill>
                  <w14:solidFill>
                    <w14:schemeClr w14:val="tx1"/>
                  </w14:solidFill>
                </w14:textFill>
              </w:rPr>
              <w:t>）拆模</w:t>
            </w:r>
          </w:p>
          <w:p>
            <w:pPr>
              <w:pStyle w:val="101"/>
              <w:keepNext w:val="0"/>
              <w:keepLines w:val="0"/>
              <w:pageBreakBefore w:val="0"/>
              <w:widowControl/>
              <w:kinsoku/>
              <w:wordWrap/>
              <w:overflowPunct/>
              <w:topLinePunct w:val="0"/>
              <w:bidi w:val="0"/>
              <w:snapToGrid/>
              <w:spacing w:line="360" w:lineRule="auto"/>
              <w:ind w:firstLineChars="0"/>
              <w:jc w:val="both"/>
              <w:rPr>
                <w:rFonts w:hint="eastAsia" w:ascii="宋体" w:hAnsi="宋体"/>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将养护后成品</w:t>
            </w:r>
            <w:r>
              <w:rPr>
                <w:rFonts w:hint="eastAsia" w:ascii="宋体" w:hAnsi="宋体"/>
                <w:color w:val="000000" w:themeColor="text1"/>
                <w:kern w:val="0"/>
                <w:sz w:val="24"/>
                <w:szCs w:val="24"/>
                <w14:textFill>
                  <w14:solidFill>
                    <w14:schemeClr w14:val="tx1"/>
                  </w14:solidFill>
                </w14:textFill>
              </w:rPr>
              <w:t>从釜内取出，自然冷却后拆除模板，得到产品。</w:t>
            </w:r>
          </w:p>
          <w:p>
            <w:pPr>
              <w:keepNext w:val="0"/>
              <w:keepLines w:val="0"/>
              <w:pageBreakBefore w:val="0"/>
              <w:kinsoku/>
              <w:wordWrap/>
              <w:overflowPunct/>
              <w:topLinePunct w:val="0"/>
              <w:bidi w:val="0"/>
              <w:snapToGrid/>
              <w:spacing w:line="360" w:lineRule="auto"/>
              <w:ind w:firstLine="482" w:firstLineChars="200"/>
              <w:jc w:val="both"/>
              <w:textAlignment w:val="baseline"/>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产污分析说明：</w:t>
            </w:r>
          </w:p>
          <w:p>
            <w:pPr>
              <w:pStyle w:val="101"/>
              <w:keepNext w:val="0"/>
              <w:keepLines w:val="0"/>
              <w:pageBreakBefore w:val="0"/>
              <w:widowControl/>
              <w:kinsoku/>
              <w:wordWrap/>
              <w:overflowPunct/>
              <w:topLinePunct w:val="0"/>
              <w:bidi w:val="0"/>
              <w:snapToGrid/>
              <w:spacing w:line="360" w:lineRule="auto"/>
              <w:ind w:firstLineChars="0"/>
              <w:jc w:val="both"/>
              <w:rPr>
                <w:rFonts w:hint="default" w:ascii="宋体" w:hAnsi="宋体" w:eastAsia="宋体"/>
                <w:color w:val="000000" w:themeColor="text1"/>
                <w:kern w:val="0"/>
                <w:sz w:val="24"/>
                <w:szCs w:val="24"/>
                <w:lang w:val="en-US" w:eastAsia="zh-CN"/>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（1）</w:t>
            </w:r>
            <w:r>
              <w:rPr>
                <w:rFonts w:hint="eastAsia" w:ascii="宋体" w:hAnsi="宋体"/>
                <w:color w:val="000000" w:themeColor="text1"/>
                <w:kern w:val="0"/>
                <w:sz w:val="24"/>
                <w:szCs w:val="24"/>
                <w:lang w:val="en-US" w:eastAsia="zh-CN"/>
                <w14:textFill>
                  <w14:solidFill>
                    <w14:schemeClr w14:val="tx1"/>
                  </w14:solidFill>
                </w14:textFill>
              </w:rPr>
              <w:t>废气：本项目废气主要为焊接烟尘、原料运输、储存粉尘、锅炉烟气和搅拌混料粉尘；</w:t>
            </w:r>
          </w:p>
          <w:p>
            <w:pPr>
              <w:pStyle w:val="101"/>
              <w:keepNext w:val="0"/>
              <w:keepLines w:val="0"/>
              <w:pageBreakBefore w:val="0"/>
              <w:widowControl/>
              <w:kinsoku/>
              <w:wordWrap/>
              <w:overflowPunct/>
              <w:topLinePunct w:val="0"/>
              <w:bidi w:val="0"/>
              <w:snapToGrid/>
              <w:spacing w:line="360" w:lineRule="auto"/>
              <w:ind w:firstLineChars="0"/>
              <w:jc w:val="both"/>
              <w:rPr>
                <w:rFonts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lang w:eastAsia="zh-CN"/>
                <w14:textFill>
                  <w14:solidFill>
                    <w14:schemeClr w14:val="tx1"/>
                  </w14:solidFill>
                </w14:textFill>
              </w:rPr>
              <w:t>（</w:t>
            </w:r>
            <w:r>
              <w:rPr>
                <w:rFonts w:hint="eastAsia" w:ascii="宋体" w:hAnsi="宋体"/>
                <w:color w:val="000000" w:themeColor="text1"/>
                <w:kern w:val="0"/>
                <w:sz w:val="24"/>
                <w:szCs w:val="24"/>
                <w:lang w:val="en-US" w:eastAsia="zh-CN"/>
                <w14:textFill>
                  <w14:solidFill>
                    <w14:schemeClr w14:val="tx1"/>
                  </w14:solidFill>
                </w14:textFill>
              </w:rPr>
              <w:t>2</w:t>
            </w:r>
            <w:r>
              <w:rPr>
                <w:rFonts w:hint="eastAsia" w:ascii="宋体" w:hAnsi="宋体"/>
                <w:color w:val="000000" w:themeColor="text1"/>
                <w:kern w:val="0"/>
                <w:sz w:val="24"/>
                <w:szCs w:val="24"/>
                <w:lang w:eastAsia="zh-CN"/>
                <w14:textFill>
                  <w14:solidFill>
                    <w14:schemeClr w14:val="tx1"/>
                  </w14:solidFill>
                </w14:textFill>
              </w:rPr>
              <w:t>）</w:t>
            </w:r>
            <w:r>
              <w:rPr>
                <w:rFonts w:hint="eastAsia" w:ascii="宋体" w:hAnsi="宋体"/>
                <w:color w:val="000000" w:themeColor="text1"/>
                <w:kern w:val="0"/>
                <w:sz w:val="24"/>
                <w:szCs w:val="24"/>
                <w14:textFill>
                  <w14:solidFill>
                    <w14:schemeClr w14:val="tx1"/>
                  </w14:solidFill>
                </w14:textFill>
              </w:rPr>
              <w:t>废水：本项目废水主要为</w:t>
            </w:r>
            <w:r>
              <w:rPr>
                <w:rFonts w:hint="eastAsia" w:ascii="宋体" w:hAnsi="宋体"/>
                <w:color w:val="000000" w:themeColor="text1"/>
                <w:kern w:val="0"/>
                <w:sz w:val="24"/>
                <w:szCs w:val="24"/>
                <w:lang w:val="en-US" w:eastAsia="zh-CN"/>
                <w14:textFill>
                  <w14:solidFill>
                    <w14:schemeClr w14:val="tx1"/>
                  </w14:solidFill>
                </w14:textFill>
              </w:rPr>
              <w:t>生产废水，包括锅炉废水，</w:t>
            </w:r>
            <w:r>
              <w:rPr>
                <w:rFonts w:hint="eastAsia" w:ascii="宋体" w:hAnsi="宋体"/>
                <w:color w:val="000000" w:themeColor="text1"/>
                <w:kern w:val="0"/>
                <w:sz w:val="24"/>
                <w:szCs w:val="24"/>
                <w14:textFill>
                  <w14:solidFill>
                    <w14:schemeClr w14:val="tx1"/>
                  </w14:solidFill>
                </w14:textFill>
              </w:rPr>
              <w:t xml:space="preserve">和员工生活污水； </w:t>
            </w:r>
          </w:p>
          <w:p>
            <w:pPr>
              <w:pStyle w:val="101"/>
              <w:keepNext w:val="0"/>
              <w:keepLines w:val="0"/>
              <w:pageBreakBefore w:val="0"/>
              <w:widowControl/>
              <w:kinsoku/>
              <w:wordWrap/>
              <w:overflowPunct/>
              <w:topLinePunct w:val="0"/>
              <w:bidi w:val="0"/>
              <w:snapToGrid/>
              <w:spacing w:line="360" w:lineRule="auto"/>
              <w:ind w:firstLineChars="0"/>
              <w:jc w:val="both"/>
              <w:rPr>
                <w:rFonts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（2）噪声：本项目噪声主要为生产设备所产生的噪声；</w:t>
            </w:r>
          </w:p>
          <w:p>
            <w:pPr>
              <w:pStyle w:val="101"/>
              <w:keepNext w:val="0"/>
              <w:keepLines w:val="0"/>
              <w:pageBreakBefore w:val="0"/>
              <w:widowControl/>
              <w:kinsoku/>
              <w:wordWrap/>
              <w:overflowPunct/>
              <w:topLinePunct w:val="0"/>
              <w:bidi w:val="0"/>
              <w:snapToGrid/>
              <w:spacing w:line="360" w:lineRule="auto"/>
              <w:ind w:firstLineChars="0"/>
              <w:jc w:val="both"/>
              <w:rPr>
                <w:color w:val="000000" w:themeColor="text1"/>
                <w14:textFill>
                  <w14:solidFill>
                    <w14:schemeClr w14:val="tx1"/>
                  </w14:solidFill>
                </w14:textFill>
              </w:rPr>
            </w:pPr>
            <w:r>
              <w:rPr>
                <w:rFonts w:hint="eastAsia" w:ascii="宋体" w:hAnsi="宋体"/>
                <w:color w:val="000000" w:themeColor="text1"/>
                <w:kern w:val="0"/>
                <w:sz w:val="24"/>
                <w14:textFill>
                  <w14:solidFill>
                    <w14:schemeClr w14:val="tx1"/>
                  </w14:solidFill>
                </w14:textFill>
              </w:rPr>
              <w:t>（3）固体废物：本项目固废主要为</w:t>
            </w:r>
            <w:r>
              <w:rPr>
                <w:rFonts w:hint="eastAsia" w:ascii="宋体" w:hAnsi="宋体"/>
                <w:color w:val="000000" w:themeColor="text1"/>
                <w:kern w:val="0"/>
                <w:sz w:val="24"/>
                <w:lang w:val="en-US" w:eastAsia="zh-CN"/>
                <w14:textFill>
                  <w14:solidFill>
                    <w14:schemeClr w14:val="tx1"/>
                  </w14:solidFill>
                </w14:textFill>
              </w:rPr>
              <w:t>混凝土渣、废铁渣、废例子交换树脂</w:t>
            </w:r>
            <w:r>
              <w:rPr>
                <w:rFonts w:hint="eastAsia" w:ascii="宋体" w:hAnsi="宋体"/>
                <w:color w:val="000000" w:themeColor="text1"/>
                <w:sz w:val="24"/>
                <w14:textFill>
                  <w14:solidFill>
                    <w14:schemeClr w14:val="tx1"/>
                  </w14:solidFill>
                </w14:textFill>
              </w:rPr>
              <w:t>和生活垃圾。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454" w:type="dxa"/>
            <w:vAlign w:val="center"/>
          </w:tcPr>
          <w:p>
            <w:pPr>
              <w:pStyle w:val="20"/>
              <w:adjustRightInd w:val="0"/>
              <w:snapToGrid w:val="0"/>
              <w:spacing w:before="0" w:beforeAutospacing="0" w:after="0" w:afterAutospacing="0"/>
              <w:jc w:val="center"/>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bCs/>
                <w:color w:val="000000" w:themeColor="text1"/>
                <w:kern w:val="2"/>
                <w:szCs w:val="21"/>
                <w14:textFill>
                  <w14:solidFill>
                    <w14:schemeClr w14:val="tx1"/>
                  </w14:solidFill>
                </w14:textFill>
              </w:rPr>
              <w:t>与项目有关的原有环境污染问题</w:t>
            </w:r>
          </w:p>
        </w:tc>
        <w:tc>
          <w:tcPr>
            <w:tcW w:w="8606" w:type="dxa"/>
          </w:tcPr>
          <w:p>
            <w:pPr>
              <w:spacing w:line="56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本项目为新建</w:t>
            </w:r>
            <w:r>
              <w:rPr>
                <w:rFonts w:hint="eastAsia"/>
                <w:color w:val="000000" w:themeColor="text1"/>
                <w:sz w:val="24"/>
                <w:lang w:val="en-US" w:eastAsia="zh-CN"/>
                <w14:textFill>
                  <w14:solidFill>
                    <w14:schemeClr w14:val="tx1"/>
                  </w14:solidFill>
                </w14:textFill>
              </w:rPr>
              <w:t>项目</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项目区厂房为租赁胡杨河经济技术开发区南区高新技术孵化园内已建厂房，未安装生产设备，未生产、生活，未产生污染物，租赁协议见附件。项目区</w:t>
            </w:r>
            <w:r>
              <w:rPr>
                <w:rFonts w:hint="eastAsia"/>
                <w:color w:val="000000" w:themeColor="text1"/>
                <w:sz w:val="24"/>
                <w14:textFill>
                  <w14:solidFill>
                    <w14:schemeClr w14:val="tx1"/>
                  </w14:solidFill>
                </w14:textFill>
              </w:rPr>
              <w:t>无原有环境污染问题。</w:t>
            </w:r>
          </w:p>
          <w:p>
            <w:pPr>
              <w:pStyle w:val="6"/>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6"/>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tc>
      </w:tr>
    </w:tbl>
    <w:p>
      <w:pPr>
        <w:pStyle w:val="20"/>
        <w:jc w:val="center"/>
        <w:rPr>
          <w:rFonts w:ascii="黑体" w:hAnsi="黑体"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0"/>
        <w:adjustRightInd w:val="0"/>
        <w:snapToGrid w:val="0"/>
        <w:spacing w:before="0" w:beforeAutospacing="0" w:after="0" w:afterAutospacing="0" w:line="14" w:lineRule="auto"/>
        <w:jc w:val="center"/>
        <w:rPr>
          <w:rFonts w:ascii="黑体" w:hAnsi="黑体" w:eastAsia="黑体"/>
          <w:snapToGrid w:val="0"/>
          <w:color w:val="000000" w:themeColor="text1"/>
          <w:sz w:val="30"/>
          <w:szCs w:val="30"/>
          <w14:textFill>
            <w14:solidFill>
              <w14:schemeClr w14:val="tx1"/>
            </w14:solidFill>
          </w14:textFill>
        </w:rPr>
      </w:pPr>
    </w:p>
    <w:p>
      <w:pPr>
        <w:pStyle w:val="2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800" w:type="dxa"/>
            <w:vAlign w:val="center"/>
          </w:tcPr>
          <w:p>
            <w:pPr>
              <w:adjustRightInd w:val="0"/>
              <w:snapToGrid w:val="0"/>
              <w:jc w:val="center"/>
              <w:rPr>
                <w:rFonts w:cs="宋体"/>
                <w:color w:val="000000" w:themeColor="text1"/>
                <w:kern w:val="0"/>
                <w:sz w:val="24"/>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区域</w:t>
            </w:r>
          </w:p>
          <w:p>
            <w:pPr>
              <w:adjustRightInd w:val="0"/>
              <w:snapToGrid w:val="0"/>
              <w:jc w:val="center"/>
              <w:rPr>
                <w:rFonts w:cs="宋体"/>
                <w:color w:val="000000" w:themeColor="text1"/>
                <w:kern w:val="0"/>
                <w:sz w:val="24"/>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环境</w:t>
            </w:r>
          </w:p>
          <w:p>
            <w:pPr>
              <w:adjustRightInd w:val="0"/>
              <w:snapToGrid w:val="0"/>
              <w:jc w:val="center"/>
              <w:rPr>
                <w:rFonts w:cs="宋体"/>
                <w:color w:val="000000" w:themeColor="text1"/>
                <w:kern w:val="0"/>
                <w:sz w:val="24"/>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质量</w:t>
            </w:r>
          </w:p>
          <w:p>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现状</w:t>
            </w:r>
          </w:p>
        </w:tc>
        <w:tc>
          <w:tcPr>
            <w:tcW w:w="8190" w:type="dxa"/>
            <w:vAlign w:val="center"/>
          </w:tcPr>
          <w:p>
            <w:pPr>
              <w:keepNext/>
              <w:keepLines/>
              <w:adjustRightInd w:val="0"/>
              <w:snapToGrid w:val="0"/>
              <w:spacing w:line="360" w:lineRule="auto"/>
              <w:ind w:firstLine="482" w:firstLineChars="200"/>
              <w:rPr>
                <w:b/>
                <w:bCs/>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环境空气</w:t>
            </w:r>
          </w:p>
          <w:p>
            <w:pPr>
              <w:pStyle w:val="52"/>
              <w:adjustRightInd w:val="0"/>
              <w:snapToGrid w:val="0"/>
              <w:ind w:firstLine="482" w:firstLineChars="200"/>
              <w:rPr>
                <w:b/>
                <w:color w:val="000000" w:themeColor="text1"/>
                <w14:textFill>
                  <w14:solidFill>
                    <w14:schemeClr w14:val="tx1"/>
                  </w14:solidFill>
                </w14:textFill>
              </w:rPr>
            </w:pPr>
            <w:bookmarkStart w:id="9" w:name="_Hlk17886472"/>
            <w:r>
              <w:rPr>
                <w:rFonts w:hint="eastAsia"/>
                <w:b/>
                <w:color w:val="000000" w:themeColor="text1"/>
                <w14:textFill>
                  <w14:solidFill>
                    <w14:schemeClr w14:val="tx1"/>
                  </w14:solidFill>
                </w14:textFill>
              </w:rPr>
              <w:t>1.1达标区判定</w:t>
            </w:r>
          </w:p>
          <w:p>
            <w:pPr>
              <w:pStyle w:val="52"/>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《环境影响评价技术导则 大气环境》（HJ2.2-2018）规定：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城市环境空气质量达标情况评价指标为SO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、CO和O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，六项污染物全部达标即为城市环境空气质量达标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根据《建设项目环境影响报告表编制技术指南 （污染影响类）（试行）》</w:t>
            </w:r>
            <w:r>
              <w:rPr>
                <w:color w:val="000000" w:themeColor="text1"/>
                <w:sz w:val="24"/>
                <w14:textFill>
                  <w14:solidFill>
                    <w14:schemeClr w14:val="tx1"/>
                  </w14:solidFill>
                </w14:textFill>
              </w:rPr>
              <w:t>，大气常规因子可直接采用国家或地方生态环保主管部门公开发布的评价基准年环境质量公告或环境质量报告中的数据或结论。本次</w:t>
            </w:r>
            <w:r>
              <w:rPr>
                <w:rFonts w:hint="eastAsia"/>
                <w:color w:val="000000" w:themeColor="text1"/>
                <w:sz w:val="24"/>
                <w14:textFill>
                  <w14:solidFill>
                    <w14:schemeClr w14:val="tx1"/>
                  </w14:solidFill>
                </w14:textFill>
              </w:rPr>
              <w:t>引</w:t>
            </w:r>
            <w:r>
              <w:rPr>
                <w:color w:val="000000" w:themeColor="text1"/>
                <w:sz w:val="24"/>
                <w14:textFill>
                  <w14:solidFill>
                    <w14:schemeClr w14:val="tx1"/>
                  </w14:solidFill>
                </w14:textFill>
              </w:rPr>
              <w:t>用</w:t>
            </w:r>
            <w:r>
              <w:rPr>
                <w:rFonts w:hint="eastAsia"/>
                <w:color w:val="000000" w:themeColor="text1"/>
                <w:sz w:val="24"/>
                <w:lang w:val="en-US" w:eastAsia="zh-CN"/>
                <w14:textFill>
                  <w14:solidFill>
                    <w14:schemeClr w14:val="tx1"/>
                  </w14:solidFill>
                </w14:textFill>
              </w:rPr>
              <w:t>最</w:t>
            </w:r>
            <w:r>
              <w:rPr>
                <w:rFonts w:hint="eastAsia"/>
                <w:color w:val="000000" w:themeColor="text1"/>
                <w:sz w:val="24"/>
                <w14:textFill>
                  <w14:solidFill>
                    <w14:schemeClr w14:val="tx1"/>
                  </w14:solidFill>
                </w14:textFill>
              </w:rPr>
              <w:t>近的</w:t>
            </w:r>
            <w:r>
              <w:rPr>
                <w:rFonts w:hint="eastAsia"/>
                <w:color w:val="000000" w:themeColor="text1"/>
                <w:sz w:val="24"/>
                <w:lang w:val="en-US" w:eastAsia="zh-CN"/>
                <w14:textFill>
                  <w14:solidFill>
                    <w14:schemeClr w14:val="tx1"/>
                  </w14:solidFill>
                </w14:textFill>
              </w:rPr>
              <w:t>克拉玛依监测站点</w:t>
            </w:r>
            <w:r>
              <w:rPr>
                <w:rFonts w:hint="eastAsia"/>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环境空气质量数据。</w:t>
            </w:r>
            <w:bookmarkEnd w:id="9"/>
          </w:p>
          <w:p>
            <w:pPr>
              <w:pStyle w:val="20"/>
              <w:spacing w:before="0" w:beforeAutospacing="0" w:after="0" w:afterAutospacing="0" w:line="360" w:lineRule="auto"/>
              <w:ind w:firstLine="480" w:firstLineChars="200"/>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（1）评价标准</w:t>
            </w:r>
          </w:p>
          <w:p>
            <w:pPr>
              <w:spacing w:line="360" w:lineRule="auto"/>
              <w:ind w:firstLine="480"/>
              <w:rPr>
                <w:bCs/>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本次环境空气质量现状评价常规因子执行《环境空气质量标准》（</w:t>
            </w:r>
            <w:r>
              <w:rPr>
                <w:color w:val="000000" w:themeColor="text1"/>
                <w:sz w:val="24"/>
                <w:szCs w:val="21"/>
                <w14:textFill>
                  <w14:solidFill>
                    <w14:schemeClr w14:val="tx1"/>
                  </w14:solidFill>
                </w14:textFill>
              </w:rPr>
              <w:t>GB3095-2012</w:t>
            </w:r>
            <w:r>
              <w:rPr>
                <w:rFonts w:hint="eastAsia"/>
                <w:color w:val="000000" w:themeColor="text1"/>
                <w:sz w:val="24"/>
                <w:szCs w:val="21"/>
                <w14:textFill>
                  <w14:solidFill>
                    <w14:schemeClr w14:val="tx1"/>
                  </w14:solidFill>
                </w14:textFill>
              </w:rPr>
              <w:t>）中的二级标准</w:t>
            </w:r>
            <w:r>
              <w:rPr>
                <w:rFonts w:hint="eastAsia"/>
                <w:bCs/>
                <w:color w:val="000000" w:themeColor="text1"/>
                <w:sz w:val="24"/>
                <w:szCs w:val="21"/>
                <w14:textFill>
                  <w14:solidFill>
                    <w14:schemeClr w14:val="tx1"/>
                  </w14:solidFill>
                </w14:textFill>
              </w:rPr>
              <w:t>。</w:t>
            </w:r>
          </w:p>
          <w:p>
            <w:pPr>
              <w:adjustRightInd w:val="0"/>
              <w:snapToGrid w:val="0"/>
              <w:spacing w:line="360" w:lineRule="auto"/>
              <w:ind w:firstLine="480" w:firstLineChars="200"/>
              <w:rPr>
                <w:snapToGrid w:val="0"/>
                <w:color w:val="000000" w:themeColor="text1"/>
                <w:sz w:val="24"/>
                <w:szCs w:val="22"/>
                <w14:textFill>
                  <w14:solidFill>
                    <w14:schemeClr w14:val="tx1"/>
                  </w14:solidFill>
                </w14:textFill>
              </w:rPr>
            </w:pPr>
            <w:r>
              <w:rPr>
                <w:rFonts w:hint="eastAsia"/>
                <w:snapToGrid w:val="0"/>
                <w:color w:val="000000" w:themeColor="text1"/>
                <w:sz w:val="24"/>
                <w:szCs w:val="22"/>
                <w14:textFill>
                  <w14:solidFill>
                    <w14:schemeClr w14:val="tx1"/>
                  </w14:solidFill>
                </w14:textFill>
              </w:rPr>
              <w:t>（2）评价方法</w:t>
            </w:r>
          </w:p>
          <w:p>
            <w:pPr>
              <w:overflowPunct w:val="0"/>
              <w:adjustRightInd w:val="0"/>
              <w:snapToGrid w:val="0"/>
              <w:spacing w:line="360" w:lineRule="auto"/>
              <w:ind w:firstLine="480" w:firstLineChars="200"/>
              <w:rPr>
                <w:snapToGrid w:val="0"/>
                <w:color w:val="000000" w:themeColor="text1"/>
                <w:sz w:val="24"/>
                <w:szCs w:val="22"/>
                <w14:textFill>
                  <w14:solidFill>
                    <w14:schemeClr w14:val="tx1"/>
                  </w14:solidFill>
                </w14:textFill>
              </w:rPr>
            </w:pPr>
            <w:r>
              <w:rPr>
                <w:rFonts w:hint="eastAsia"/>
                <w:snapToGrid w:val="0"/>
                <w:color w:val="000000" w:themeColor="text1"/>
                <w:sz w:val="24"/>
                <w:szCs w:val="22"/>
                <w14:textFill>
                  <w14:solidFill>
                    <w14:schemeClr w14:val="tx1"/>
                  </w14:solidFill>
                </w14:textFill>
              </w:rPr>
              <w:t>评价方法采用最大质量浓度占相应标准质量浓度限值的百分比。计算公式如下：</w:t>
            </w:r>
          </w:p>
          <w:p>
            <w:pPr>
              <w:spacing w:line="360" w:lineRule="auto"/>
              <w:ind w:firstLine="3120" w:firstLineChars="1300"/>
              <w:rPr>
                <w:color w:val="000000" w:themeColor="text1"/>
                <w:sz w:val="24"/>
                <w14:textFill>
                  <w14:solidFill>
                    <w14:schemeClr w14:val="tx1"/>
                  </w14:solidFill>
                </w14:textFill>
              </w:rPr>
            </w:pPr>
            <w:r>
              <w:rPr>
                <w:color w:val="000000" w:themeColor="text1"/>
                <w:sz w:val="24"/>
                <w14:textFill>
                  <w14:solidFill>
                    <w14:schemeClr w14:val="tx1"/>
                  </w14:solidFill>
                </w14:textFill>
              </w:rPr>
              <w:t>P</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oi</w:t>
            </w:r>
            <w:r>
              <w:rPr>
                <w:color w:val="000000" w:themeColor="text1"/>
                <w:sz w:val="24"/>
                <w14:textFill>
                  <w14:solidFill>
                    <w14:schemeClr w14:val="tx1"/>
                  </w14:solidFill>
                </w14:textFill>
              </w:rPr>
              <w:t>×100%</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r>
              <w:rPr>
                <w:color w:val="000000" w:themeColor="text1"/>
                <w:sz w:val="24"/>
                <w14:textFill>
                  <w14:solidFill>
                    <w14:schemeClr w14:val="tx1"/>
                  </w14:solidFill>
                </w14:textFill>
              </w:rPr>
              <w:t>P</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某种污染物的最大地面质量浓度占标率，</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某种污染物的实际监测浓度，</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oi</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某种污染物的环境空气标准浓度，</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numPr>
                <w:ilvl w:val="0"/>
                <w:numId w:val="4"/>
              </w:numPr>
              <w:overflowPunct w:val="0"/>
              <w:adjustRightInd w:val="0"/>
              <w:snapToGrid w:val="0"/>
              <w:spacing w:line="360" w:lineRule="auto"/>
              <w:ind w:firstLine="480" w:firstLineChars="200"/>
              <w:rPr>
                <w:snapToGrid w:val="0"/>
                <w:color w:val="000000" w:themeColor="text1"/>
                <w:sz w:val="24"/>
                <w:szCs w:val="22"/>
                <w14:textFill>
                  <w14:solidFill>
                    <w14:schemeClr w14:val="tx1"/>
                  </w14:solidFill>
                </w14:textFill>
              </w:rPr>
            </w:pPr>
            <w:r>
              <w:rPr>
                <w:rFonts w:hint="eastAsia"/>
                <w:snapToGrid w:val="0"/>
                <w:color w:val="000000" w:themeColor="text1"/>
                <w:sz w:val="24"/>
                <w:szCs w:val="22"/>
                <w14:textFill>
                  <w14:solidFill>
                    <w14:schemeClr w14:val="tx1"/>
                  </w14:solidFill>
                </w14:textFill>
              </w:rPr>
              <w:t>监测结果及评价</w:t>
            </w:r>
          </w:p>
          <w:p>
            <w:pPr>
              <w:spacing w:line="360" w:lineRule="auto"/>
              <w:ind w:firstLine="422" w:firstLineChars="200"/>
              <w:jc w:val="center"/>
              <w:rPr>
                <w:rFonts w:hint="eastAsia"/>
                <w:b/>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表3-1  </w:t>
            </w:r>
            <w:r>
              <w:rPr>
                <w:b/>
                <w:color w:val="000000" w:themeColor="text1"/>
                <w:szCs w:val="21"/>
                <w14:textFill>
                  <w14:solidFill>
                    <w14:schemeClr w14:val="tx1"/>
                  </w14:solidFill>
                </w14:textFill>
              </w:rPr>
              <w:t>区域空气质量现状评价表</w:t>
            </w:r>
            <w:r>
              <w:rPr>
                <w:rFonts w:hint="eastAsia"/>
                <w:b/>
                <w:color w:val="000000" w:themeColor="text1"/>
                <w:szCs w:val="21"/>
                <w14:textFill>
                  <w14:solidFill>
                    <w14:schemeClr w14:val="tx1"/>
                  </w14:solidFill>
                </w14:textFill>
              </w:rPr>
              <w:t xml:space="preserve">   </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3155"/>
              <w:gridCol w:w="1050"/>
              <w:gridCol w:w="994"/>
              <w:gridCol w:w="94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noWrap w:val="0"/>
                  <w:vAlign w:val="center"/>
                </w:tcPr>
                <w:p>
                  <w:pPr>
                    <w:pStyle w:val="20"/>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4"/>
                      <w:kern w:val="2"/>
                      <w:sz w:val="21"/>
                      <w:szCs w:val="21"/>
                      <w:lang w:val="en-US" w:eastAsia="zh-CN" w:bidi="ar"/>
                      <w14:textFill>
                        <w14:solidFill>
                          <w14:schemeClr w14:val="tx1"/>
                        </w14:solidFill>
                      </w14:textFill>
                    </w:rPr>
                    <w:t>污染物</w:t>
                  </w:r>
                </w:p>
              </w:tc>
              <w:tc>
                <w:tcPr>
                  <w:tcW w:w="1980" w:type="pct"/>
                  <w:noWrap w:val="0"/>
                  <w:vAlign w:val="center"/>
                </w:tcPr>
                <w:p>
                  <w:pPr>
                    <w:pStyle w:val="20"/>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4"/>
                      <w:kern w:val="2"/>
                      <w:sz w:val="21"/>
                      <w:szCs w:val="21"/>
                      <w:lang w:val="en-US" w:eastAsia="zh-CN" w:bidi="ar"/>
                      <w14:textFill>
                        <w14:solidFill>
                          <w14:schemeClr w14:val="tx1"/>
                        </w14:solidFill>
                      </w14:textFill>
                    </w:rPr>
                    <w:t>年评价指标</w:t>
                  </w:r>
                </w:p>
              </w:tc>
              <w:tc>
                <w:tcPr>
                  <w:tcW w:w="659" w:type="pct"/>
                  <w:noWrap w:val="0"/>
                  <w:vAlign w:val="center"/>
                </w:tcPr>
                <w:p>
                  <w:pPr>
                    <w:pStyle w:val="20"/>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spacing w:val="-4"/>
                      <w:kern w:val="2"/>
                      <w:sz w:val="21"/>
                      <w:szCs w:val="21"/>
                      <w:lang w:val="en-US" w:eastAsia="zh-CN" w:bidi="ar"/>
                      <w14:textFill>
                        <w14:solidFill>
                          <w14:schemeClr w14:val="tx1"/>
                        </w14:solidFill>
                      </w14:textFill>
                    </w:rPr>
                    <w:t>现状浓度</w:t>
                  </w:r>
                  <w: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t>µg/m</w:t>
                  </w:r>
                  <w:r>
                    <w:rPr>
                      <w:rFonts w:hint="default" w:ascii="Times New Roman" w:hAnsi="Times New Roman" w:eastAsia="宋体" w:cs="Times New Roman"/>
                      <w:b/>
                      <w:bCs/>
                      <w:color w:val="000000" w:themeColor="text1"/>
                      <w:kern w:val="2"/>
                      <w:sz w:val="21"/>
                      <w:szCs w:val="21"/>
                      <w:vertAlign w:val="superscript"/>
                      <w:lang w:val="en-US" w:eastAsia="zh-CN" w:bidi="ar"/>
                      <w14:textFill>
                        <w14:solidFill>
                          <w14:schemeClr w14:val="tx1"/>
                        </w14:solidFill>
                      </w14:textFill>
                    </w:rPr>
                    <w:t>3</w:t>
                  </w:r>
                </w:p>
              </w:tc>
              <w:tc>
                <w:tcPr>
                  <w:tcW w:w="624" w:type="pct"/>
                  <w:noWrap w:val="0"/>
                  <w:vAlign w:val="center"/>
                </w:tcPr>
                <w:p>
                  <w:pPr>
                    <w:pStyle w:val="20"/>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t>标准值µg/m</w:t>
                  </w:r>
                  <w:r>
                    <w:rPr>
                      <w:rFonts w:hint="default" w:ascii="Times New Roman" w:hAnsi="Times New Roman" w:eastAsia="宋体" w:cs="Times New Roman"/>
                      <w:b/>
                      <w:bCs/>
                      <w:color w:val="000000" w:themeColor="text1"/>
                      <w:kern w:val="2"/>
                      <w:sz w:val="21"/>
                      <w:szCs w:val="21"/>
                      <w:vertAlign w:val="superscript"/>
                      <w:lang w:val="en-US" w:eastAsia="zh-CN" w:bidi="ar"/>
                      <w14:textFill>
                        <w14:solidFill>
                          <w14:schemeClr w14:val="tx1"/>
                        </w14:solidFill>
                      </w14:textFill>
                    </w:rPr>
                    <w:t>3</w:t>
                  </w:r>
                </w:p>
              </w:tc>
              <w:tc>
                <w:tcPr>
                  <w:tcW w:w="590" w:type="pct"/>
                  <w:noWrap w:val="0"/>
                  <w:vAlign w:val="center"/>
                </w:tcPr>
                <w:p>
                  <w:pPr>
                    <w:pStyle w:val="20"/>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t>占标率%</w:t>
                  </w:r>
                </w:p>
              </w:tc>
              <w:tc>
                <w:tcPr>
                  <w:tcW w:w="508" w:type="pct"/>
                  <w:noWrap w:val="0"/>
                  <w:vAlign w:val="center"/>
                </w:tcPr>
                <w:p>
                  <w:pPr>
                    <w:pStyle w:val="20"/>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pacing w:val="-4"/>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35"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SO</w:t>
                  </w:r>
                  <w:r>
                    <w:rPr>
                      <w:rFonts w:hint="default" w:ascii="Times New Roman" w:hAnsi="Times New Roman" w:eastAsia="宋体" w:cs="Times New Roman"/>
                      <w:color w:val="000000" w:themeColor="text1"/>
                      <w:spacing w:val="-4"/>
                      <w:kern w:val="2"/>
                      <w:sz w:val="21"/>
                      <w:szCs w:val="21"/>
                      <w:vertAlign w:val="subscript"/>
                      <w:lang w:val="en-US" w:eastAsia="zh-CN" w:bidi="ar"/>
                      <w14:textFill>
                        <w14:solidFill>
                          <w14:schemeClr w14:val="tx1"/>
                        </w14:solidFill>
                      </w14:textFill>
                    </w:rPr>
                    <w:t>2</w:t>
                  </w:r>
                </w:p>
              </w:tc>
              <w:tc>
                <w:tcPr>
                  <w:tcW w:w="1980"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年平均质量浓度</w:t>
                  </w:r>
                </w:p>
              </w:tc>
              <w:tc>
                <w:tcPr>
                  <w:tcW w:w="1050"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994"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940" w:type="dxa"/>
                  <w:noWrap w:val="0"/>
                  <w:vAlign w:val="center"/>
                </w:tcPr>
                <w:p>
                  <w:pPr>
                    <w:widowControl/>
                    <w:tabs>
                      <w:tab w:val="left" w:pos="1535"/>
                      <w:tab w:val="left" w:pos="3105"/>
                      <w:tab w:val="left" w:pos="4676"/>
                      <w:tab w:val="left" w:pos="6247"/>
                      <w:tab w:val="left" w:pos="7740"/>
                      <w:tab w:val="left" w:pos="9288"/>
                    </w:tabs>
                    <w:adjustRightInd w:val="0"/>
                    <w:snapToGrid w:val="0"/>
                    <w:spacing w:line="240" w:lineRule="atLeast"/>
                    <w:ind w:firstLine="0" w:firstLineChars="0"/>
                    <w:jc w:val="center"/>
                    <w:textAlignment w:val="baseline"/>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11.67</w:t>
                  </w:r>
                </w:p>
              </w:tc>
              <w:tc>
                <w:tcPr>
                  <w:tcW w:w="508"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NO</w:t>
                  </w:r>
                  <w:r>
                    <w:rPr>
                      <w:rFonts w:hint="default" w:ascii="Times New Roman" w:hAnsi="Times New Roman" w:eastAsia="宋体" w:cs="Times New Roman"/>
                      <w:color w:val="000000" w:themeColor="text1"/>
                      <w:spacing w:val="-4"/>
                      <w:kern w:val="2"/>
                      <w:sz w:val="21"/>
                      <w:szCs w:val="21"/>
                      <w:vertAlign w:val="subscript"/>
                      <w:lang w:val="en-US" w:eastAsia="zh-CN" w:bidi="ar"/>
                      <w14:textFill>
                        <w14:solidFill>
                          <w14:schemeClr w14:val="tx1"/>
                        </w14:solidFill>
                      </w14:textFill>
                    </w:rPr>
                    <w:t>2</w:t>
                  </w:r>
                </w:p>
              </w:tc>
              <w:tc>
                <w:tcPr>
                  <w:tcW w:w="1980"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年平均质量浓度</w:t>
                  </w:r>
                </w:p>
              </w:tc>
              <w:tc>
                <w:tcPr>
                  <w:tcW w:w="1050"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994"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940" w:type="dxa"/>
                  <w:noWrap w:val="0"/>
                  <w:vAlign w:val="center"/>
                </w:tcPr>
                <w:p>
                  <w:pPr>
                    <w:widowControl/>
                    <w:tabs>
                      <w:tab w:val="left" w:pos="1535"/>
                      <w:tab w:val="left" w:pos="3105"/>
                      <w:tab w:val="left" w:pos="4676"/>
                      <w:tab w:val="left" w:pos="6247"/>
                      <w:tab w:val="left" w:pos="7740"/>
                      <w:tab w:val="left" w:pos="9288"/>
                    </w:tabs>
                    <w:adjustRightInd w:val="0"/>
                    <w:snapToGrid w:val="0"/>
                    <w:spacing w:line="240" w:lineRule="atLeast"/>
                    <w:ind w:firstLine="0" w:firstLineChars="0"/>
                    <w:jc w:val="center"/>
                    <w:textAlignment w:val="baseline"/>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50</w:t>
                  </w:r>
                </w:p>
              </w:tc>
              <w:tc>
                <w:tcPr>
                  <w:tcW w:w="508"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PM</w:t>
                  </w:r>
                  <w:r>
                    <w:rPr>
                      <w:rFonts w:hint="default" w:ascii="Times New Roman" w:hAnsi="Times New Roman" w:eastAsia="宋体" w:cs="Times New Roman"/>
                      <w:color w:val="000000" w:themeColor="text1"/>
                      <w:spacing w:val="-4"/>
                      <w:kern w:val="2"/>
                      <w:sz w:val="21"/>
                      <w:szCs w:val="21"/>
                      <w:vertAlign w:val="subscript"/>
                      <w:lang w:val="en-US" w:eastAsia="zh-CN" w:bidi="ar"/>
                      <w14:textFill>
                        <w14:solidFill>
                          <w14:schemeClr w14:val="tx1"/>
                        </w14:solidFill>
                      </w14:textFill>
                    </w:rPr>
                    <w:t>10</w:t>
                  </w:r>
                </w:p>
              </w:tc>
              <w:tc>
                <w:tcPr>
                  <w:tcW w:w="1980"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年平均质量浓度</w:t>
                  </w:r>
                </w:p>
              </w:tc>
              <w:tc>
                <w:tcPr>
                  <w:tcW w:w="1050"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w:t>
                  </w:r>
                </w:p>
              </w:tc>
              <w:tc>
                <w:tcPr>
                  <w:tcW w:w="994"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940" w:type="dxa"/>
                  <w:noWrap w:val="0"/>
                  <w:vAlign w:val="center"/>
                </w:tcPr>
                <w:p>
                  <w:pPr>
                    <w:widowControl/>
                    <w:tabs>
                      <w:tab w:val="left" w:pos="1535"/>
                      <w:tab w:val="left" w:pos="3105"/>
                      <w:tab w:val="left" w:pos="4676"/>
                      <w:tab w:val="left" w:pos="6247"/>
                      <w:tab w:val="left" w:pos="7740"/>
                      <w:tab w:val="left" w:pos="9288"/>
                    </w:tabs>
                    <w:adjustRightInd w:val="0"/>
                    <w:snapToGrid w:val="0"/>
                    <w:spacing w:line="240" w:lineRule="atLeast"/>
                    <w:ind w:firstLine="0" w:firstLineChars="0"/>
                    <w:jc w:val="center"/>
                    <w:textAlignment w:val="baseline"/>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71.43</w:t>
                  </w:r>
                </w:p>
              </w:tc>
              <w:tc>
                <w:tcPr>
                  <w:tcW w:w="508"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5"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PM</w:t>
                  </w:r>
                  <w:r>
                    <w:rPr>
                      <w:rFonts w:hint="default" w:ascii="Times New Roman" w:hAnsi="Times New Roman" w:eastAsia="宋体" w:cs="Times New Roman"/>
                      <w:color w:val="000000" w:themeColor="text1"/>
                      <w:spacing w:val="-4"/>
                      <w:kern w:val="2"/>
                      <w:sz w:val="21"/>
                      <w:szCs w:val="21"/>
                      <w:vertAlign w:val="subscript"/>
                      <w:lang w:val="en-US" w:eastAsia="zh-CN" w:bidi="ar"/>
                      <w14:textFill>
                        <w14:solidFill>
                          <w14:schemeClr w14:val="tx1"/>
                        </w14:solidFill>
                      </w14:textFill>
                    </w:rPr>
                    <w:t>2.5</w:t>
                  </w:r>
                </w:p>
              </w:tc>
              <w:tc>
                <w:tcPr>
                  <w:tcW w:w="1980"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年平均质量浓度</w:t>
                  </w:r>
                </w:p>
              </w:tc>
              <w:tc>
                <w:tcPr>
                  <w:tcW w:w="1050"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26</w:t>
                  </w:r>
                </w:p>
              </w:tc>
              <w:tc>
                <w:tcPr>
                  <w:tcW w:w="994"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940" w:type="dxa"/>
                  <w:noWrap w:val="0"/>
                  <w:vAlign w:val="center"/>
                </w:tcPr>
                <w:p>
                  <w:pPr>
                    <w:widowControl/>
                    <w:tabs>
                      <w:tab w:val="left" w:pos="1535"/>
                      <w:tab w:val="left" w:pos="3105"/>
                      <w:tab w:val="left" w:pos="4676"/>
                      <w:tab w:val="left" w:pos="6247"/>
                      <w:tab w:val="left" w:pos="7740"/>
                      <w:tab w:val="left" w:pos="9288"/>
                    </w:tabs>
                    <w:adjustRightInd w:val="0"/>
                    <w:snapToGrid w:val="0"/>
                    <w:spacing w:line="240" w:lineRule="atLeast"/>
                    <w:ind w:firstLine="0" w:firstLineChars="0"/>
                    <w:jc w:val="center"/>
                    <w:textAlignment w:val="baseline"/>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74.29</w:t>
                  </w:r>
                </w:p>
              </w:tc>
              <w:tc>
                <w:tcPr>
                  <w:tcW w:w="508"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CO</w:t>
                  </w:r>
                </w:p>
              </w:tc>
              <w:tc>
                <w:tcPr>
                  <w:tcW w:w="1980"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24小时平均第95百分位数</w:t>
                  </w:r>
                </w:p>
              </w:tc>
              <w:tc>
                <w:tcPr>
                  <w:tcW w:w="1050"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1200</w:t>
                  </w:r>
                </w:p>
              </w:tc>
              <w:tc>
                <w:tcPr>
                  <w:tcW w:w="994"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4000</w:t>
                  </w:r>
                </w:p>
              </w:tc>
              <w:tc>
                <w:tcPr>
                  <w:tcW w:w="940" w:type="dxa"/>
                  <w:noWrap w:val="0"/>
                  <w:vAlign w:val="center"/>
                </w:tcPr>
                <w:p>
                  <w:pPr>
                    <w:widowControl/>
                    <w:tabs>
                      <w:tab w:val="left" w:pos="1535"/>
                      <w:tab w:val="left" w:pos="3105"/>
                      <w:tab w:val="left" w:pos="4676"/>
                      <w:tab w:val="left" w:pos="6247"/>
                      <w:tab w:val="left" w:pos="7740"/>
                      <w:tab w:val="left" w:pos="9288"/>
                    </w:tabs>
                    <w:adjustRightInd w:val="0"/>
                    <w:snapToGrid w:val="0"/>
                    <w:spacing w:line="240" w:lineRule="atLeast"/>
                    <w:ind w:firstLine="0" w:firstLineChars="0"/>
                    <w:jc w:val="center"/>
                    <w:textAlignment w:val="baseline"/>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30</w:t>
                  </w:r>
                </w:p>
              </w:tc>
              <w:tc>
                <w:tcPr>
                  <w:tcW w:w="508"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O3</w:t>
                  </w:r>
                </w:p>
              </w:tc>
              <w:tc>
                <w:tcPr>
                  <w:tcW w:w="1980"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日最大8小时平均第90百分位数</w:t>
                  </w:r>
                </w:p>
              </w:tc>
              <w:tc>
                <w:tcPr>
                  <w:tcW w:w="1050"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119</w:t>
                  </w:r>
                </w:p>
              </w:tc>
              <w:tc>
                <w:tcPr>
                  <w:tcW w:w="994" w:type="dxa"/>
                  <w:noWrap w:val="0"/>
                  <w:vAlign w:val="center"/>
                </w:tcPr>
                <w:p>
                  <w:pPr>
                    <w:tabs>
                      <w:tab w:val="left" w:pos="720"/>
                    </w:tabs>
                    <w:adjustRightInd w:val="0"/>
                    <w:snapToGrid w:val="0"/>
                    <w:spacing w:line="240" w:lineRule="atLeast"/>
                    <w:ind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940" w:type="dxa"/>
                  <w:noWrap w:val="0"/>
                  <w:vAlign w:val="center"/>
                </w:tcPr>
                <w:p>
                  <w:pPr>
                    <w:widowControl/>
                    <w:tabs>
                      <w:tab w:val="left" w:pos="1535"/>
                      <w:tab w:val="left" w:pos="3105"/>
                      <w:tab w:val="left" w:pos="4676"/>
                      <w:tab w:val="left" w:pos="6247"/>
                      <w:tab w:val="left" w:pos="7740"/>
                      <w:tab w:val="left" w:pos="9288"/>
                    </w:tabs>
                    <w:adjustRightInd w:val="0"/>
                    <w:snapToGrid w:val="0"/>
                    <w:spacing w:line="240" w:lineRule="atLeast"/>
                    <w:ind w:firstLine="0" w:firstLineChars="0"/>
                    <w:jc w:val="center"/>
                    <w:textAlignment w:val="baseline"/>
                    <w:rPr>
                      <w:rFonts w:hint="default" w:ascii="Times New Roman" w:hAnsi="Times New Roman" w:eastAsia="宋体" w:cs="Times New Roman"/>
                      <w:color w:val="000000" w:themeColor="text1"/>
                      <w:spacing w:val="-4"/>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74.38</w:t>
                  </w:r>
                </w:p>
              </w:tc>
              <w:tc>
                <w:tcPr>
                  <w:tcW w:w="508" w:type="pct"/>
                  <w:noWrap w:val="0"/>
                  <w:vAlign w:val="center"/>
                </w:tcPr>
                <w:p>
                  <w:pPr>
                    <w:pStyle w:val="20"/>
                    <w:keepNext w:val="0"/>
                    <w:keepLines w:val="0"/>
                    <w:widowControl w:val="0"/>
                    <w:suppressLineNumbers w:val="0"/>
                    <w:autoSpaceDE w:val="0"/>
                    <w:autoSpaceDN/>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4"/>
                      <w:kern w:val="2"/>
                      <w:sz w:val="21"/>
                      <w:szCs w:val="21"/>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
                      <w14:textFill>
                        <w14:solidFill>
                          <w14:schemeClr w14:val="tx1"/>
                        </w14:solidFill>
                      </w14:textFill>
                    </w:rPr>
                    <w:t>达标</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由上</w:t>
            </w:r>
            <w:r>
              <w:rPr>
                <w:rFonts w:hint="default" w:ascii="Times New Roman" w:hAnsi="Times New Roman" w:eastAsia="宋体" w:cs="Times New Roman"/>
                <w:color w:val="000000" w:themeColor="text1"/>
                <w:kern w:val="0"/>
                <w:sz w:val="24"/>
                <w:szCs w:val="24"/>
                <w14:textFill>
                  <w14:solidFill>
                    <w14:schemeClr w14:val="tx1"/>
                  </w14:solidFill>
                </w14:textFill>
              </w:rPr>
              <w:t>表可知，</w:t>
            </w:r>
            <w:r>
              <w:rPr>
                <w:rFonts w:ascii="Arial" w:hAnsi="Arial" w:cs="Arial"/>
                <w:bCs/>
                <w:color w:val="000000" w:themeColor="text1"/>
                <w:sz w:val="24"/>
                <w:szCs w:val="24"/>
                <w14:textFill>
                  <w14:solidFill>
                    <w14:schemeClr w14:val="tx1"/>
                  </w14:solidFill>
                </w14:textFill>
              </w:rPr>
              <w:t>克拉玛依市2022年SO</w:t>
            </w:r>
            <w:r>
              <w:rPr>
                <w:rFonts w:ascii="Arial" w:hAnsi="Arial" w:cs="Arial"/>
                <w:bCs/>
                <w:color w:val="000000" w:themeColor="text1"/>
                <w:sz w:val="24"/>
                <w:szCs w:val="24"/>
                <w:vertAlign w:val="subscript"/>
                <w14:textFill>
                  <w14:solidFill>
                    <w14:schemeClr w14:val="tx1"/>
                  </w14:solidFill>
                </w14:textFill>
              </w:rPr>
              <w:t>2</w:t>
            </w:r>
            <w:r>
              <w:rPr>
                <w:rFonts w:ascii="Arial" w:hAnsi="Arial" w:cs="Arial"/>
                <w:bCs/>
                <w:color w:val="000000" w:themeColor="text1"/>
                <w:sz w:val="24"/>
                <w:szCs w:val="24"/>
                <w14:textFill>
                  <w14:solidFill>
                    <w14:schemeClr w14:val="tx1"/>
                  </w14:solidFill>
                </w14:textFill>
              </w:rPr>
              <w:t>、NO</w:t>
            </w:r>
            <w:r>
              <w:rPr>
                <w:rFonts w:ascii="Arial" w:hAnsi="Arial" w:cs="Arial"/>
                <w:bCs/>
                <w:color w:val="000000" w:themeColor="text1"/>
                <w:sz w:val="24"/>
                <w:szCs w:val="24"/>
                <w:vertAlign w:val="subscript"/>
                <w14:textFill>
                  <w14:solidFill>
                    <w14:schemeClr w14:val="tx1"/>
                  </w14:solidFill>
                </w14:textFill>
              </w:rPr>
              <w:t>2</w:t>
            </w:r>
            <w:r>
              <w:rPr>
                <w:rFonts w:ascii="Arial" w:hAnsi="Arial" w:cs="Arial"/>
                <w:bCs/>
                <w:color w:val="000000" w:themeColor="text1"/>
                <w:sz w:val="24"/>
                <w:szCs w:val="24"/>
                <w14:textFill>
                  <w14:solidFill>
                    <w14:schemeClr w14:val="tx1"/>
                  </w14:solidFill>
                </w14:textFill>
              </w:rPr>
              <w:t>、PM</w:t>
            </w:r>
            <w:r>
              <w:rPr>
                <w:rFonts w:ascii="Arial" w:hAnsi="Arial" w:cs="Arial"/>
                <w:bCs/>
                <w:color w:val="000000" w:themeColor="text1"/>
                <w:sz w:val="24"/>
                <w:szCs w:val="24"/>
                <w:vertAlign w:val="subscript"/>
                <w14:textFill>
                  <w14:solidFill>
                    <w14:schemeClr w14:val="tx1"/>
                  </w14:solidFill>
                </w14:textFill>
              </w:rPr>
              <w:t>2.5</w:t>
            </w:r>
            <w:r>
              <w:rPr>
                <w:rFonts w:ascii="Arial" w:hAnsi="Arial" w:cs="Arial"/>
                <w:bCs/>
                <w:color w:val="000000" w:themeColor="text1"/>
                <w:sz w:val="24"/>
                <w:szCs w:val="24"/>
                <w14:textFill>
                  <w14:solidFill>
                    <w14:schemeClr w14:val="tx1"/>
                  </w14:solidFill>
                </w14:textFill>
              </w:rPr>
              <w:t>、PM</w:t>
            </w:r>
            <w:r>
              <w:rPr>
                <w:rFonts w:ascii="Arial" w:hAnsi="Arial" w:cs="Arial"/>
                <w:bCs/>
                <w:color w:val="000000" w:themeColor="text1"/>
                <w:sz w:val="24"/>
                <w:szCs w:val="24"/>
                <w:vertAlign w:val="subscript"/>
                <w14:textFill>
                  <w14:solidFill>
                    <w14:schemeClr w14:val="tx1"/>
                  </w14:solidFill>
                </w14:textFill>
              </w:rPr>
              <w:t>10</w:t>
            </w:r>
            <w:r>
              <w:rPr>
                <w:rFonts w:ascii="Arial" w:hAnsi="Arial" w:cs="Arial"/>
                <w:bCs/>
                <w:color w:val="000000" w:themeColor="text1"/>
                <w:sz w:val="24"/>
                <w:szCs w:val="24"/>
                <w14:textFill>
                  <w14:solidFill>
                    <w14:schemeClr w14:val="tx1"/>
                  </w14:solidFill>
                </w14:textFill>
              </w:rPr>
              <w:t>、CO、O</w:t>
            </w:r>
            <w:r>
              <w:rPr>
                <w:rFonts w:ascii="Arial" w:hAnsi="Arial" w:cs="Arial"/>
                <w:bCs/>
                <w:color w:val="000000" w:themeColor="text1"/>
                <w:sz w:val="24"/>
                <w:szCs w:val="24"/>
                <w:vertAlign w:val="subscript"/>
                <w14:textFill>
                  <w14:solidFill>
                    <w14:schemeClr w14:val="tx1"/>
                  </w14:solidFill>
                </w14:textFill>
              </w:rPr>
              <w:t>3</w:t>
            </w:r>
            <w:r>
              <w:rPr>
                <w:rFonts w:ascii="Arial" w:hAnsi="Arial" w:cs="Arial"/>
                <w:bCs/>
                <w:color w:val="000000" w:themeColor="text1"/>
                <w:sz w:val="24"/>
                <w:szCs w:val="24"/>
                <w14:textFill>
                  <w14:solidFill>
                    <w14:schemeClr w14:val="tx1"/>
                  </w14:solidFill>
                </w14:textFill>
              </w:rPr>
              <w:t>年均浓度和百分位日平均浓度均满足《环境空气质量标准》GB3095-2012）的二级标准要求，因此，判定项目所在区域为达标区</w:t>
            </w:r>
            <w:r>
              <w:rPr>
                <w:rFonts w:hint="default" w:ascii="Times New Roman" w:hAnsi="Times New Roman" w:eastAsia="宋体" w:cs="Times New Roman"/>
                <w:color w:val="000000" w:themeColor="text1"/>
                <w:sz w:val="24"/>
                <w:szCs w:val="24"/>
                <w14:textFill>
                  <w14:solidFill>
                    <w14:schemeClr w14:val="tx1"/>
                  </w14:solidFill>
                </w14:textFill>
              </w:rPr>
              <w:t>。</w:t>
            </w:r>
          </w:p>
          <w:p>
            <w:pPr>
              <w:adjustRightInd w:val="0"/>
              <w:snapToGrid w:val="0"/>
              <w:spacing w:line="360" w:lineRule="auto"/>
              <w:ind w:firstLine="482" w:firstLineChars="200"/>
              <w:rPr>
                <w:rFonts w:hint="default" w:ascii="Times New Roman" w:hAnsi="Times New Roman" w:cs="Times New Roman"/>
                <w:b/>
                <w:color w:val="000000" w:themeColor="text1"/>
                <w:sz w:val="24"/>
                <w:szCs w:val="21"/>
                <w14:textFill>
                  <w14:solidFill>
                    <w14:schemeClr w14:val="tx1"/>
                  </w14:solidFill>
                </w14:textFill>
              </w:rPr>
            </w:pPr>
            <w:r>
              <w:rPr>
                <w:rFonts w:hint="default" w:ascii="Times New Roman" w:hAnsi="Times New Roman" w:cs="Times New Roman"/>
                <w:b/>
                <w:color w:val="000000" w:themeColor="text1"/>
                <w:sz w:val="24"/>
                <w:szCs w:val="21"/>
                <w14:textFill>
                  <w14:solidFill>
                    <w14:schemeClr w14:val="tx1"/>
                  </w14:solidFill>
                </w14:textFill>
              </w:rPr>
              <w:t>1.2补充监测评价</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为了解项目区环境空气质量现状（特</w:t>
            </w:r>
            <w:r>
              <w:rPr>
                <w:rFonts w:hint="default" w:ascii="Times New Roman" w:hAnsi="Times New Roman" w:cs="Times New Roman"/>
                <w:color w:val="000000" w:themeColor="text1"/>
                <w:sz w:val="24"/>
                <w:szCs w:val="21"/>
                <w:lang w:val="en-US" w:eastAsia="zh-CN"/>
                <w14:textFill>
                  <w14:solidFill>
                    <w14:schemeClr w14:val="tx1"/>
                  </w14:solidFill>
                </w14:textFill>
              </w:rPr>
              <w:t>征因子：TSP），</w:t>
            </w:r>
            <w:r>
              <w:rPr>
                <w:rFonts w:hint="eastAsia" w:cs="Times New Roman"/>
                <w:color w:val="000000" w:themeColor="text1"/>
                <w:sz w:val="24"/>
                <w:szCs w:val="21"/>
                <w:lang w:val="en-US" w:eastAsia="zh-CN"/>
                <w14:textFill>
                  <w14:solidFill>
                    <w14:schemeClr w14:val="tx1"/>
                  </w14:solidFill>
                </w14:textFill>
              </w:rPr>
              <w:t>委托</w:t>
            </w:r>
            <w:r>
              <w:rPr>
                <w:rFonts w:hint="default" w:ascii="Times New Roman" w:hAnsi="Times New Roman" w:cs="Times New Roman"/>
                <w:color w:val="000000" w:themeColor="text1"/>
                <w:sz w:val="24"/>
                <w:szCs w:val="21"/>
                <w:lang w:val="en-US" w:eastAsia="zh-CN"/>
                <w14:textFill>
                  <w14:solidFill>
                    <w14:schemeClr w14:val="tx1"/>
                  </w14:solidFill>
                </w14:textFill>
              </w:rPr>
              <w:t>新疆</w:t>
            </w:r>
            <w:r>
              <w:rPr>
                <w:rFonts w:hint="eastAsia" w:cs="Times New Roman"/>
                <w:color w:val="000000" w:themeColor="text1"/>
                <w:sz w:val="24"/>
                <w:szCs w:val="21"/>
                <w:lang w:val="en-US" w:eastAsia="zh-CN"/>
                <w14:textFill>
                  <w14:solidFill>
                    <w14:schemeClr w14:val="tx1"/>
                  </w14:solidFill>
                </w14:textFill>
              </w:rPr>
              <w:t>国科检测</w:t>
            </w:r>
            <w:r>
              <w:rPr>
                <w:rFonts w:hint="default" w:ascii="Times New Roman" w:hAnsi="Times New Roman" w:cs="Times New Roman"/>
                <w:color w:val="000000" w:themeColor="text1"/>
                <w:sz w:val="24"/>
                <w:szCs w:val="21"/>
                <w:lang w:val="en-US" w:eastAsia="zh-CN"/>
                <w14:textFill>
                  <w14:solidFill>
                    <w14:schemeClr w14:val="tx1"/>
                  </w14:solidFill>
                </w14:textFill>
              </w:rPr>
              <w:t>有限公司对</w:t>
            </w:r>
            <w:r>
              <w:rPr>
                <w:rFonts w:hint="eastAsia" w:cs="Times New Roman"/>
                <w:color w:val="000000" w:themeColor="text1"/>
                <w:sz w:val="24"/>
                <w:szCs w:val="21"/>
                <w:lang w:val="en-US" w:eastAsia="zh-CN"/>
                <w14:textFill>
                  <w14:solidFill>
                    <w14:schemeClr w14:val="tx1"/>
                  </w14:solidFill>
                </w14:textFill>
              </w:rPr>
              <w:t>项目区</w:t>
            </w:r>
            <w:r>
              <w:rPr>
                <w:rFonts w:hint="default" w:ascii="Times New Roman" w:hAnsi="Times New Roman" w:cs="Times New Roman"/>
                <w:color w:val="000000" w:themeColor="text1"/>
                <w:sz w:val="24"/>
                <w:szCs w:val="21"/>
                <w:lang w:val="en-US" w:eastAsia="zh-CN"/>
                <w14:textFill>
                  <w14:solidFill>
                    <w14:schemeClr w14:val="tx1"/>
                  </w14:solidFill>
                </w14:textFill>
              </w:rPr>
              <w:t>环</w:t>
            </w:r>
            <w:r>
              <w:rPr>
                <w:rFonts w:hint="eastAsia"/>
                <w:color w:val="000000" w:themeColor="text1"/>
                <w:sz w:val="24"/>
                <w:szCs w:val="21"/>
                <w:lang w:val="en-US" w:eastAsia="zh-CN"/>
                <w14:textFill>
                  <w14:solidFill>
                    <w14:schemeClr w14:val="tx1"/>
                  </w14:solidFill>
                </w14:textFill>
              </w:rPr>
              <w:t>境空气质量进行监测，布设一个监测点，位于项目区下风向</w:t>
            </w:r>
            <w:r>
              <w:rPr>
                <w:rFonts w:hint="eastAsia"/>
                <w:color w:val="000000" w:themeColor="text1"/>
                <w:sz w:val="24"/>
                <w:szCs w:val="21"/>
                <w14:textFill>
                  <w14:solidFill>
                    <w14:schemeClr w14:val="tx1"/>
                  </w14:solidFill>
                </w14:textFill>
              </w:rPr>
              <w:t>。</w:t>
            </w:r>
          </w:p>
          <w:p>
            <w:pPr>
              <w:overflowPunct w:val="0"/>
              <w:adjustRightInd w:val="0"/>
              <w:snapToGrid w:val="0"/>
              <w:spacing w:line="360" w:lineRule="auto"/>
              <w:ind w:firstLine="480" w:firstLineChars="200"/>
              <w:rPr>
                <w:snapToGrid w:val="0"/>
                <w:color w:val="000000" w:themeColor="text1"/>
                <w:sz w:val="24"/>
                <w:szCs w:val="22"/>
                <w14:textFill>
                  <w14:solidFill>
                    <w14:schemeClr w14:val="tx1"/>
                  </w14:solidFill>
                </w14:textFill>
              </w:rPr>
            </w:pPr>
            <w:r>
              <w:rPr>
                <w:rFonts w:hint="eastAsia"/>
                <w:snapToGrid w:val="0"/>
                <w:color w:val="000000" w:themeColor="text1"/>
                <w:sz w:val="24"/>
                <w:szCs w:val="22"/>
                <w14:textFill>
                  <w14:solidFill>
                    <w14:schemeClr w14:val="tx1"/>
                  </w14:solidFill>
                </w14:textFill>
              </w:rPr>
              <w:t>（1）监测项目</w:t>
            </w:r>
          </w:p>
          <w:p>
            <w:pPr>
              <w:overflowPunct w:val="0"/>
              <w:adjustRightInd w:val="0"/>
              <w:snapToGrid w:val="0"/>
              <w:spacing w:line="360" w:lineRule="auto"/>
              <w:ind w:firstLine="480" w:firstLineChars="200"/>
              <w:rPr>
                <w:snapToGrid w:val="0"/>
                <w:color w:val="000000" w:themeColor="text1"/>
                <w:sz w:val="24"/>
                <w:szCs w:val="22"/>
                <w14:textFill>
                  <w14:solidFill>
                    <w14:schemeClr w14:val="tx1"/>
                  </w14:solidFill>
                </w14:textFill>
              </w:rPr>
            </w:pPr>
            <w:r>
              <w:rPr>
                <w:rFonts w:hint="eastAsia"/>
                <w:bCs/>
                <w:color w:val="000000" w:themeColor="text1"/>
                <w:sz w:val="24"/>
                <w:szCs w:val="21"/>
                <w:lang w:val="en-US" w:eastAsia="zh-CN"/>
                <w14:textFill>
                  <w14:solidFill>
                    <w14:schemeClr w14:val="tx1"/>
                  </w14:solidFill>
                </w14:textFill>
              </w:rPr>
              <w:t>TSP</w:t>
            </w:r>
            <w:r>
              <w:rPr>
                <w:rFonts w:hint="eastAsia"/>
                <w:bCs/>
                <w:color w:val="000000" w:themeColor="text1"/>
                <w:sz w:val="24"/>
                <w:szCs w:val="21"/>
                <w14:textFill>
                  <w14:solidFill>
                    <w14:schemeClr w14:val="tx1"/>
                  </w14:solidFill>
                </w14:textFill>
              </w:rPr>
              <w:t>。</w:t>
            </w:r>
          </w:p>
          <w:p>
            <w:pPr>
              <w:pStyle w:val="20"/>
              <w:spacing w:before="0" w:beforeAutospacing="0" w:after="0" w:afterAutospacing="0" w:line="360" w:lineRule="auto"/>
              <w:ind w:firstLine="480" w:firstLineChars="200"/>
              <w:jc w:val="both"/>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）时间和监测频率</w:t>
            </w:r>
          </w:p>
          <w:p>
            <w:pPr>
              <w:spacing w:line="360" w:lineRule="auto"/>
              <w:ind w:firstLine="480"/>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202</w:t>
            </w:r>
            <w:r>
              <w:rPr>
                <w:rFonts w:hint="eastAsia"/>
                <w:color w:val="000000" w:themeColor="text1"/>
                <w:sz w:val="24"/>
                <w:szCs w:val="21"/>
                <w:lang w:val="en-US" w:eastAsia="zh-CN"/>
                <w14:textFill>
                  <w14:solidFill>
                    <w14:schemeClr w14:val="tx1"/>
                  </w14:solidFill>
                </w14:textFill>
              </w:rPr>
              <w:t>4</w:t>
            </w:r>
            <w:r>
              <w:rPr>
                <w:rFonts w:hint="eastAsia"/>
                <w:color w:val="000000" w:themeColor="text1"/>
                <w:sz w:val="24"/>
                <w:szCs w:val="21"/>
                <w14:textFill>
                  <w14:solidFill>
                    <w14:schemeClr w14:val="tx1"/>
                  </w14:solidFill>
                </w14:textFill>
              </w:rPr>
              <w:t>年</w:t>
            </w:r>
            <w:r>
              <w:rPr>
                <w:rFonts w:hint="eastAsia"/>
                <w:color w:val="000000" w:themeColor="text1"/>
                <w:sz w:val="24"/>
                <w:szCs w:val="21"/>
                <w:lang w:val="en-US" w:eastAsia="zh-CN"/>
                <w14:textFill>
                  <w14:solidFill>
                    <w14:schemeClr w14:val="tx1"/>
                  </w14:solidFill>
                </w14:textFill>
              </w:rPr>
              <w:t>3</w:t>
            </w:r>
            <w:r>
              <w:rPr>
                <w:rFonts w:hint="eastAsia"/>
                <w:color w:val="000000" w:themeColor="text1"/>
                <w:sz w:val="24"/>
                <w:szCs w:val="21"/>
                <w14:textFill>
                  <w14:solidFill>
                    <w14:schemeClr w14:val="tx1"/>
                  </w14:solidFill>
                </w14:textFill>
              </w:rPr>
              <w:t>月</w:t>
            </w:r>
            <w:r>
              <w:rPr>
                <w:rFonts w:hint="eastAsia"/>
                <w:color w:val="000000" w:themeColor="text1"/>
                <w:sz w:val="24"/>
                <w:szCs w:val="21"/>
                <w:lang w:val="en-US" w:eastAsia="zh-CN"/>
                <w14:textFill>
                  <w14:solidFill>
                    <w14:schemeClr w14:val="tx1"/>
                  </w14:solidFill>
                </w14:textFill>
              </w:rPr>
              <w:t>10</w:t>
            </w:r>
            <w:r>
              <w:rPr>
                <w:rFonts w:hint="eastAsia"/>
                <w:color w:val="000000" w:themeColor="text1"/>
                <w:sz w:val="24"/>
                <w:szCs w:val="21"/>
                <w14:textFill>
                  <w14:solidFill>
                    <w14:schemeClr w14:val="tx1"/>
                  </w14:solidFill>
                </w14:textFill>
              </w:rPr>
              <w:t>日-</w:t>
            </w:r>
            <w:r>
              <w:rPr>
                <w:rFonts w:hint="eastAsia"/>
                <w:color w:val="000000" w:themeColor="text1"/>
                <w:sz w:val="24"/>
                <w:szCs w:val="21"/>
                <w:lang w:val="en-US" w:eastAsia="zh-CN"/>
                <w14:textFill>
                  <w14:solidFill>
                    <w14:schemeClr w14:val="tx1"/>
                  </w14:solidFill>
                </w14:textFill>
              </w:rPr>
              <w:t>13</w:t>
            </w:r>
            <w:r>
              <w:rPr>
                <w:rFonts w:hint="eastAsia"/>
                <w:color w:val="000000" w:themeColor="text1"/>
                <w:sz w:val="24"/>
                <w:szCs w:val="21"/>
                <w14:textFill>
                  <w14:solidFill>
                    <w14:schemeClr w14:val="tx1"/>
                  </w14:solidFill>
                </w14:textFill>
              </w:rPr>
              <w:t>日，连续监测</w:t>
            </w:r>
            <w:r>
              <w:rPr>
                <w:rFonts w:hint="eastAsia"/>
                <w:color w:val="000000" w:themeColor="text1"/>
                <w:sz w:val="24"/>
                <w:szCs w:val="21"/>
                <w:lang w:val="en-US" w:eastAsia="zh-CN"/>
                <w14:textFill>
                  <w14:solidFill>
                    <w14:schemeClr w14:val="tx1"/>
                  </w14:solidFill>
                </w14:textFill>
              </w:rPr>
              <w:t>3</w:t>
            </w:r>
            <w:r>
              <w:rPr>
                <w:rFonts w:hint="eastAsia"/>
                <w:color w:val="000000" w:themeColor="text1"/>
                <w:sz w:val="24"/>
                <w:szCs w:val="21"/>
                <w14:textFill>
                  <w14:solidFill>
                    <w14:schemeClr w14:val="tx1"/>
                  </w14:solidFill>
                </w14:textFill>
              </w:rPr>
              <w:t>天。</w:t>
            </w:r>
          </w:p>
          <w:p>
            <w:pPr>
              <w:pStyle w:val="20"/>
              <w:spacing w:before="0" w:beforeAutospacing="0" w:after="0" w:afterAutospacing="0" w:line="360" w:lineRule="auto"/>
              <w:ind w:firstLine="480" w:firstLineChars="200"/>
              <w:jc w:val="both"/>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14:textFill>
                  <w14:solidFill>
                    <w14:schemeClr w14:val="tx1"/>
                  </w14:solidFill>
                </w14:textFill>
              </w:rPr>
              <w:t>）评价标准</w:t>
            </w:r>
          </w:p>
          <w:p>
            <w:pPr>
              <w:spacing w:line="360" w:lineRule="auto"/>
              <w:ind w:firstLine="480"/>
              <w:rPr>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特征污染物TSP执行</w:t>
            </w:r>
            <w:r>
              <w:rPr>
                <w:rFonts w:ascii="Times New Roman" w:hAnsi="Times New Roman" w:cs="Times New Roman"/>
                <w:color w:val="000000" w:themeColor="text1"/>
                <w:kern w:val="0"/>
                <w:sz w:val="24"/>
                <w:szCs w:val="24"/>
                <w14:textFill>
                  <w14:solidFill>
                    <w14:schemeClr w14:val="tx1"/>
                  </w14:solidFill>
                </w14:textFill>
              </w:rPr>
              <w:t>《环境空气质量标准》(GB3095-2012)中二级限值要求</w:t>
            </w:r>
            <w:r>
              <w:rPr>
                <w:rFonts w:hint="eastAsia"/>
                <w:bCs/>
                <w:color w:val="000000" w:themeColor="text1"/>
                <w:sz w:val="24"/>
                <w:szCs w:val="24"/>
                <w14:textFill>
                  <w14:solidFill>
                    <w14:schemeClr w14:val="tx1"/>
                  </w14:solidFill>
                </w14:textFill>
              </w:rPr>
              <w:t>。</w:t>
            </w:r>
          </w:p>
          <w:p>
            <w:pPr>
              <w:overflowPunct w:val="0"/>
              <w:adjustRightInd w:val="0"/>
              <w:snapToGrid w:val="0"/>
              <w:spacing w:line="360" w:lineRule="auto"/>
              <w:ind w:firstLine="480" w:firstLineChars="200"/>
              <w:rPr>
                <w:snapToGrid w:val="0"/>
                <w:color w:val="000000" w:themeColor="text1"/>
                <w:sz w:val="24"/>
                <w:szCs w:val="22"/>
                <w14:textFill>
                  <w14:solidFill>
                    <w14:schemeClr w14:val="tx1"/>
                  </w14:solidFill>
                </w14:textFill>
              </w:rPr>
            </w:pPr>
            <w:r>
              <w:rPr>
                <w:rFonts w:hint="eastAsia"/>
                <w:snapToGrid w:val="0"/>
                <w:color w:val="000000" w:themeColor="text1"/>
                <w:sz w:val="24"/>
                <w:szCs w:val="22"/>
                <w14:textFill>
                  <w14:solidFill>
                    <w14:schemeClr w14:val="tx1"/>
                  </w14:solidFill>
                </w14:textFill>
              </w:rPr>
              <w:t>（4）监测结果及评价</w:t>
            </w:r>
          </w:p>
          <w:p>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表3-2  </w:t>
            </w:r>
            <w:r>
              <w:rPr>
                <w:rFonts w:hint="eastAsia"/>
                <w:b/>
                <w:bCs/>
                <w:color w:val="000000" w:themeColor="text1"/>
                <w:szCs w:val="21"/>
                <w14:textFill>
                  <w14:solidFill>
                    <w14:schemeClr w14:val="tx1"/>
                  </w14:solidFill>
                </w14:textFill>
              </w:rPr>
              <w:t>特征评价因子监测结果评价表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732"/>
              <w:gridCol w:w="1091"/>
              <w:gridCol w:w="1071"/>
              <w:gridCol w:w="1609"/>
              <w:gridCol w:w="139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486" w:type="dxa"/>
                  <w:vAlign w:val="center"/>
                </w:tcPr>
                <w:p>
                  <w:pPr>
                    <w:adjustRightInd w:val="0"/>
                    <w:snapToGrid w:val="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732" w:type="dxa"/>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1091" w:type="dxa"/>
                  <w:vAlign w:val="center"/>
                </w:tcPr>
                <w:p>
                  <w:pPr>
                    <w:adjustRightInd w:val="0"/>
                    <w:snapToGrid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监测时间</w:t>
                  </w:r>
                </w:p>
              </w:tc>
              <w:tc>
                <w:tcPr>
                  <w:tcW w:w="1071" w:type="dxa"/>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标准值</w:t>
                  </w:r>
                </w:p>
                <w:p>
                  <w:pPr>
                    <w:pStyle w:val="31"/>
                    <w:ind w:left="0" w:leftChars="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t>g/m</w:t>
                  </w:r>
                  <w:r>
                    <w:rPr>
                      <w:rFonts w:hint="default" w:ascii="Times New Roman" w:hAnsi="Times New Roman" w:eastAsia="宋体" w:cs="Times New Roman"/>
                      <w:b/>
                      <w:bCs/>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609" w:type="dxa"/>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监测值</w:t>
                  </w:r>
                </w:p>
                <w:p>
                  <w:pPr>
                    <w:pStyle w:val="31"/>
                    <w:ind w:left="0" w:leftChars="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t>g/m</w:t>
                  </w:r>
                  <w:r>
                    <w:rPr>
                      <w:rFonts w:hint="default" w:ascii="Times New Roman" w:hAnsi="Times New Roman" w:eastAsia="宋体" w:cs="Times New Roman"/>
                      <w:b/>
                      <w:bCs/>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398" w:type="dxa"/>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占标率</w:t>
                  </w:r>
                </w:p>
              </w:tc>
              <w:tc>
                <w:tcPr>
                  <w:tcW w:w="1530" w:type="dxa"/>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486"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2" w:type="dxa"/>
                  <w:vMerge w:val="restart"/>
                  <w:vAlign w:val="center"/>
                </w:tcPr>
                <w:p>
                  <w:pPr>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TSP</w:t>
                  </w:r>
                </w:p>
              </w:tc>
              <w:tc>
                <w:tcPr>
                  <w:tcW w:w="1091" w:type="dxa"/>
                  <w:vAlign w:val="center"/>
                </w:tcPr>
                <w:p>
                  <w:pPr>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3.10-3.11</w:t>
                  </w:r>
                </w:p>
              </w:tc>
              <w:tc>
                <w:tcPr>
                  <w:tcW w:w="1071" w:type="dxa"/>
                  <w:vMerge w:val="restar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609" w:type="dxa"/>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0.213</w:t>
                  </w:r>
                </w:p>
              </w:tc>
              <w:tc>
                <w:tcPr>
                  <w:tcW w:w="1398"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71.0%</w:t>
                  </w:r>
                </w:p>
              </w:tc>
              <w:tc>
                <w:tcPr>
                  <w:tcW w:w="153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486" w:type="dxa"/>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732" w:type="dxa"/>
                  <w:vMerge w:val="continue"/>
                  <w:vAlign w:val="center"/>
                </w:tcPr>
                <w:p>
                  <w:pPr>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091" w:type="dxa"/>
                  <w:vAlign w:val="center"/>
                </w:tcPr>
                <w:p>
                  <w:pPr>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3.11-3.12</w:t>
                  </w:r>
                </w:p>
              </w:tc>
              <w:tc>
                <w:tcPr>
                  <w:tcW w:w="1071" w:type="dxa"/>
                  <w:vMerge w:val="continue"/>
                  <w:vAlign w:val="center"/>
                </w:tcPr>
                <w:p>
                  <w:pPr>
                    <w:adjustRightInd w:val="0"/>
                    <w:snapToGrid w:val="0"/>
                    <w:jc w:val="center"/>
                    <w:rPr>
                      <w:rFonts w:hint="eastAsia" w:cs="Times New Roman"/>
                      <w:color w:val="000000" w:themeColor="text1"/>
                      <w:sz w:val="21"/>
                      <w:szCs w:val="21"/>
                      <w:lang w:val="en-US" w:eastAsia="zh-CN"/>
                      <w14:textFill>
                        <w14:solidFill>
                          <w14:schemeClr w14:val="tx1"/>
                        </w14:solidFill>
                      </w14:textFill>
                    </w:rPr>
                  </w:pPr>
                </w:p>
              </w:tc>
              <w:tc>
                <w:tcPr>
                  <w:tcW w:w="1609" w:type="dxa"/>
                  <w:vAlign w:val="center"/>
                </w:tcPr>
                <w:p>
                  <w:pPr>
                    <w:adjustRightInd w:val="0"/>
                    <w:snapToGrid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0.219</w:t>
                  </w:r>
                </w:p>
              </w:tc>
              <w:tc>
                <w:tcPr>
                  <w:tcW w:w="1398"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73.0%</w:t>
                  </w:r>
                </w:p>
              </w:tc>
              <w:tc>
                <w:tcPr>
                  <w:tcW w:w="153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486" w:type="dxa"/>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732" w:type="dxa"/>
                  <w:vMerge w:val="continue"/>
                  <w:vAlign w:val="center"/>
                </w:tcPr>
                <w:p>
                  <w:pPr>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091" w:type="dxa"/>
                  <w:vAlign w:val="center"/>
                </w:tcPr>
                <w:p>
                  <w:pPr>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3.12-3.13</w:t>
                  </w:r>
                </w:p>
              </w:tc>
              <w:tc>
                <w:tcPr>
                  <w:tcW w:w="1071" w:type="dxa"/>
                  <w:vMerge w:val="continue"/>
                  <w:vAlign w:val="center"/>
                </w:tcPr>
                <w:p>
                  <w:pPr>
                    <w:adjustRightInd w:val="0"/>
                    <w:snapToGrid w:val="0"/>
                    <w:jc w:val="center"/>
                    <w:rPr>
                      <w:rFonts w:hint="eastAsia" w:cs="Times New Roman"/>
                      <w:color w:val="000000" w:themeColor="text1"/>
                      <w:sz w:val="21"/>
                      <w:szCs w:val="21"/>
                      <w:lang w:val="en-US" w:eastAsia="zh-CN"/>
                      <w14:textFill>
                        <w14:solidFill>
                          <w14:schemeClr w14:val="tx1"/>
                        </w14:solidFill>
                      </w14:textFill>
                    </w:rPr>
                  </w:pPr>
                </w:p>
              </w:tc>
              <w:tc>
                <w:tcPr>
                  <w:tcW w:w="1609" w:type="dxa"/>
                  <w:vAlign w:val="center"/>
                </w:tcPr>
                <w:p>
                  <w:pPr>
                    <w:adjustRightInd w:val="0"/>
                    <w:snapToGrid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0.224</w:t>
                  </w:r>
                </w:p>
              </w:tc>
              <w:tc>
                <w:tcPr>
                  <w:tcW w:w="1398"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74.7%</w:t>
                  </w:r>
                </w:p>
              </w:tc>
              <w:tc>
                <w:tcPr>
                  <w:tcW w:w="153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pPr>
              <w:keepNext w:val="0"/>
              <w:keepLines w:val="0"/>
              <w:pageBreakBefore w:val="0"/>
              <w:wordWrap/>
              <w:overflowPunct/>
              <w:topLinePunct w:val="0"/>
              <w:bidi w:val="0"/>
              <w:spacing w:line="360" w:lineRule="auto"/>
              <w:ind w:firstLine="480"/>
              <w:rPr>
                <w:bCs/>
                <w:color w:val="000000" w:themeColor="text1"/>
                <w:sz w:val="24"/>
                <w:szCs w:val="21"/>
                <w14:textFill>
                  <w14:solidFill>
                    <w14:schemeClr w14:val="tx1"/>
                  </w14:solidFill>
                </w14:textFill>
              </w:rPr>
            </w:pPr>
            <w:r>
              <w:rPr>
                <w:rFonts w:hint="eastAsia"/>
                <w:color w:val="000000" w:themeColor="text1"/>
                <w:kern w:val="0"/>
                <w:sz w:val="24"/>
                <w:szCs w:val="24"/>
                <w14:textFill>
                  <w14:solidFill>
                    <w14:schemeClr w14:val="tx1"/>
                  </w14:solidFill>
                </w14:textFill>
              </w:rPr>
              <w:t>由上表可知，</w:t>
            </w:r>
            <w:r>
              <w:rPr>
                <w:rFonts w:ascii="Times New Roman" w:hAnsi="Times New Roman" w:cs="Times New Roman"/>
                <w:color w:val="000000" w:themeColor="text1"/>
                <w:sz w:val="24"/>
                <w:szCs w:val="24"/>
                <w14:textFill>
                  <w14:solidFill>
                    <w14:schemeClr w14:val="tx1"/>
                  </w14:solidFill>
                </w14:textFill>
              </w:rPr>
              <w:t>TSP满足《环境空气质量标准》(GB3095-2012)中二级限值要求</w:t>
            </w:r>
            <w:r>
              <w:rPr>
                <w:bCs/>
                <w:color w:val="000000" w:themeColor="text1"/>
                <w:sz w:val="24"/>
                <w:szCs w:val="24"/>
                <w14:textFill>
                  <w14:solidFill>
                    <w14:schemeClr w14:val="tx1"/>
                  </w14:solidFill>
                </w14:textFill>
              </w:rPr>
              <w:t>。</w:t>
            </w:r>
          </w:p>
          <w:p>
            <w:pPr>
              <w:keepNext w:val="0"/>
              <w:keepLines w:val="0"/>
              <w:pageBreakBefore w:val="0"/>
              <w:wordWrap/>
              <w:overflowPunct/>
              <w:topLinePunct w:val="0"/>
              <w:bidi w:val="0"/>
              <w:spacing w:line="360" w:lineRule="auto"/>
              <w:ind w:firstLine="482"/>
              <w:rPr>
                <w:b/>
                <w:bCs/>
                <w:snapToGrid w:val="0"/>
                <w:color w:val="000000" w:themeColor="text1"/>
                <w:sz w:val="24"/>
                <w14:textFill>
                  <w14:solidFill>
                    <w14:schemeClr w14:val="tx1"/>
                  </w14:solidFill>
                </w14:textFill>
              </w:rPr>
            </w:pPr>
            <w:r>
              <w:rPr>
                <w:b/>
                <w:snapToGrid w:val="0"/>
                <w:color w:val="000000" w:themeColor="text1"/>
                <w:sz w:val="24"/>
                <w14:textFill>
                  <w14:solidFill>
                    <w14:schemeClr w14:val="tx1"/>
                  </w14:solidFill>
                </w14:textFill>
              </w:rPr>
              <w:t>2、</w:t>
            </w:r>
            <w:r>
              <w:rPr>
                <w:b/>
                <w:bCs/>
                <w:snapToGrid w:val="0"/>
                <w:color w:val="000000" w:themeColor="text1"/>
                <w:sz w:val="24"/>
                <w14:textFill>
                  <w14:solidFill>
                    <w14:schemeClr w14:val="tx1"/>
                  </w14:solidFill>
                </w14:textFill>
              </w:rPr>
              <w:t>地表水</w:t>
            </w:r>
          </w:p>
          <w:p>
            <w:pPr>
              <w:pStyle w:val="100"/>
              <w:keepNext w:val="0"/>
              <w:keepLines w:val="0"/>
              <w:pageBreakBefore w:val="0"/>
              <w:wordWrap/>
              <w:overflowPunct/>
              <w:topLinePunct w:val="0"/>
              <w:bidi w:val="0"/>
              <w:spacing w:line="360" w:lineRule="auto"/>
              <w:ind w:left="107" w:right="100" w:firstLine="469"/>
              <w:jc w:val="both"/>
              <w:rPr>
                <w:rFonts w:hint="eastAsia"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本项目营运期产生的废水包括生活污水和生产废水，生产废水经沉淀后循环使用，不外排，生活污水排入园区污水管网，属于间接排放建设项目，不会对地表水产生影响。因此本项目与地表水没有直接的水力联系，故不对地表水质量现状进行评价。</w:t>
            </w:r>
          </w:p>
          <w:p>
            <w:pPr>
              <w:keepNext w:val="0"/>
              <w:keepLines w:val="0"/>
              <w:pageBreakBefore w:val="0"/>
              <w:widowControl w:val="0"/>
              <w:kinsoku/>
              <w:wordWrap/>
              <w:overflowPunct/>
              <w:topLinePunct w:val="0"/>
              <w:autoSpaceDE/>
              <w:autoSpaceDN/>
              <w:bidi w:val="0"/>
              <w:spacing w:line="360" w:lineRule="auto"/>
              <w:ind w:firstLine="480"/>
              <w:textAlignment w:val="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3、地下水</w:t>
            </w:r>
          </w:p>
          <w:p>
            <w:pPr>
              <w:keepNext w:val="0"/>
              <w:keepLines w:val="0"/>
              <w:pageBreakBefore w:val="0"/>
              <w:wordWrap/>
              <w:overflowPunct/>
              <w:topLinePunct w:val="0"/>
              <w:bidi w:val="0"/>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snapToGrid w:val="0"/>
                <w:color w:val="000000" w:themeColor="text1"/>
                <w:sz w:val="24"/>
                <w14:textFill>
                  <w14:solidFill>
                    <w14:schemeClr w14:val="tx1"/>
                  </w14:solidFill>
                </w14:textFill>
              </w:rPr>
              <w:t>根据《建设项目环境影响报告表编制技术指南（污染影响类）（试行）》现状监测要求，“地下水环境原则上不开展环境质量现状调查。建设项目存在地下水环境污染途径的，应结合污染源、保护目标分布情况开展现状调查以留作背景值”要求，本项目在</w:t>
            </w:r>
            <w:r>
              <w:rPr>
                <w:rFonts w:hint="eastAsia"/>
                <w:snapToGrid w:val="0"/>
                <w:color w:val="000000" w:themeColor="text1"/>
                <w:sz w:val="24"/>
                <w:lang w:val="en-US" w:eastAsia="zh-CN"/>
                <w14:textFill>
                  <w14:solidFill>
                    <w14:schemeClr w14:val="tx1"/>
                  </w14:solidFill>
                </w14:textFill>
              </w:rPr>
              <w:t>分区防渗后，</w:t>
            </w:r>
            <w:r>
              <w:rPr>
                <w:rFonts w:hint="eastAsia"/>
                <w:snapToGrid w:val="0"/>
                <w:color w:val="000000" w:themeColor="text1"/>
                <w:sz w:val="24"/>
                <w14:textFill>
                  <w14:solidFill>
                    <w14:schemeClr w14:val="tx1"/>
                  </w14:solidFill>
                </w14:textFill>
              </w:rPr>
              <w:t>运行过程中</w:t>
            </w:r>
            <w:r>
              <w:rPr>
                <w:rFonts w:hint="eastAsia"/>
                <w:snapToGrid w:val="0"/>
                <w:color w:val="000000" w:themeColor="text1"/>
                <w:sz w:val="24"/>
                <w:lang w:val="en-US" w:eastAsia="zh-CN"/>
                <w14:textFill>
                  <w14:solidFill>
                    <w14:schemeClr w14:val="tx1"/>
                  </w14:solidFill>
                </w14:textFill>
              </w:rPr>
              <w:t>基本不</w:t>
            </w:r>
            <w:r>
              <w:rPr>
                <w:rFonts w:hint="eastAsia"/>
                <w:snapToGrid w:val="0"/>
                <w:color w:val="000000" w:themeColor="text1"/>
                <w:sz w:val="24"/>
                <w14:textFill>
                  <w14:solidFill>
                    <w14:schemeClr w14:val="tx1"/>
                  </w14:solidFill>
                </w14:textFill>
              </w:rPr>
              <w:t>存在地下水环境污染途径，</w:t>
            </w:r>
            <w:r>
              <w:rPr>
                <w:rFonts w:hint="eastAsia"/>
                <w:snapToGrid w:val="0"/>
                <w:color w:val="000000" w:themeColor="text1"/>
                <w:sz w:val="24"/>
                <w:lang w:val="en-US" w:eastAsia="zh-CN"/>
                <w14:textFill>
                  <w14:solidFill>
                    <w14:schemeClr w14:val="tx1"/>
                  </w14:solidFill>
                </w14:textFill>
              </w:rPr>
              <w:t>故不开展地下水质量现状调查</w:t>
            </w:r>
            <w:r>
              <w:rPr>
                <w:rStyle w:val="105"/>
                <w:rFonts w:hint="eastAsia" w:ascii="Times New Roman" w:hAnsi="Times New Roman"/>
                <w:color w:val="000000" w:themeColor="text1"/>
                <w:sz w:val="24"/>
                <w:szCs w:val="24"/>
                <w:lang w:eastAsia="zh-CN"/>
                <w14:textFill>
                  <w14:solidFill>
                    <w14:schemeClr w14:val="tx1"/>
                  </w14:solidFill>
                </w14:textFill>
              </w:rPr>
              <w:t>。</w:t>
            </w:r>
          </w:p>
          <w:p>
            <w:pPr>
              <w:keepNext w:val="0"/>
              <w:keepLines w:val="0"/>
              <w:pageBreakBefore w:val="0"/>
              <w:wordWrap/>
              <w:overflowPunct/>
              <w:topLinePunct w:val="0"/>
              <w:bidi w:val="0"/>
              <w:spacing w:line="360" w:lineRule="auto"/>
              <w:ind w:firstLine="482"/>
              <w:rPr>
                <w:bCs/>
                <w:snapToGrid w:val="0"/>
                <w:color w:val="000000" w:themeColor="text1"/>
                <w:sz w:val="24"/>
                <w14:textFill>
                  <w14:solidFill>
                    <w14:schemeClr w14:val="tx1"/>
                  </w14:solidFill>
                </w14:textFill>
              </w:rPr>
            </w:pPr>
            <w:r>
              <w:rPr>
                <w:b/>
                <w:color w:val="000000" w:themeColor="text1"/>
                <w:kern w:val="0"/>
                <w:sz w:val="24"/>
                <w14:textFill>
                  <w14:solidFill>
                    <w14:schemeClr w14:val="tx1"/>
                  </w14:solidFill>
                </w14:textFill>
              </w:rPr>
              <w:t>4、声环境</w:t>
            </w:r>
          </w:p>
          <w:p>
            <w:pPr>
              <w:pStyle w:val="18"/>
              <w:keepNext w:val="0"/>
              <w:keepLines w:val="0"/>
              <w:pageBreakBefore w:val="0"/>
              <w:wordWrap/>
              <w:overflowPunct/>
              <w:topLinePunct w:val="0"/>
              <w:bidi w:val="0"/>
              <w:spacing w:line="360" w:lineRule="auto"/>
              <w:ind w:left="0" w:leftChars="0"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依照</w:t>
            </w:r>
            <w:r>
              <w:rPr>
                <w:rFonts w:hint="eastAsia"/>
                <w:snapToGrid w:val="0"/>
                <w:color w:val="000000" w:themeColor="text1"/>
                <w:sz w:val="24"/>
                <w14:textFill>
                  <w14:solidFill>
                    <w14:schemeClr w14:val="tx1"/>
                  </w14:solidFill>
                </w14:textFill>
              </w:rPr>
              <w:t>《建设项目环境影响报告表编制技术指南 （污染影响类）（试行）》现状监测</w:t>
            </w:r>
            <w:r>
              <w:rPr>
                <w:rFonts w:hint="eastAsia"/>
                <w:bCs/>
                <w:color w:val="000000" w:themeColor="text1"/>
                <w:sz w:val="24"/>
                <w14:textFill>
                  <w14:solidFill>
                    <w14:schemeClr w14:val="tx1"/>
                  </w14:solidFill>
                </w14:textFill>
              </w:rPr>
              <w:t>要求：“厂界外周边 50 米范围内存在声环境保护目标的建设项目，应监测保护目标声环境质量现状并评价达标情况。各点位应监测昼夜间噪声，监测时间不少于 1 天，项目夜间不生产则仅监测昼间噪声。”</w:t>
            </w:r>
          </w:p>
          <w:p>
            <w:pPr>
              <w:pStyle w:val="18"/>
              <w:keepNext w:val="0"/>
              <w:keepLines w:val="0"/>
              <w:pageBreakBefore w:val="0"/>
              <w:wordWrap/>
              <w:overflowPunct/>
              <w:topLinePunct w:val="0"/>
              <w:bidi w:val="0"/>
              <w:spacing w:line="360" w:lineRule="auto"/>
              <w:ind w:left="0" w:leftChars="0" w:firstLine="480" w:firstLineChars="200"/>
              <w:rPr>
                <w:snapToGrid w:val="0"/>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本项目周围50m范围内均不存在声环境保护目标，因此不对本项目厂界四周噪声进行监测。</w:t>
            </w:r>
          </w:p>
          <w:p>
            <w:pPr>
              <w:keepNext w:val="0"/>
              <w:keepLines w:val="0"/>
              <w:pageBreakBefore w:val="0"/>
              <w:wordWrap/>
              <w:overflowPunct/>
              <w:topLinePunct w:val="0"/>
              <w:bidi w:val="0"/>
              <w:spacing w:line="360" w:lineRule="auto"/>
              <w:ind w:firstLine="482"/>
              <w:rPr>
                <w:bCs/>
                <w:snapToGrid w:val="0"/>
                <w:color w:val="000000" w:themeColor="text1"/>
                <w:sz w:val="24"/>
                <w14:textFill>
                  <w14:solidFill>
                    <w14:schemeClr w14:val="tx1"/>
                  </w14:solidFill>
                </w14:textFill>
              </w:rPr>
            </w:pPr>
            <w:r>
              <w:rPr>
                <w:b/>
                <w:color w:val="000000" w:themeColor="text1"/>
                <w:kern w:val="0"/>
                <w:sz w:val="24"/>
                <w14:textFill>
                  <w14:solidFill>
                    <w14:schemeClr w14:val="tx1"/>
                  </w14:solidFill>
                </w14:textFill>
              </w:rPr>
              <w:t>5、</w:t>
            </w:r>
            <w:r>
              <w:rPr>
                <w:rFonts w:hint="eastAsia"/>
                <w:b/>
                <w:color w:val="000000" w:themeColor="text1"/>
                <w:kern w:val="0"/>
                <w:sz w:val="24"/>
                <w14:textFill>
                  <w14:solidFill>
                    <w14:schemeClr w14:val="tx1"/>
                  </w14:solidFill>
                </w14:textFill>
              </w:rPr>
              <w:t>土壤</w:t>
            </w:r>
            <w:r>
              <w:rPr>
                <w:b/>
                <w:color w:val="000000" w:themeColor="text1"/>
                <w:kern w:val="0"/>
                <w:sz w:val="24"/>
                <w14:textFill>
                  <w14:solidFill>
                    <w14:schemeClr w14:val="tx1"/>
                  </w14:solidFill>
                </w14:textFill>
              </w:rPr>
              <w:t>环境</w:t>
            </w:r>
          </w:p>
          <w:p>
            <w:pPr>
              <w:keepNext w:val="0"/>
              <w:keepLines w:val="0"/>
              <w:pageBreakBefore w:val="0"/>
              <w:wordWrap/>
              <w:overflowPunct/>
              <w:topLinePunct w:val="0"/>
              <w:bidi w:val="0"/>
              <w:spacing w:line="360" w:lineRule="auto"/>
              <w:ind w:firstLine="482"/>
              <w:rPr>
                <w:color w:val="000000" w:themeColor="text1"/>
                <w:sz w:val="24"/>
                <w14:textFill>
                  <w14:solidFill>
                    <w14:schemeClr w14:val="tx1"/>
                  </w14:solidFill>
                </w14:textFill>
              </w:rPr>
            </w:pPr>
            <w:r>
              <w:rPr>
                <w:rFonts w:hint="eastAsia"/>
                <w:snapToGrid w:val="0"/>
                <w:color w:val="000000" w:themeColor="text1"/>
                <w:sz w:val="24"/>
                <w14:textFill>
                  <w14:solidFill>
                    <w14:schemeClr w14:val="tx1"/>
                  </w14:solidFill>
                </w14:textFill>
              </w:rPr>
              <w:t>根据《建设项目环境影响报告表编制技术指南 （污染影响类）（试行）》现状监测要求，“土壤环境原则上不开展环境质量现状调查。建设项目存在土壤环境污染途径的，应结合污染源、保护目标分布情况开展现状调查以留作背景值”要求，</w:t>
            </w:r>
            <w:r>
              <w:rPr>
                <w:rFonts w:hint="eastAsia"/>
                <w:snapToGrid w:val="0"/>
                <w:color w:val="000000" w:themeColor="text1"/>
                <w:sz w:val="24"/>
                <w:lang w:val="en-US" w:eastAsia="zh-CN"/>
                <w14:textFill>
                  <w14:solidFill>
                    <w14:schemeClr w14:val="tx1"/>
                  </w14:solidFill>
                </w14:textFill>
              </w:rPr>
              <w:t>本</w:t>
            </w:r>
            <w:r>
              <w:rPr>
                <w:rFonts w:hint="eastAsia"/>
                <w:snapToGrid w:val="0"/>
                <w:color w:val="000000" w:themeColor="text1"/>
                <w:sz w:val="24"/>
                <w14:textFill>
                  <w14:solidFill>
                    <w14:schemeClr w14:val="tx1"/>
                  </w14:solidFill>
                </w14:textFill>
              </w:rPr>
              <w:t>项目在</w:t>
            </w:r>
            <w:r>
              <w:rPr>
                <w:rFonts w:hint="eastAsia"/>
                <w:snapToGrid w:val="0"/>
                <w:color w:val="000000" w:themeColor="text1"/>
                <w:sz w:val="24"/>
                <w:lang w:val="en-US" w:eastAsia="zh-CN"/>
                <w14:textFill>
                  <w14:solidFill>
                    <w14:schemeClr w14:val="tx1"/>
                  </w14:solidFill>
                </w14:textFill>
              </w:rPr>
              <w:t>分区防渗后，</w:t>
            </w:r>
            <w:r>
              <w:rPr>
                <w:rFonts w:hint="eastAsia"/>
                <w:snapToGrid w:val="0"/>
                <w:color w:val="000000" w:themeColor="text1"/>
                <w:sz w:val="24"/>
                <w14:textFill>
                  <w14:solidFill>
                    <w14:schemeClr w14:val="tx1"/>
                  </w14:solidFill>
                </w14:textFill>
              </w:rPr>
              <w:t>运行过程中</w:t>
            </w:r>
            <w:r>
              <w:rPr>
                <w:rFonts w:hint="eastAsia"/>
                <w:snapToGrid w:val="0"/>
                <w:color w:val="000000" w:themeColor="text1"/>
                <w:sz w:val="24"/>
                <w:lang w:val="en-US" w:eastAsia="zh-CN"/>
                <w14:textFill>
                  <w14:solidFill>
                    <w14:schemeClr w14:val="tx1"/>
                  </w14:solidFill>
                </w14:textFill>
              </w:rPr>
              <w:t>基本不</w:t>
            </w:r>
            <w:r>
              <w:rPr>
                <w:rFonts w:hint="eastAsia"/>
                <w:snapToGrid w:val="0"/>
                <w:color w:val="000000" w:themeColor="text1"/>
                <w:sz w:val="24"/>
                <w14:textFill>
                  <w14:solidFill>
                    <w14:schemeClr w14:val="tx1"/>
                  </w14:solidFill>
                </w14:textFill>
              </w:rPr>
              <w:t>存在</w:t>
            </w:r>
            <w:r>
              <w:rPr>
                <w:rFonts w:hint="eastAsia"/>
                <w:snapToGrid w:val="0"/>
                <w:color w:val="000000" w:themeColor="text1"/>
                <w:sz w:val="24"/>
                <w:lang w:val="en-US" w:eastAsia="zh-CN"/>
                <w14:textFill>
                  <w14:solidFill>
                    <w14:schemeClr w14:val="tx1"/>
                  </w14:solidFill>
                </w14:textFill>
              </w:rPr>
              <w:t>土壤</w:t>
            </w:r>
            <w:r>
              <w:rPr>
                <w:rFonts w:hint="eastAsia"/>
                <w:snapToGrid w:val="0"/>
                <w:color w:val="000000" w:themeColor="text1"/>
                <w:sz w:val="24"/>
                <w14:textFill>
                  <w14:solidFill>
                    <w14:schemeClr w14:val="tx1"/>
                  </w14:solidFill>
                </w14:textFill>
              </w:rPr>
              <w:t>环境污染途径，</w:t>
            </w:r>
            <w:r>
              <w:rPr>
                <w:rFonts w:hint="eastAsia"/>
                <w:snapToGrid w:val="0"/>
                <w:color w:val="000000" w:themeColor="text1"/>
                <w:sz w:val="24"/>
                <w:lang w:val="en-US" w:eastAsia="zh-CN"/>
                <w14:textFill>
                  <w14:solidFill>
                    <w14:schemeClr w14:val="tx1"/>
                  </w14:solidFill>
                </w14:textFill>
              </w:rPr>
              <w:t>故不开展土壤质量现状调查</w:t>
            </w:r>
            <w:r>
              <w:rPr>
                <w:rFonts w:hint="eastAsia"/>
                <w:color w:val="000000" w:themeColor="text1"/>
                <w:sz w:val="24"/>
                <w14:textFill>
                  <w14:solidFill>
                    <w14:schemeClr w14:val="tx1"/>
                  </w14:solidFill>
                </w14:textFill>
              </w:rPr>
              <w:t>。</w:t>
            </w:r>
          </w:p>
          <w:p>
            <w:pPr>
              <w:spacing w:line="360" w:lineRule="auto"/>
              <w:ind w:firstLine="482" w:firstLineChars="200"/>
              <w:rPr>
                <w:bCs/>
                <w:snapToGrid w:val="0"/>
                <w:color w:val="000000" w:themeColor="text1"/>
                <w:sz w:val="24"/>
                <w14:textFill>
                  <w14:solidFill>
                    <w14:schemeClr w14:val="tx1"/>
                  </w14:solidFill>
                </w14:textFill>
              </w:rPr>
            </w:pPr>
            <w:r>
              <w:rPr>
                <w:rFonts w:hint="eastAsia"/>
                <w:b/>
                <w:color w:val="000000" w:themeColor="text1"/>
                <w:kern w:val="0"/>
                <w:sz w:val="24"/>
                <w14:textFill>
                  <w14:solidFill>
                    <w14:schemeClr w14:val="tx1"/>
                  </w14:solidFill>
                </w14:textFill>
              </w:rPr>
              <w:t>6</w:t>
            </w: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生态</w:t>
            </w:r>
            <w:r>
              <w:rPr>
                <w:b/>
                <w:color w:val="000000" w:themeColor="text1"/>
                <w:kern w:val="0"/>
                <w:sz w:val="24"/>
                <w14:textFill>
                  <w14:solidFill>
                    <w14:schemeClr w14:val="tx1"/>
                  </w14:solidFill>
                </w14:textFill>
              </w:rPr>
              <w:t>环境</w:t>
            </w:r>
          </w:p>
          <w:p>
            <w:pPr>
              <w:pStyle w:val="10"/>
              <w:spacing w:before="0" w:after="0" w:line="360" w:lineRule="auto"/>
              <w:ind w:right="0" w:firstLine="480" w:firstLineChars="200"/>
              <w:rPr>
                <w:rFonts w:hint="eastAsia"/>
                <w:snapToGrid w:val="0"/>
                <w:color w:val="000000" w:themeColor="text1"/>
                <w:sz w:val="24"/>
                <w14:textFill>
                  <w14:solidFill>
                    <w14:schemeClr w14:val="tx1"/>
                  </w14:solidFill>
                </w14:textFill>
              </w:rPr>
            </w:pPr>
            <w:r>
              <w:rPr>
                <w:rFonts w:hint="eastAsia"/>
                <w:snapToGrid w:val="0"/>
                <w:color w:val="000000" w:themeColor="text1"/>
                <w:sz w:val="24"/>
                <w14:textFill>
                  <w14:solidFill>
                    <w14:schemeClr w14:val="tx1"/>
                  </w14:solidFill>
                </w14:textFill>
              </w:rPr>
              <w:t>根据《建设项目环境影响报告表编制技术指南 （污染影响类）（试行）》 “</w:t>
            </w:r>
            <w:r>
              <w:rPr>
                <w:rFonts w:hint="eastAsia"/>
                <w:color w:val="000000" w:themeColor="text1"/>
                <w:sz w:val="24"/>
                <w:szCs w:val="24"/>
                <w14:textFill>
                  <w14:solidFill>
                    <w14:schemeClr w14:val="tx1"/>
                  </w14:solidFill>
                </w14:textFill>
              </w:rPr>
              <w:t>产业园区外建设项目新增用地且用地范围内含有生态环境保护目标时，应进行生态现状调查”</w:t>
            </w:r>
            <w:r>
              <w:rPr>
                <w:rFonts w:hint="eastAsia"/>
                <w:snapToGrid w:val="0"/>
                <w:color w:val="000000" w:themeColor="text1"/>
                <w:sz w:val="24"/>
                <w14:textFill>
                  <w14:solidFill>
                    <w14:schemeClr w14:val="tx1"/>
                  </w14:solidFill>
                </w14:textFill>
              </w:rPr>
              <w:t>要求</w:t>
            </w:r>
            <w:r>
              <w:rPr>
                <w:rFonts w:hint="eastAsia"/>
                <w:color w:val="000000" w:themeColor="text1"/>
                <w:sz w:val="24"/>
                <w:szCs w:val="24"/>
                <w14:textFill>
                  <w14:solidFill>
                    <w14:schemeClr w14:val="tx1"/>
                  </w14:solidFill>
                </w14:textFill>
              </w:rPr>
              <w:t>。经核实，本项目在产业园区内，新增占地范围内无生态环境保护目标，故不开展生态现状调查，本次仅根据现场勘查情况，对周边生态</w:t>
            </w:r>
            <w:r>
              <w:rPr>
                <w:rFonts w:hint="eastAsia"/>
                <w:snapToGrid w:val="0"/>
                <w:color w:val="000000" w:themeColor="text1"/>
                <w:sz w:val="24"/>
                <w14:textFill>
                  <w14:solidFill>
                    <w14:schemeClr w14:val="tx1"/>
                  </w14:solidFill>
                </w14:textFill>
              </w:rPr>
              <w:t>环境做简单描述。</w:t>
            </w:r>
          </w:p>
          <w:p>
            <w:pPr>
              <w:pStyle w:val="10"/>
              <w:spacing w:before="0" w:after="0" w:line="360" w:lineRule="auto"/>
              <w:ind w:right="0" w:firstLine="480" w:firstLineChars="200"/>
              <w:rPr>
                <w:rFonts w:hint="eastAsia"/>
                <w:snapToGrid w:val="0"/>
                <w:color w:val="000000" w:themeColor="text1"/>
                <w:sz w:val="24"/>
                <w14:textFill>
                  <w14:solidFill>
                    <w14:schemeClr w14:val="tx1"/>
                  </w14:solidFill>
                </w14:textFill>
              </w:rPr>
            </w:pPr>
            <w:r>
              <w:rPr>
                <w:rFonts w:hint="eastAsia"/>
                <w:snapToGrid w:val="0"/>
                <w:color w:val="000000" w:themeColor="text1"/>
                <w:sz w:val="24"/>
                <w14:textFill>
                  <w14:solidFill>
                    <w14:schemeClr w14:val="tx1"/>
                  </w14:solidFill>
                </w14:textFill>
              </w:rPr>
              <w:t>根据现场勘查按中国植物地理区域划分，区域属新疆荒漠区，准噶尔荒漠省，乌苏—奇台州。</w:t>
            </w:r>
          </w:p>
          <w:p>
            <w:pPr>
              <w:pStyle w:val="10"/>
              <w:spacing w:before="0" w:after="0" w:line="360" w:lineRule="auto"/>
              <w:ind w:right="0" w:firstLine="480" w:firstLineChars="200"/>
              <w:rPr>
                <w:rFonts w:hint="eastAsia"/>
                <w:snapToGrid w:val="0"/>
                <w:color w:val="000000" w:themeColor="text1"/>
                <w:sz w:val="24"/>
                <w14:textFill>
                  <w14:solidFill>
                    <w14:schemeClr w14:val="tx1"/>
                  </w14:solidFill>
                </w14:textFill>
              </w:rPr>
            </w:pPr>
            <w:r>
              <w:rPr>
                <w:rFonts w:hint="eastAsia"/>
                <w:snapToGrid w:val="0"/>
                <w:color w:val="000000" w:themeColor="text1"/>
                <w:sz w:val="24"/>
                <w14:textFill>
                  <w14:solidFill>
                    <w14:schemeClr w14:val="tx1"/>
                  </w14:solidFill>
                </w14:textFill>
              </w:rPr>
              <w:t>评价区域植被主要为沙漠植被和平原植被：沙漠植被有柽柳、沙拐枣、白刺、野枸杞、梭梭柴、铃铛刺等灌木外，骆驼刺、芨芨草、蒿属、碱蓬等矮生型植物；平原植被包括旱生性植被和草甸草本植被，旱生性植被多分布在未开 垦的荒地和沙土上，主要有琵琶柴、柽柳、沙枣刺、铃铛刺、野枸杞、碱嵩、盐梭梭、骆驼刺、胖姑娘、碱灰藜、灯笼草、鸡眼草、白刺等。草甸草本植被分布在农田、渠道附近，受渠水浸润而生长旺。主要有芦苇、甘草、苦豆子、芨芨草、野蔷薇、灰灰草、苍耳、旋花草、奶子草等。</w:t>
            </w:r>
          </w:p>
          <w:p>
            <w:pPr>
              <w:pStyle w:val="10"/>
              <w:spacing w:before="0" w:after="0" w:line="360" w:lineRule="auto"/>
              <w:ind w:right="0" w:firstLine="480" w:firstLineChars="200"/>
              <w:rPr>
                <w:rFonts w:hint="eastAsia"/>
                <w:snapToGrid w:val="0"/>
                <w:color w:val="000000" w:themeColor="text1"/>
                <w:sz w:val="24"/>
                <w14:textFill>
                  <w14:solidFill>
                    <w14:schemeClr w14:val="tx1"/>
                  </w14:solidFill>
                </w14:textFill>
              </w:rPr>
            </w:pPr>
            <w:r>
              <w:rPr>
                <w:rFonts w:hint="eastAsia"/>
                <w:snapToGrid w:val="0"/>
                <w:color w:val="000000" w:themeColor="text1"/>
                <w:sz w:val="24"/>
                <w14:textFill>
                  <w14:solidFill>
                    <w14:schemeClr w14:val="tx1"/>
                  </w14:solidFill>
                </w14:textFill>
              </w:rPr>
              <w:t>项目区域主要植物有盐生假木贼、博洛绢蒿、猪毛菜、叉毛蓬、角果藜等，伴生有东方旱麦草、木地肤、驼绒藜等；高度多为10cm～25cm，盖度15%～30%，植被类型单一。</w:t>
            </w:r>
          </w:p>
          <w:p>
            <w:pPr>
              <w:pStyle w:val="10"/>
              <w:spacing w:before="0" w:after="0" w:line="360" w:lineRule="auto"/>
              <w:ind w:right="0" w:firstLine="480" w:firstLineChars="200"/>
              <w:rPr>
                <w:rFonts w:hint="eastAsia"/>
                <w:snapToGrid w:val="0"/>
                <w:color w:val="000000" w:themeColor="text1"/>
                <w:sz w:val="24"/>
                <w14:textFill>
                  <w14:solidFill>
                    <w14:schemeClr w14:val="tx1"/>
                  </w14:solidFill>
                </w14:textFill>
              </w:rPr>
            </w:pPr>
            <w:r>
              <w:rPr>
                <w:rFonts w:hint="eastAsia"/>
                <w:snapToGrid w:val="0"/>
                <w:color w:val="000000" w:themeColor="text1"/>
                <w:sz w:val="24"/>
                <w14:textFill>
                  <w14:solidFill>
                    <w14:schemeClr w14:val="tx1"/>
                  </w14:solidFill>
                </w14:textFill>
              </w:rPr>
              <w:t>因此，项目区应以保护地表为主，防止地表结皮层破坏，而进一步引起沙化沙尘暴等生态问题。</w:t>
            </w:r>
          </w:p>
          <w:p>
            <w:pPr>
              <w:pStyle w:val="10"/>
              <w:spacing w:before="0" w:after="0" w:line="360" w:lineRule="auto"/>
              <w:ind w:right="0" w:firstLine="480" w:firstLineChars="200"/>
              <w:rPr>
                <w:rFonts w:hint="eastAsia"/>
                <w:snapToGrid w:val="0"/>
                <w:color w:val="000000" w:themeColor="text1"/>
                <w:sz w:val="24"/>
                <w:lang w:val="en-US" w:eastAsia="zh-CN"/>
                <w14:textFill>
                  <w14:solidFill>
                    <w14:schemeClr w14:val="tx1"/>
                  </w14:solidFill>
                </w14:textFill>
              </w:rPr>
            </w:pPr>
            <w:r>
              <w:rPr>
                <w:rFonts w:hint="eastAsia"/>
                <w:snapToGrid w:val="0"/>
                <w:color w:val="000000" w:themeColor="text1"/>
                <w:sz w:val="24"/>
                <w14:textFill>
                  <w14:solidFill>
                    <w14:schemeClr w14:val="tx1"/>
                  </w14:solidFill>
                </w14:textFill>
              </w:rPr>
              <w:t>由野生动物地理区划划分，园区域属古北界、中亚亚界、蒙新区、西部荒漠亚区、准噶尔盆地小区，其生境主要为荒漠区、工业分布区，园区野生动物缺乏本地特有种。除啮齿类外，基本无多见种，未见国家级、省级重点保护野生动物。常见野生动物为伴人种的鸟类和啮齿动物等，数量少，种类通常较单一。主要有家燕、椋鸟、乌鸦、麻雀、灰仓鼠、小家鼠和褐家鼠等</w:t>
            </w:r>
            <w:r>
              <w:rPr>
                <w:rFonts w:hint="eastAsia"/>
                <w:snapToGrid w:val="0"/>
                <w:color w:val="000000" w:themeColor="text1"/>
                <w:sz w:val="24"/>
                <w:lang w:val="en-US" w:eastAsia="zh-CN"/>
                <w14:textFill>
                  <w14:solidFill>
                    <w14:schemeClr w14:val="tx1"/>
                  </w14:solidFill>
                </w14:textFill>
              </w:rPr>
              <w:t>。</w:t>
            </w:r>
          </w:p>
          <w:p>
            <w:pPr>
              <w:pStyle w:val="10"/>
              <w:spacing w:before="0" w:after="0" w:line="360" w:lineRule="auto"/>
              <w:ind w:right="0" w:firstLine="480" w:firstLineChars="200"/>
              <w:rPr>
                <w:bCs/>
                <w:snapToGrid w:val="0"/>
                <w:color w:val="000000" w:themeColor="text1"/>
                <w:sz w:val="24"/>
                <w14:textFill>
                  <w14:solidFill>
                    <w14:schemeClr w14:val="tx1"/>
                  </w14:solidFill>
                </w14:textFill>
              </w:rPr>
            </w:pPr>
            <w:r>
              <w:rPr>
                <w:rFonts w:hint="eastAsia"/>
                <w:snapToGrid w:val="0"/>
                <w:color w:val="000000" w:themeColor="text1"/>
                <w:sz w:val="24"/>
                <w14:textFill>
                  <w14:solidFill>
                    <w14:schemeClr w14:val="tx1"/>
                  </w14:solidFill>
                </w14:textFill>
              </w:rPr>
              <w:t>因此，项目所在地无保护、珍稀、濒危动植物分布，生态环境较为简单。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pPr>
              <w:adjustRightInd w:val="0"/>
              <w:snapToGrid w:val="0"/>
              <w:jc w:val="center"/>
              <w:rPr>
                <w:rFonts w:cs="宋体"/>
                <w:color w:val="000000" w:themeColor="text1"/>
                <w:kern w:val="0"/>
                <w:sz w:val="24"/>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环境</w:t>
            </w:r>
          </w:p>
          <w:p>
            <w:pPr>
              <w:adjustRightInd w:val="0"/>
              <w:snapToGrid w:val="0"/>
              <w:jc w:val="center"/>
              <w:rPr>
                <w:rFonts w:cs="宋体"/>
                <w:color w:val="000000" w:themeColor="text1"/>
                <w:kern w:val="0"/>
                <w:sz w:val="24"/>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保护</w:t>
            </w:r>
          </w:p>
          <w:p>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目标</w:t>
            </w:r>
          </w:p>
        </w:tc>
        <w:tc>
          <w:tcPr>
            <w:tcW w:w="8190" w:type="dxa"/>
            <w:vAlign w:val="center"/>
          </w:tcPr>
          <w:p>
            <w:pPr>
              <w:pStyle w:val="53"/>
              <w:spacing w:line="360" w:lineRule="auto"/>
              <w:ind w:firstLine="482" w:firstLineChars="200"/>
              <w:jc w:val="both"/>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1、大气环境</w:t>
            </w:r>
          </w:p>
          <w:p>
            <w:pPr>
              <w:pStyle w:val="53"/>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本项目厂界外500米范围内无自然保护区、风景名胜区</w:t>
            </w:r>
            <w:r>
              <w:rPr>
                <w:rFonts w:hint="eastAsia" w:ascii="Times New Roman" w:hAnsi="Times New Roman" w:cs="Times New Roman"/>
                <w:color w:val="000000" w:themeColor="text1"/>
                <w14:textFill>
                  <w14:solidFill>
                    <w14:schemeClr w14:val="tx1"/>
                  </w14:solidFill>
                </w14:textFill>
              </w:rPr>
              <w:t>、居民区</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学校和农村地区</w:t>
            </w:r>
            <w:r>
              <w:rPr>
                <w:rFonts w:ascii="Times New Roman" w:hAnsi="Times New Roman" w:cs="Times New Roman"/>
                <w:color w:val="000000" w:themeColor="text1"/>
                <w14:textFill>
                  <w14:solidFill>
                    <w14:schemeClr w14:val="tx1"/>
                  </w14:solidFill>
                </w14:textFill>
              </w:rPr>
              <w:t>人群较集中的区域</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无</w:t>
            </w:r>
            <w:r>
              <w:rPr>
                <w:rFonts w:hint="eastAsia" w:ascii="Times New Roman" w:hAnsi="Times New Roman"/>
                <w:color w:val="000000" w:themeColor="text1"/>
                <w14:textFill>
                  <w14:solidFill>
                    <w14:schemeClr w14:val="tx1"/>
                  </w14:solidFill>
                </w14:textFill>
              </w:rPr>
              <w:t>大气环境保护目标。</w:t>
            </w:r>
          </w:p>
          <w:p>
            <w:pPr>
              <w:pStyle w:val="53"/>
              <w:spacing w:line="360" w:lineRule="auto"/>
              <w:ind w:firstLine="482" w:firstLineChars="200"/>
              <w:jc w:val="both"/>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2</w:t>
            </w:r>
            <w:r>
              <w:rPr>
                <w:rFonts w:ascii="Times New Roman" w:hAnsi="Times New Roman" w:cs="Times New Roman"/>
                <w:b/>
                <w:color w:val="000000" w:themeColor="text1"/>
                <w14:textFill>
                  <w14:solidFill>
                    <w14:schemeClr w14:val="tx1"/>
                  </w14:solidFill>
                </w14:textFill>
              </w:rPr>
              <w:t>、声环境</w:t>
            </w:r>
          </w:p>
          <w:p>
            <w:pPr>
              <w:pStyle w:val="53"/>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本项目厂界外50米范围内</w:t>
            </w:r>
            <w:r>
              <w:rPr>
                <w:rFonts w:hint="eastAsia" w:ascii="Times New Roman" w:hAnsi="Times New Roman" w:cs="Times New Roman"/>
                <w:color w:val="000000" w:themeColor="text1"/>
                <w14:textFill>
                  <w14:solidFill>
                    <w14:schemeClr w14:val="tx1"/>
                  </w14:solidFill>
                </w14:textFill>
              </w:rPr>
              <w:t>无居民区和学校等</w:t>
            </w:r>
            <w:r>
              <w:rPr>
                <w:rFonts w:ascii="Times New Roman" w:hAnsi="Times New Roman" w:cs="Times New Roman"/>
                <w:color w:val="000000" w:themeColor="text1"/>
                <w14:textFill>
                  <w14:solidFill>
                    <w14:schemeClr w14:val="tx1"/>
                  </w14:solidFill>
                </w14:textFill>
              </w:rPr>
              <w:t>声环境保护目标</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无声环境保护目标。</w:t>
            </w:r>
          </w:p>
          <w:p>
            <w:pPr>
              <w:pStyle w:val="53"/>
              <w:spacing w:line="360" w:lineRule="auto"/>
              <w:ind w:firstLine="482" w:firstLineChars="200"/>
              <w:jc w:val="both"/>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3</w:t>
            </w:r>
            <w:r>
              <w:rPr>
                <w:rFonts w:ascii="Times New Roman" w:hAnsi="Times New Roman" w:cs="Times New Roman"/>
                <w:b/>
                <w:color w:val="000000" w:themeColor="text1"/>
                <w14:textFill>
                  <w14:solidFill>
                    <w14:schemeClr w14:val="tx1"/>
                  </w14:solidFill>
                </w14:textFill>
              </w:rPr>
              <w:t>、地下水环境</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场</w:t>
            </w:r>
            <w:r>
              <w:rPr>
                <w:color w:val="000000" w:themeColor="text1"/>
                <w:sz w:val="24"/>
                <w14:textFill>
                  <w14:solidFill>
                    <w14:schemeClr w14:val="tx1"/>
                  </w14:solidFill>
                </w14:textFill>
              </w:rPr>
              <w:t>界外500米范围内无地下水集中式饮用水水源和热水、矿泉水、温泉等特殊地下水资源。</w:t>
            </w:r>
          </w:p>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4、生态环境</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本项目周边无生态环境敏感目标。</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各要素厂界外500m和50m范围及敏感目标分布情况见附图。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污染</w:t>
            </w:r>
          </w:p>
          <w:p>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物排</w:t>
            </w:r>
          </w:p>
          <w:p>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放控</w:t>
            </w:r>
          </w:p>
          <w:p>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制标</w:t>
            </w:r>
          </w:p>
          <w:p>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准</w:t>
            </w:r>
          </w:p>
        </w:tc>
        <w:tc>
          <w:tcPr>
            <w:tcW w:w="8190" w:type="dxa"/>
            <w:vAlign w:val="center"/>
          </w:tcPr>
          <w:p>
            <w:pPr>
              <w:spacing w:line="360" w:lineRule="auto"/>
              <w:ind w:firstLine="48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废气</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（1）施工期扬尘执行</w:t>
            </w:r>
            <w:r>
              <w:rPr>
                <w:rFonts w:hint="default" w:ascii="Times New Roman" w:hAnsi="Times New Roman" w:cs="Times New Roman"/>
                <w:color w:val="000000" w:themeColor="text1"/>
                <w:sz w:val="24"/>
                <w14:textFill>
                  <w14:solidFill>
                    <w14:schemeClr w14:val="tx1"/>
                  </w14:solidFill>
                </w14:textFill>
              </w:rPr>
              <w:t>《大气污染物综合排放标准》（GB16297-1996）表2颗粒物无组织排放限值（1.0mg/m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 xml:space="preserve">3 </w:t>
            </w:r>
            <w:r>
              <w:rPr>
                <w:rFonts w:hint="default" w:ascii="Times New Roman" w:hAnsi="Times New Roman" w:cs="Times New Roman"/>
                <w:color w:val="000000" w:themeColor="text1"/>
                <w:sz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（2）厂界颗粒物执行《水泥工业大气污染物排放标准》（GB4915-2013） 表3大气污染物无组织排放限值。</w:t>
            </w:r>
          </w:p>
          <w:p>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）锅炉废气颗粒物、SO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NO</w:t>
            </w:r>
            <w:r>
              <w:rPr>
                <w:rFonts w:hint="default" w:ascii="Times New Roman" w:hAnsi="Times New Roman" w:cs="Times New Roman"/>
                <w:color w:val="000000" w:themeColor="text1"/>
                <w:sz w:val="24"/>
                <w:vertAlign w:val="subscript"/>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执</w:t>
            </w:r>
            <w:r>
              <w:rPr>
                <w:rFonts w:hint="eastAsia"/>
                <w:color w:val="000000" w:themeColor="text1"/>
                <w:sz w:val="24"/>
                <w14:textFill>
                  <w14:solidFill>
                    <w14:schemeClr w14:val="tx1"/>
                  </w14:solidFill>
                </w14:textFill>
              </w:rPr>
              <w:t>行《 锅炉大气污染物排放标准》（GB13271-2014）表</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新建锅炉大气污染物排放浓度限值中燃气锅炉排放限   值。</w:t>
            </w:r>
          </w:p>
          <w:p>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textAlignment w:val="auto"/>
              <w:rPr>
                <w:rFonts w:hint="eastAsia" w:cs="宋体"/>
                <w:bCs/>
                <w:color w:val="000000" w:themeColor="text1"/>
                <w:sz w:val="24"/>
                <w14:textFill>
                  <w14:solidFill>
                    <w14:schemeClr w14:val="tx1"/>
                  </w14:solidFill>
                </w14:textFill>
              </w:rPr>
            </w:pPr>
            <w:r>
              <w:rPr>
                <w:rFonts w:hint="eastAsia" w:cs="宋体"/>
                <w:bCs/>
                <w:color w:val="000000" w:themeColor="text1"/>
                <w:sz w:val="24"/>
                <w14:textFill>
                  <w14:solidFill>
                    <w14:schemeClr w14:val="tx1"/>
                  </w14:solidFill>
                </w14:textFill>
              </w:rPr>
              <w:t>主要污染物排放标准详见表 3-</w:t>
            </w:r>
            <w:r>
              <w:rPr>
                <w:rFonts w:hint="eastAsia" w:cs="宋体"/>
                <w:bCs/>
                <w:color w:val="000000" w:themeColor="text1"/>
                <w:sz w:val="24"/>
                <w:lang w:val="en-US" w:eastAsia="zh-CN"/>
                <w14:textFill>
                  <w14:solidFill>
                    <w14:schemeClr w14:val="tx1"/>
                  </w14:solidFill>
                </w14:textFill>
              </w:rPr>
              <w:t>3</w:t>
            </w:r>
            <w:r>
              <w:rPr>
                <w:rFonts w:hint="eastAsia" w:cs="宋体"/>
                <w:bCs/>
                <w:color w:val="000000" w:themeColor="text1"/>
                <w:sz w:val="24"/>
                <w14:textFill>
                  <w14:solidFill>
                    <w14:schemeClr w14:val="tx1"/>
                  </w14:solidFill>
                </w14:textFill>
              </w:rPr>
              <w:t>。</w:t>
            </w:r>
          </w:p>
          <w:p>
            <w:pPr>
              <w:pStyle w:val="100"/>
              <w:spacing w:before="120" w:line="228" w:lineRule="auto"/>
              <w:jc w:val="center"/>
              <w:rPr>
                <w:rFonts w:ascii="Times New Roman" w:hAnsi="Times New Roman" w:eastAsia="宋体" w:cs="Times New Roman"/>
                <w:b/>
                <w:color w:val="000000" w:themeColor="text1"/>
                <w:kern w:val="2"/>
                <w:sz w:val="21"/>
                <w:szCs w:val="20"/>
                <w:vertAlign w:val="superscript"/>
                <w:lang w:val="en-US" w:eastAsia="zh-CN" w:bidi="ar-SA"/>
                <w14:textFill>
                  <w14:solidFill>
                    <w14:schemeClr w14:val="tx1"/>
                  </w14:solidFill>
                </w14:textFill>
              </w:rPr>
            </w:pPr>
            <w:r>
              <w:rPr>
                <w:rFonts w:ascii="Times New Roman" w:hAnsi="Times New Roman" w:eastAsia="宋体" w:cs="Times New Roman"/>
                <w:b/>
                <w:color w:val="000000" w:themeColor="text1"/>
                <w:kern w:val="2"/>
                <w:sz w:val="21"/>
                <w:szCs w:val="20"/>
                <w:lang w:val="en-US" w:eastAsia="zh-CN" w:bidi="ar-SA"/>
                <w14:textFill>
                  <w14:solidFill>
                    <w14:schemeClr w14:val="tx1"/>
                  </w14:solidFill>
                </w14:textFill>
              </w:rPr>
              <w:t>表 3-</w:t>
            </w:r>
            <w:r>
              <w:rPr>
                <w:rFonts w:hint="eastAsia" w:ascii="Times New Roman" w:hAnsi="Times New Roman" w:cs="Times New Roman"/>
                <w:b/>
                <w:color w:val="000000" w:themeColor="text1"/>
                <w:kern w:val="2"/>
                <w:sz w:val="21"/>
                <w:szCs w:val="20"/>
                <w:lang w:val="en-US" w:eastAsia="zh-CN" w:bidi="ar-SA"/>
                <w14:textFill>
                  <w14:solidFill>
                    <w14:schemeClr w14:val="tx1"/>
                  </w14:solidFill>
                </w14:textFill>
              </w:rPr>
              <w:t>3</w:t>
            </w:r>
            <w:r>
              <w:rPr>
                <w:rFonts w:ascii="Times New Roman" w:hAnsi="Times New Roman" w:eastAsia="宋体" w:cs="Times New Roman"/>
                <w:b/>
                <w:color w:val="000000" w:themeColor="text1"/>
                <w:kern w:val="2"/>
                <w:sz w:val="21"/>
                <w:szCs w:val="20"/>
                <w:lang w:val="en-US" w:eastAsia="zh-CN" w:bidi="ar-SA"/>
                <w14:textFill>
                  <w14:solidFill>
                    <w14:schemeClr w14:val="tx1"/>
                  </w14:solidFill>
                </w14:textFill>
              </w:rPr>
              <w:t xml:space="preserve"> 锅炉大气污染物排放限值单位：mg/m</w:t>
            </w:r>
            <w:r>
              <w:rPr>
                <w:rFonts w:ascii="Times New Roman" w:hAnsi="Times New Roman" w:eastAsia="宋体" w:cs="Times New Roman"/>
                <w:b/>
                <w:color w:val="000000" w:themeColor="text1"/>
                <w:kern w:val="2"/>
                <w:sz w:val="21"/>
                <w:szCs w:val="20"/>
                <w:vertAlign w:val="superscript"/>
                <w:lang w:val="en-US" w:eastAsia="zh-CN" w:bidi="ar-SA"/>
                <w14:textFill>
                  <w14:solidFill>
                    <w14:schemeClr w14:val="tx1"/>
                  </w14:solidFill>
                </w14:textFill>
              </w:rPr>
              <w:t>3</w:t>
            </w:r>
          </w:p>
          <w:p>
            <w:pPr>
              <w:spacing w:line="22" w:lineRule="exact"/>
              <w:rPr>
                <w:color w:val="000000" w:themeColor="text1"/>
                <w14:textFill>
                  <w14:solidFill>
                    <w14:schemeClr w14:val="tx1"/>
                  </w14:solidFill>
                </w14:textFill>
              </w:rPr>
            </w:pPr>
          </w:p>
          <w:tbl>
            <w:tblPr>
              <w:tblStyle w:val="102"/>
              <w:tblW w:w="7975"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86"/>
              <w:gridCol w:w="1027"/>
              <w:gridCol w:w="1396"/>
              <w:gridCol w:w="1165"/>
              <w:gridCol w:w="3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1386" w:type="dxa"/>
                  <w:vAlign w:val="center"/>
                </w:tcPr>
                <w:p>
                  <w:pPr>
                    <w:pStyle w:val="100"/>
                    <w:spacing w:before="155" w:line="229"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污染源</w:t>
                  </w:r>
                </w:p>
              </w:tc>
              <w:tc>
                <w:tcPr>
                  <w:tcW w:w="2423" w:type="dxa"/>
                  <w:gridSpan w:val="2"/>
                  <w:vAlign w:val="center"/>
                </w:tcPr>
                <w:p>
                  <w:pPr>
                    <w:pStyle w:val="100"/>
                    <w:spacing w:before="155" w:line="229"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污染物</w:t>
                  </w:r>
                </w:p>
              </w:tc>
              <w:tc>
                <w:tcPr>
                  <w:tcW w:w="1165" w:type="dxa"/>
                  <w:vAlign w:val="center"/>
                </w:tcPr>
                <w:p>
                  <w:pPr>
                    <w:pStyle w:val="100"/>
                    <w:spacing w:before="35" w:line="236" w:lineRule="auto"/>
                    <w:ind w:left="283" w:right="146" w:hanging="129"/>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排放浓度 mg/m</w:t>
                  </w:r>
                  <w:r>
                    <w:rPr>
                      <w:rFonts w:hint="default" w:ascii="Times New Roman" w:hAnsi="Times New Roman" w:eastAsia="宋体" w:cs="Times New Roman"/>
                      <w:b/>
                      <w:bCs/>
                      <w:color w:val="000000" w:themeColor="text1"/>
                      <w:kern w:val="2"/>
                      <w:sz w:val="21"/>
                      <w:szCs w:val="21"/>
                      <w:vertAlign w:val="superscript"/>
                      <w:lang w:val="en-US" w:eastAsia="zh-CN" w:bidi="ar-SA"/>
                      <w14:textFill>
                        <w14:solidFill>
                          <w14:schemeClr w14:val="tx1"/>
                        </w14:solidFill>
                      </w14:textFill>
                    </w:rPr>
                    <w:t>3</w:t>
                  </w:r>
                </w:p>
              </w:tc>
              <w:tc>
                <w:tcPr>
                  <w:tcW w:w="3001" w:type="dxa"/>
                  <w:vAlign w:val="center"/>
                </w:tcPr>
                <w:p>
                  <w:pPr>
                    <w:pStyle w:val="100"/>
                    <w:spacing w:before="156" w:line="228"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trPr>
              <w:tc>
                <w:tcPr>
                  <w:tcW w:w="1386" w:type="dxa"/>
                  <w:vAlign w:val="center"/>
                </w:tcPr>
                <w:p>
                  <w:pPr>
                    <w:pStyle w:val="100"/>
                    <w:spacing w:before="159" w:line="229"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厂界</w:t>
                  </w:r>
                </w:p>
              </w:tc>
              <w:tc>
                <w:tcPr>
                  <w:tcW w:w="1027" w:type="dxa"/>
                  <w:vAlign w:val="center"/>
                </w:tcPr>
                <w:p>
                  <w:pPr>
                    <w:pStyle w:val="100"/>
                    <w:spacing w:before="159" w:line="229"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无组织</w:t>
                  </w:r>
                </w:p>
              </w:tc>
              <w:tc>
                <w:tcPr>
                  <w:tcW w:w="1396" w:type="dxa"/>
                  <w:vAlign w:val="center"/>
                </w:tcPr>
                <w:p>
                  <w:pPr>
                    <w:pStyle w:val="100"/>
                    <w:spacing w:before="159" w:line="229"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颗粒物</w:t>
                  </w:r>
                </w:p>
              </w:tc>
              <w:tc>
                <w:tcPr>
                  <w:tcW w:w="1165" w:type="dxa"/>
                  <w:vAlign w:val="center"/>
                </w:tcPr>
                <w:p>
                  <w:pPr>
                    <w:spacing w:before="195" w:line="195"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0.5</w:t>
                  </w:r>
                </w:p>
              </w:tc>
              <w:tc>
                <w:tcPr>
                  <w:tcW w:w="3001" w:type="dxa"/>
                  <w:vAlign w:val="center"/>
                </w:tcPr>
                <w:p>
                  <w:pPr>
                    <w:pStyle w:val="100"/>
                    <w:spacing w:before="25" w:line="228"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《水泥工业大气污染物排放标准》</w:t>
                  </w:r>
                  <w:r>
                    <w:rPr>
                      <w:rFonts w:hint="default" w:ascii="Times New Roman" w:hAnsi="Times New Roman" w:eastAsia="宋体" w:cs="Times New Roman"/>
                      <w:color w:val="000000" w:themeColor="text1"/>
                      <w:spacing w:val="4"/>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w:t>
                  </w:r>
                  <w:r>
                    <w:rPr>
                      <w:rFonts w:hint="default" w:ascii="Times New Roman" w:hAnsi="Times New Roman" w:eastAsia="宋体" w:cs="Times New Roman"/>
                      <w:color w:val="000000" w:themeColor="text1"/>
                      <w:spacing w:val="4"/>
                      <w:sz w:val="21"/>
                      <w:szCs w:val="21"/>
                      <w14:textFill>
                        <w14:solidFill>
                          <w14:schemeClr w14:val="tx1"/>
                        </w14:solidFill>
                      </w14:textFill>
                    </w:rPr>
                    <w:t>4915-2013）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1386" w:type="dxa"/>
                  <w:vMerge w:val="restart"/>
                  <w:vAlign w:val="center"/>
                </w:tcPr>
                <w:p>
                  <w:pPr>
                    <w:pStyle w:val="100"/>
                    <w:spacing w:before="65" w:line="229"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锅炉废气</w:t>
                  </w:r>
                </w:p>
              </w:tc>
              <w:tc>
                <w:tcPr>
                  <w:tcW w:w="1027" w:type="dxa"/>
                  <w:vMerge w:val="restart"/>
                  <w:vAlign w:val="center"/>
                </w:tcPr>
                <w:p>
                  <w:pPr>
                    <w:spacing w:line="304"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p>
                  <w:pPr>
                    <w:spacing w:line="305"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p>
                  <w:pPr>
                    <w:spacing w:line="305"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100"/>
                    <w:spacing w:before="65" w:line="229"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有组织</w:t>
                  </w:r>
                </w:p>
              </w:tc>
              <w:tc>
                <w:tcPr>
                  <w:tcW w:w="1396" w:type="dxa"/>
                  <w:vAlign w:val="center"/>
                </w:tcPr>
                <w:p>
                  <w:pPr>
                    <w:pStyle w:val="100"/>
                    <w:spacing w:before="78" w:line="229"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颗粒物</w:t>
                  </w:r>
                </w:p>
              </w:tc>
              <w:tc>
                <w:tcPr>
                  <w:tcW w:w="1165" w:type="dxa"/>
                  <w:vAlign w:val="center"/>
                </w:tcPr>
                <w:p>
                  <w:pPr>
                    <w:spacing w:before="114" w:line="195"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20</w:t>
                  </w:r>
                </w:p>
              </w:tc>
              <w:tc>
                <w:tcPr>
                  <w:tcW w:w="3001" w:type="dxa"/>
                  <w:vMerge w:val="restart"/>
                  <w:vAlign w:val="center"/>
                </w:tcPr>
                <w:p>
                  <w:pPr>
                    <w:pStyle w:val="100"/>
                    <w:spacing w:before="164" w:line="229"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《锅炉大气污染物排放标准》</w:t>
                  </w:r>
                  <w:r>
                    <w:rPr>
                      <w:rFonts w:hint="default" w:ascii="Times New Roman" w:hAnsi="Times New Roman" w:eastAsia="宋体" w:cs="Times New Roman"/>
                      <w:color w:val="000000" w:themeColor="text1"/>
                      <w:spacing w:val="6"/>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w:t>
                  </w:r>
                  <w:r>
                    <w:rPr>
                      <w:rFonts w:hint="default" w:ascii="Times New Roman" w:hAnsi="Times New Roman" w:eastAsia="宋体" w:cs="Times New Roman"/>
                      <w:color w:val="000000" w:themeColor="text1"/>
                      <w:spacing w:val="6"/>
                      <w:sz w:val="21"/>
                      <w:szCs w:val="21"/>
                      <w14:textFill>
                        <w14:solidFill>
                          <w14:schemeClr w14:val="tx1"/>
                        </w14:solidFill>
                      </w14:textFill>
                    </w:rPr>
                    <w:t>13271-2014）表</w:t>
                  </w:r>
                  <w:r>
                    <w:rPr>
                      <w:rFonts w:hint="eastAsia" w:ascii="Times New Roman" w:hAnsi="Times New Roman" w:eastAsia="宋体" w:cs="Times New Roman"/>
                      <w:color w:val="000000" w:themeColor="text1"/>
                      <w:spacing w:val="6"/>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6"/>
                      <w:sz w:val="21"/>
                      <w:szCs w:val="21"/>
                      <w14:textFill>
                        <w14:solidFill>
                          <w14:schemeClr w14:val="tx1"/>
                        </w14:solidFill>
                      </w14:textFill>
                    </w:rPr>
                    <w:t>新建锅炉大</w:t>
                  </w:r>
                  <w:r>
                    <w:rPr>
                      <w:rFonts w:hint="default" w:ascii="Times New Roman" w:hAnsi="Times New Roman" w:eastAsia="宋体" w:cs="Times New Roman"/>
                      <w:color w:val="000000" w:themeColor="text1"/>
                      <w:spacing w:val="9"/>
                      <w:sz w:val="21"/>
                      <w:szCs w:val="21"/>
                      <w14:textFill>
                        <w14:solidFill>
                          <w14:schemeClr w14:val="tx1"/>
                        </w14:solidFill>
                      </w14:textFill>
                    </w:rPr>
                    <w:t>气污染物排放浓度限值中燃气锅</w:t>
                  </w:r>
                  <w:r>
                    <w:rPr>
                      <w:rFonts w:hint="default" w:ascii="Times New Roman" w:hAnsi="Times New Roman" w:eastAsia="宋体" w:cs="Times New Roman"/>
                      <w:color w:val="000000" w:themeColor="text1"/>
                      <w:spacing w:val="7"/>
                      <w:sz w:val="21"/>
                      <w:szCs w:val="21"/>
                      <w14:textFill>
                        <w14:solidFill>
                          <w14:schemeClr w14:val="tx1"/>
                        </w14:solidFill>
                      </w14:textFill>
                    </w:rPr>
                    <w:t>炉排放限值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1386" w:type="dxa"/>
                  <w:vMerge w:val="continue"/>
                  <w:vAlign w:val="center"/>
                </w:tcPr>
                <w:p>
                  <w:pPr>
                    <w:jc w:val="center"/>
                    <w:rPr>
                      <w:rFonts w:ascii="Arial"/>
                      <w:color w:val="000000" w:themeColor="text1"/>
                      <w:sz w:val="21"/>
                      <w14:textFill>
                        <w14:solidFill>
                          <w14:schemeClr w14:val="tx1"/>
                        </w14:solidFill>
                      </w14:textFill>
                    </w:rPr>
                  </w:pPr>
                </w:p>
              </w:tc>
              <w:tc>
                <w:tcPr>
                  <w:tcW w:w="1027" w:type="dxa"/>
                  <w:vMerge w:val="continue"/>
                  <w:vAlign w:val="center"/>
                </w:tcPr>
                <w:p>
                  <w:pPr>
                    <w:jc w:val="center"/>
                    <w:rPr>
                      <w:rFonts w:ascii="Arial"/>
                      <w:color w:val="000000" w:themeColor="text1"/>
                      <w:sz w:val="21"/>
                      <w14:textFill>
                        <w14:solidFill>
                          <w14:schemeClr w14:val="tx1"/>
                        </w14:solidFill>
                      </w14:textFill>
                    </w:rPr>
                  </w:pPr>
                </w:p>
              </w:tc>
              <w:tc>
                <w:tcPr>
                  <w:tcW w:w="1396" w:type="dxa"/>
                  <w:vAlign w:val="center"/>
                </w:tcPr>
                <w:p>
                  <w:pPr>
                    <w:spacing w:before="157" w:line="202"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pacing w:val="3"/>
                      <w:position w:val="-1"/>
                      <w:sz w:val="21"/>
                      <w:szCs w:val="21"/>
                      <w:vertAlign w:val="subscript"/>
                      <w14:textFill>
                        <w14:solidFill>
                          <w14:schemeClr w14:val="tx1"/>
                        </w14:solidFill>
                      </w14:textFill>
                    </w:rPr>
                    <w:t>2</w:t>
                  </w:r>
                </w:p>
              </w:tc>
              <w:tc>
                <w:tcPr>
                  <w:tcW w:w="1165" w:type="dxa"/>
                  <w:vAlign w:val="center"/>
                </w:tcPr>
                <w:p>
                  <w:pPr>
                    <w:spacing w:before="157" w:line="195"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3001" w:type="dxa"/>
                  <w:vMerge w:val="continue"/>
                  <w:vAlign w:val="center"/>
                </w:tcPr>
                <w:p>
                  <w:pPr>
                    <w:jc w:val="center"/>
                    <w:rPr>
                      <w:rFonts w:ascii="Arial"/>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1386" w:type="dxa"/>
                  <w:vMerge w:val="continue"/>
                  <w:vAlign w:val="center"/>
                </w:tcPr>
                <w:p>
                  <w:pPr>
                    <w:jc w:val="center"/>
                    <w:rPr>
                      <w:rFonts w:ascii="Arial"/>
                      <w:color w:val="000000" w:themeColor="text1"/>
                      <w:sz w:val="21"/>
                      <w14:textFill>
                        <w14:solidFill>
                          <w14:schemeClr w14:val="tx1"/>
                        </w14:solidFill>
                      </w14:textFill>
                    </w:rPr>
                  </w:pPr>
                </w:p>
              </w:tc>
              <w:tc>
                <w:tcPr>
                  <w:tcW w:w="1027" w:type="dxa"/>
                  <w:vMerge w:val="continue"/>
                  <w:vAlign w:val="center"/>
                </w:tcPr>
                <w:p>
                  <w:pPr>
                    <w:jc w:val="center"/>
                    <w:rPr>
                      <w:rFonts w:ascii="Arial"/>
                      <w:color w:val="000000" w:themeColor="text1"/>
                      <w:sz w:val="21"/>
                      <w14:textFill>
                        <w14:solidFill>
                          <w14:schemeClr w14:val="tx1"/>
                        </w14:solidFill>
                      </w14:textFill>
                    </w:rPr>
                  </w:pPr>
                </w:p>
              </w:tc>
              <w:tc>
                <w:tcPr>
                  <w:tcW w:w="1396" w:type="dxa"/>
                  <w:vAlign w:val="center"/>
                </w:tcPr>
                <w:p>
                  <w:pPr>
                    <w:pStyle w:val="100"/>
                    <w:spacing w:before="48" w:line="225" w:lineRule="auto"/>
                    <w:ind w:left="114" w:right="19" w:firstLine="5"/>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烟气黑度（林</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8"/>
                      <w:sz w:val="21"/>
                      <w:szCs w:val="21"/>
                      <w14:textFill>
                        <w14:solidFill>
                          <w14:schemeClr w14:val="tx1"/>
                        </w14:solidFill>
                      </w14:textFill>
                    </w:rPr>
                    <w:t>格曼黑度，极）</w:t>
                  </w:r>
                </w:p>
              </w:tc>
              <w:tc>
                <w:tcPr>
                  <w:tcW w:w="1165" w:type="dxa"/>
                  <w:vAlign w:val="center"/>
                </w:tcPr>
                <w:p>
                  <w:pPr>
                    <w:pStyle w:val="100"/>
                    <w:spacing w:before="182" w:line="266"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5"/>
                      <w:position w:val="1"/>
                      <w:sz w:val="21"/>
                      <w:szCs w:val="21"/>
                      <w14:textFill>
                        <w14:solidFill>
                          <w14:schemeClr w14:val="tx1"/>
                        </w14:solidFill>
                      </w14:textFill>
                    </w:rPr>
                    <w:t>≤1</w:t>
                  </w:r>
                </w:p>
              </w:tc>
              <w:tc>
                <w:tcPr>
                  <w:tcW w:w="3001" w:type="dxa"/>
                  <w:vMerge w:val="continue"/>
                  <w:vAlign w:val="center"/>
                </w:tcPr>
                <w:p>
                  <w:pPr>
                    <w:jc w:val="center"/>
                    <w:rPr>
                      <w:rFonts w:ascii="Arial"/>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1386" w:type="dxa"/>
                  <w:vMerge w:val="continue"/>
                  <w:vAlign w:val="center"/>
                </w:tcPr>
                <w:p>
                  <w:pPr>
                    <w:jc w:val="center"/>
                    <w:rPr>
                      <w:rFonts w:ascii="Arial"/>
                      <w:color w:val="000000" w:themeColor="text1"/>
                      <w:sz w:val="21"/>
                      <w14:textFill>
                        <w14:solidFill>
                          <w14:schemeClr w14:val="tx1"/>
                        </w14:solidFill>
                      </w14:textFill>
                    </w:rPr>
                  </w:pPr>
                </w:p>
              </w:tc>
              <w:tc>
                <w:tcPr>
                  <w:tcW w:w="1027" w:type="dxa"/>
                  <w:vMerge w:val="continue"/>
                  <w:vAlign w:val="center"/>
                </w:tcPr>
                <w:p>
                  <w:pPr>
                    <w:jc w:val="center"/>
                    <w:rPr>
                      <w:rFonts w:ascii="Arial"/>
                      <w:color w:val="000000" w:themeColor="text1"/>
                      <w:sz w:val="21"/>
                      <w14:textFill>
                        <w14:solidFill>
                          <w14:schemeClr w14:val="tx1"/>
                        </w14:solidFill>
                      </w14:textFill>
                    </w:rPr>
                  </w:pPr>
                </w:p>
              </w:tc>
              <w:tc>
                <w:tcPr>
                  <w:tcW w:w="1396" w:type="dxa"/>
                  <w:vAlign w:val="center"/>
                </w:tcPr>
                <w:p>
                  <w:pPr>
                    <w:spacing w:before="58" w:line="202"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NO</w:t>
                  </w:r>
                  <w:r>
                    <w:rPr>
                      <w:rFonts w:hint="default" w:ascii="Times New Roman" w:hAnsi="Times New Roman" w:eastAsia="宋体" w:cs="Times New Roman"/>
                      <w:color w:val="000000" w:themeColor="text1"/>
                      <w:spacing w:val="7"/>
                      <w:position w:val="-1"/>
                      <w:sz w:val="21"/>
                      <w:szCs w:val="21"/>
                      <w:vertAlign w:val="subscript"/>
                      <w14:textFill>
                        <w14:solidFill>
                          <w14:schemeClr w14:val="tx1"/>
                        </w14:solidFill>
                      </w14:textFill>
                    </w:rPr>
                    <w:t>X</w:t>
                  </w:r>
                </w:p>
              </w:tc>
              <w:tc>
                <w:tcPr>
                  <w:tcW w:w="1165" w:type="dxa"/>
                  <w:vAlign w:val="center"/>
                </w:tcPr>
                <w:p>
                  <w:pPr>
                    <w:spacing w:before="57" w:line="195"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3001" w:type="dxa"/>
                  <w:vMerge w:val="continue"/>
                  <w:vAlign w:val="center"/>
                </w:tcPr>
                <w:p>
                  <w:pPr>
                    <w:pStyle w:val="100"/>
                    <w:spacing w:before="23" w:line="218" w:lineRule="auto"/>
                    <w:ind w:left="937"/>
                    <w:jc w:val="center"/>
                    <w:rPr>
                      <w:color w:val="000000" w:themeColor="text1"/>
                      <w:sz w:val="20"/>
                      <w:szCs w:val="2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pacing w:line="360" w:lineRule="auto"/>
              <w:ind w:firstLine="482"/>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w:t>
            </w:r>
            <w:r>
              <w:rPr>
                <w:b/>
                <w:color w:val="000000" w:themeColor="text1"/>
                <w:sz w:val="24"/>
                <w:szCs w:val="20"/>
                <w14:textFill>
                  <w14:solidFill>
                    <w14:schemeClr w14:val="tx1"/>
                  </w14:solidFill>
                </w14:textFill>
              </w:rPr>
              <w:t>废水</w:t>
            </w:r>
          </w:p>
          <w:p>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textAlignment w:val="auto"/>
              <w:rPr>
                <w:rFonts w:hint="eastAsia" w:cs="宋体"/>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rFonts w:hint="eastAsia" w:cs="宋体"/>
                <w:bCs/>
                <w:color w:val="000000" w:themeColor="text1"/>
                <w:sz w:val="24"/>
                <w14:textFill>
                  <w14:solidFill>
                    <w14:schemeClr w14:val="tx1"/>
                  </w14:solidFill>
                </w14:textFill>
              </w:rPr>
              <w:t>施工期生活污水执行《污水综合排放标准》（GB8978-1996）表4三级标准。</w:t>
            </w:r>
          </w:p>
          <w:p>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textAlignment w:val="auto"/>
              <w:rPr>
                <w:rFonts w:hint="eastAsia" w:cs="宋体"/>
                <w:bCs/>
                <w:color w:val="000000" w:themeColor="text1"/>
                <w:sz w:val="24"/>
                <w14:textFill>
                  <w14:solidFill>
                    <w14:schemeClr w14:val="tx1"/>
                  </w14:solidFill>
                </w14:textFill>
              </w:rPr>
            </w:pPr>
            <w:r>
              <w:rPr>
                <w:rFonts w:hint="eastAsia" w:cs="宋体"/>
                <w:bCs/>
                <w:color w:val="000000" w:themeColor="text1"/>
                <w:sz w:val="24"/>
                <w14:textFill>
                  <w14:solidFill>
                    <w14:schemeClr w14:val="tx1"/>
                  </w14:solidFill>
                </w14:textFill>
              </w:rPr>
              <w:t>（2）运营期生活</w:t>
            </w:r>
            <w:r>
              <w:rPr>
                <w:rFonts w:hint="default" w:ascii="Times New Roman" w:hAnsi="Times New Roman" w:eastAsia="宋体" w:cs="Times New Roman"/>
                <w:bCs/>
                <w:color w:val="000000" w:themeColor="text1"/>
                <w:sz w:val="24"/>
                <w:szCs w:val="24"/>
                <w14:textFill>
                  <w14:solidFill>
                    <w14:schemeClr w14:val="tx1"/>
                  </w14:solidFill>
                </w14:textFill>
              </w:rPr>
              <w:t>污水排入排水管道进入园区污水厂处理。生活污水执行《污水综合排放标准》（GB8978- 1996）表 4 三级标准。主要污染物排放标准详见表 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14:textFill>
                  <w14:solidFill>
                    <w14:schemeClr w14:val="tx1"/>
                  </w14:solidFill>
                </w14:textFill>
              </w:rPr>
              <w:t>。</w:t>
            </w:r>
          </w:p>
          <w:p>
            <w:pPr>
              <w:pStyle w:val="100"/>
              <w:spacing w:before="120" w:line="228" w:lineRule="auto"/>
              <w:ind w:left="2849"/>
              <w:rPr>
                <w:rFonts w:ascii="Times New Roman" w:hAnsi="Times New Roman" w:eastAsia="宋体" w:cs="Times New Roman"/>
                <w:b/>
                <w:color w:val="000000" w:themeColor="text1"/>
                <w:kern w:val="2"/>
                <w:sz w:val="21"/>
                <w:szCs w:val="20"/>
                <w:lang w:val="en-US" w:eastAsia="zh-CN" w:bidi="ar-SA"/>
                <w14:textFill>
                  <w14:solidFill>
                    <w14:schemeClr w14:val="tx1"/>
                  </w14:solidFill>
                </w14:textFill>
              </w:rPr>
            </w:pPr>
            <w:r>
              <w:rPr>
                <w:rFonts w:ascii="Times New Roman" w:hAnsi="Times New Roman" w:eastAsia="宋体" w:cs="Times New Roman"/>
                <w:b/>
                <w:color w:val="000000" w:themeColor="text1"/>
                <w:kern w:val="2"/>
                <w:sz w:val="21"/>
                <w:szCs w:val="20"/>
                <w:lang w:val="en-US" w:eastAsia="zh-CN" w:bidi="ar-SA"/>
                <w14:textFill>
                  <w14:solidFill>
                    <w14:schemeClr w14:val="tx1"/>
                  </w14:solidFill>
                </w14:textFill>
              </w:rPr>
              <w:t>表 3-</w:t>
            </w:r>
            <w:r>
              <w:rPr>
                <w:rFonts w:hint="eastAsia" w:ascii="Times New Roman" w:hAnsi="Times New Roman" w:eastAsia="宋体" w:cs="Times New Roman"/>
                <w:b/>
                <w:color w:val="000000" w:themeColor="text1"/>
                <w:kern w:val="2"/>
                <w:sz w:val="21"/>
                <w:szCs w:val="20"/>
                <w:lang w:val="en-US" w:eastAsia="zh-CN" w:bidi="ar-SA"/>
                <w14:textFill>
                  <w14:solidFill>
                    <w14:schemeClr w14:val="tx1"/>
                  </w14:solidFill>
                </w14:textFill>
              </w:rPr>
              <w:t xml:space="preserve">4 </w:t>
            </w:r>
            <w:r>
              <w:rPr>
                <w:rFonts w:ascii="Times New Roman" w:hAnsi="Times New Roman" w:eastAsia="宋体" w:cs="Times New Roman"/>
                <w:b/>
                <w:color w:val="000000" w:themeColor="text1"/>
                <w:kern w:val="2"/>
                <w:sz w:val="21"/>
                <w:szCs w:val="20"/>
                <w:lang w:val="en-US" w:eastAsia="zh-CN" w:bidi="ar-SA"/>
                <w14:textFill>
                  <w14:solidFill>
                    <w14:schemeClr w14:val="tx1"/>
                  </w14:solidFill>
                </w14:textFill>
              </w:rPr>
              <w:t xml:space="preserve"> 废水污染物排放标准</w:t>
            </w:r>
          </w:p>
          <w:p>
            <w:pPr>
              <w:spacing w:line="14" w:lineRule="exact"/>
              <w:rPr>
                <w:color w:val="000000" w:themeColor="text1"/>
                <w14:textFill>
                  <w14:solidFill>
                    <w14:schemeClr w14:val="tx1"/>
                  </w14:solidFill>
                </w14:textFill>
              </w:rPr>
            </w:pPr>
          </w:p>
          <w:tbl>
            <w:tblPr>
              <w:tblStyle w:val="102"/>
              <w:tblW w:w="7758"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65"/>
              <w:gridCol w:w="1602"/>
              <w:gridCol w:w="1551"/>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2665" w:type="dxa"/>
                  <w:vAlign w:val="top"/>
                </w:tcPr>
                <w:p>
                  <w:pPr>
                    <w:adjustRightInd w:val="0"/>
                    <w:snapToGrid w:val="0"/>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污染物名称</w:t>
                  </w:r>
                </w:p>
              </w:tc>
              <w:tc>
                <w:tcPr>
                  <w:tcW w:w="1602" w:type="dxa"/>
                  <w:vAlign w:val="top"/>
                </w:tcPr>
                <w:p>
                  <w:pPr>
                    <w:adjustRightInd w:val="0"/>
                    <w:snapToGrid w:val="0"/>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1551" w:type="dxa"/>
                  <w:vAlign w:val="top"/>
                </w:tcPr>
                <w:p>
                  <w:pPr>
                    <w:adjustRightInd w:val="0"/>
                    <w:snapToGrid w:val="0"/>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三级</w:t>
                  </w:r>
                  <w:r>
                    <w:rPr>
                      <w:rFonts w:hint="default" w:ascii="Times New Roman" w:hAnsi="Times New Roman" w:eastAsia="宋体" w:cs="Times New Roman"/>
                      <w:b/>
                      <w:bCs/>
                      <w:color w:val="000000" w:themeColor="text1"/>
                      <w:sz w:val="21"/>
                      <w:szCs w:val="21"/>
                      <w14:textFill>
                        <w14:solidFill>
                          <w14:schemeClr w14:val="tx1"/>
                        </w14:solidFill>
                      </w14:textFill>
                    </w:rPr>
                    <w:t>标准</w:t>
                  </w:r>
                </w:p>
              </w:tc>
              <w:tc>
                <w:tcPr>
                  <w:tcW w:w="1940" w:type="dxa"/>
                  <w:vAlign w:val="top"/>
                </w:tcPr>
                <w:p>
                  <w:pPr>
                    <w:adjustRightInd w:val="0"/>
                    <w:snapToGrid w:val="0"/>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2665" w:type="dxa"/>
                  <w:vAlign w:val="top"/>
                </w:tcPr>
                <w:p>
                  <w:pPr>
                    <w:pStyle w:val="100"/>
                    <w:spacing w:before="47" w:line="226" w:lineRule="auto"/>
                    <w:ind w:left="18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9"/>
                      <w:sz w:val="21"/>
                      <w:szCs w:val="21"/>
                      <w14:textFill>
                        <w14:solidFill>
                          <w14:schemeClr w14:val="tx1"/>
                        </w14:solidFill>
                      </w14:textFill>
                    </w:rPr>
                    <w:t>五日生化需氧量（</w:t>
                  </w: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pacing w:val="9"/>
                      <w:position w:val="-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pacing w:val="9"/>
                      <w:sz w:val="21"/>
                      <w:szCs w:val="21"/>
                      <w14:textFill>
                        <w14:solidFill>
                          <w14:schemeClr w14:val="tx1"/>
                        </w14:solidFill>
                      </w14:textFill>
                    </w:rPr>
                    <w:t>）</w:t>
                  </w:r>
                </w:p>
              </w:tc>
              <w:tc>
                <w:tcPr>
                  <w:tcW w:w="1602" w:type="dxa"/>
                  <w:vAlign w:val="top"/>
                </w:tcPr>
                <w:p>
                  <w:pPr>
                    <w:spacing w:before="16" w:line="274" w:lineRule="exact"/>
                    <w:ind w:left="59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3"/>
                      <w:sz w:val="21"/>
                      <w:szCs w:val="21"/>
                      <w14:textFill>
                        <w14:solidFill>
                          <w14:schemeClr w14:val="tx1"/>
                        </w14:solidFill>
                      </w14:textFill>
                    </w:rPr>
                    <w:t>mg</w:t>
                  </w:r>
                  <w:r>
                    <w:rPr>
                      <w:rFonts w:hint="default" w:ascii="Times New Roman" w:hAnsi="Times New Roman" w:eastAsia="宋体" w:cs="Times New Roman"/>
                      <w:color w:val="000000" w:themeColor="text1"/>
                      <w:spacing w:val="8"/>
                      <w:position w:val="3"/>
                      <w:sz w:val="21"/>
                      <w:szCs w:val="21"/>
                      <w14:textFill>
                        <w14:solidFill>
                          <w14:schemeClr w14:val="tx1"/>
                        </w14:solidFill>
                      </w14:textFill>
                    </w:rPr>
                    <w:t>/L</w:t>
                  </w:r>
                </w:p>
              </w:tc>
              <w:tc>
                <w:tcPr>
                  <w:tcW w:w="1551" w:type="dxa"/>
                  <w:vAlign w:val="top"/>
                </w:tcPr>
                <w:p>
                  <w:pPr>
                    <w:spacing w:before="82" w:line="195" w:lineRule="auto"/>
                    <w:ind w:left="64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300</w:t>
                  </w:r>
                </w:p>
              </w:tc>
              <w:tc>
                <w:tcPr>
                  <w:tcW w:w="1940" w:type="dxa"/>
                  <w:vMerge w:val="restart"/>
                  <w:vAlign w:val="top"/>
                </w:tcPr>
                <w:p>
                  <w:pPr>
                    <w:pStyle w:val="100"/>
                    <w:spacing w:before="217" w:line="259" w:lineRule="auto"/>
                    <w:ind w:right="2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《污水综合排放标</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8"/>
                      <w:sz w:val="21"/>
                      <w:szCs w:val="21"/>
                      <w14:textFill>
                        <w14:solidFill>
                          <w14:schemeClr w14:val="tx1"/>
                        </w14:solidFill>
                      </w14:textFill>
                    </w:rPr>
                    <w:t>准》（GB8978-</w:t>
                  </w:r>
                  <w:r>
                    <w:rPr>
                      <w:rFonts w:hint="default" w:ascii="Times New Roman" w:hAnsi="Times New Roman" w:eastAsia="宋体" w:cs="Times New Roman"/>
                      <w:color w:val="000000" w:themeColor="text1"/>
                      <w:spacing w:val="-22"/>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8"/>
                      <w:sz w:val="21"/>
                      <w:szCs w:val="21"/>
                      <w14:textFill>
                        <w14:solidFill>
                          <w14:schemeClr w14:val="tx1"/>
                        </w14:solidFill>
                      </w14:textFill>
                    </w:rPr>
                    <w:t>1996）</w:t>
                  </w:r>
                  <w:r>
                    <w:rPr>
                      <w:rFonts w:hint="default" w:ascii="Times New Roman" w:hAnsi="Times New Roman" w:eastAsia="宋体" w:cs="Times New Roman"/>
                      <w:color w:val="000000" w:themeColor="text1"/>
                      <w:spacing w:val="5"/>
                      <w:position w:val="-2"/>
                      <w:sz w:val="21"/>
                      <w:szCs w:val="21"/>
                      <w14:textFill>
                        <w14:solidFill>
                          <w14:schemeClr w14:val="tx1"/>
                        </w14:solidFill>
                      </w14:textFill>
                    </w:rPr>
                    <w:t>表</w:t>
                  </w:r>
                  <w:r>
                    <w:rPr>
                      <w:rFonts w:hint="default" w:ascii="Times New Roman" w:hAnsi="Times New Roman" w:eastAsia="宋体" w:cs="Times New Roman"/>
                      <w:color w:val="000000" w:themeColor="text1"/>
                      <w:spacing w:val="-43"/>
                      <w:position w:val="-2"/>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5"/>
                      <w:position w:val="-2"/>
                      <w:sz w:val="21"/>
                      <w:szCs w:val="21"/>
                      <w14:textFill>
                        <w14:solidFill>
                          <w14:schemeClr w14:val="tx1"/>
                        </w14:solidFill>
                      </w14:textFill>
                    </w:rPr>
                    <w:t>4</w:t>
                  </w:r>
                  <w:r>
                    <w:rPr>
                      <w:rFonts w:hint="default" w:ascii="Times New Roman" w:hAnsi="Times New Roman" w:eastAsia="宋体" w:cs="Times New Roman"/>
                      <w:color w:val="000000" w:themeColor="text1"/>
                      <w:spacing w:val="12"/>
                      <w:position w:val="-2"/>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5"/>
                      <w:position w:val="-2"/>
                      <w:sz w:val="21"/>
                      <w:szCs w:val="21"/>
                      <w14:textFill>
                        <w14:solidFill>
                          <w14:schemeClr w14:val="tx1"/>
                        </w14:solidFill>
                      </w14:textFill>
                    </w:rPr>
                    <w:t>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2665" w:type="dxa"/>
                  <w:vAlign w:val="top"/>
                </w:tcPr>
                <w:p>
                  <w:pPr>
                    <w:pStyle w:val="100"/>
                    <w:spacing w:before="61" w:line="222" w:lineRule="auto"/>
                    <w:ind w:left="33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1"/>
                      <w:sz w:val="21"/>
                      <w:szCs w:val="21"/>
                      <w14:textFill>
                        <w14:solidFill>
                          <w14:schemeClr w14:val="tx1"/>
                        </w14:solidFill>
                      </w14:textFill>
                    </w:rPr>
                    <w:t>化学需氧量（</w:t>
                  </w:r>
                  <w:r>
                    <w:rPr>
                      <w:rFonts w:hint="default" w:ascii="Times New Roman" w:hAnsi="Times New Roman" w:eastAsia="宋体" w:cs="Times New Roman"/>
                      <w:color w:val="000000" w:themeColor="text1"/>
                      <w:sz w:val="21"/>
                      <w:szCs w:val="21"/>
                      <w14:textFill>
                        <w14:solidFill>
                          <w14:schemeClr w14:val="tx1"/>
                        </w14:solidFill>
                      </w14:textFill>
                    </w:rPr>
                    <w:t>COD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cr</w:t>
                  </w:r>
                  <w:r>
                    <w:rPr>
                      <w:rFonts w:hint="default" w:ascii="Times New Roman" w:hAnsi="Times New Roman" w:eastAsia="宋体" w:cs="Times New Roman"/>
                      <w:color w:val="000000" w:themeColor="text1"/>
                      <w:spacing w:val="11"/>
                      <w:sz w:val="21"/>
                      <w:szCs w:val="21"/>
                      <w14:textFill>
                        <w14:solidFill>
                          <w14:schemeClr w14:val="tx1"/>
                        </w14:solidFill>
                      </w14:textFill>
                    </w:rPr>
                    <w:t>）</w:t>
                  </w:r>
                </w:p>
              </w:tc>
              <w:tc>
                <w:tcPr>
                  <w:tcW w:w="1602" w:type="dxa"/>
                  <w:vAlign w:val="top"/>
                </w:tcPr>
                <w:p>
                  <w:pPr>
                    <w:spacing w:before="30" w:line="272" w:lineRule="exact"/>
                    <w:ind w:left="59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3"/>
                      <w:sz w:val="21"/>
                      <w:szCs w:val="21"/>
                      <w14:textFill>
                        <w14:solidFill>
                          <w14:schemeClr w14:val="tx1"/>
                        </w14:solidFill>
                      </w14:textFill>
                    </w:rPr>
                    <w:t>mg</w:t>
                  </w:r>
                  <w:r>
                    <w:rPr>
                      <w:rFonts w:hint="default" w:ascii="Times New Roman" w:hAnsi="Times New Roman" w:eastAsia="宋体" w:cs="Times New Roman"/>
                      <w:color w:val="000000" w:themeColor="text1"/>
                      <w:spacing w:val="8"/>
                      <w:position w:val="3"/>
                      <w:sz w:val="21"/>
                      <w:szCs w:val="21"/>
                      <w14:textFill>
                        <w14:solidFill>
                          <w14:schemeClr w14:val="tx1"/>
                        </w14:solidFill>
                      </w14:textFill>
                    </w:rPr>
                    <w:t>/L</w:t>
                  </w:r>
                </w:p>
              </w:tc>
              <w:tc>
                <w:tcPr>
                  <w:tcW w:w="1551" w:type="dxa"/>
                  <w:vAlign w:val="top"/>
                </w:tcPr>
                <w:p>
                  <w:pPr>
                    <w:spacing w:before="97" w:line="195" w:lineRule="auto"/>
                    <w:ind w:left="64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500</w:t>
                  </w:r>
                </w:p>
              </w:tc>
              <w:tc>
                <w:tcPr>
                  <w:tcW w:w="1940" w:type="dxa"/>
                  <w:vMerge w:val="continue"/>
                  <w:vAlign w:val="top"/>
                </w:tcPr>
                <w:p>
                  <w:pP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2665" w:type="dxa"/>
                  <w:vAlign w:val="top"/>
                </w:tcPr>
                <w:p>
                  <w:pPr>
                    <w:pStyle w:val="100"/>
                    <w:spacing w:before="65" w:line="218" w:lineRule="auto"/>
                    <w:ind w:left="737"/>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悬浮物（</w:t>
                  </w:r>
                  <w:r>
                    <w:rPr>
                      <w:rFonts w:hint="default" w:ascii="Times New Roman" w:hAnsi="Times New Roman" w:eastAsia="宋体" w:cs="Times New Roman"/>
                      <w:color w:val="000000" w:themeColor="text1"/>
                      <w:sz w:val="21"/>
                      <w:szCs w:val="21"/>
                      <w14:textFill>
                        <w14:solidFill>
                          <w14:schemeClr w14:val="tx1"/>
                        </w14:solidFill>
                      </w14:textFill>
                    </w:rPr>
                    <w:t>SS</w:t>
                  </w:r>
                  <w:r>
                    <w:rPr>
                      <w:rFonts w:hint="default" w:ascii="Times New Roman" w:hAnsi="Times New Roman" w:eastAsia="宋体" w:cs="Times New Roman"/>
                      <w:color w:val="000000" w:themeColor="text1"/>
                      <w:spacing w:val="7"/>
                      <w:sz w:val="21"/>
                      <w:szCs w:val="21"/>
                      <w14:textFill>
                        <w14:solidFill>
                          <w14:schemeClr w14:val="tx1"/>
                        </w14:solidFill>
                      </w14:textFill>
                    </w:rPr>
                    <w:t>）</w:t>
                  </w:r>
                </w:p>
              </w:tc>
              <w:tc>
                <w:tcPr>
                  <w:tcW w:w="1602" w:type="dxa"/>
                  <w:vAlign w:val="top"/>
                </w:tcPr>
                <w:p>
                  <w:pPr>
                    <w:spacing w:before="35" w:line="267" w:lineRule="exact"/>
                    <w:ind w:left="59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3"/>
                      <w:sz w:val="21"/>
                      <w:szCs w:val="21"/>
                      <w14:textFill>
                        <w14:solidFill>
                          <w14:schemeClr w14:val="tx1"/>
                        </w14:solidFill>
                      </w14:textFill>
                    </w:rPr>
                    <w:t>mg</w:t>
                  </w:r>
                  <w:r>
                    <w:rPr>
                      <w:rFonts w:hint="default" w:ascii="Times New Roman" w:hAnsi="Times New Roman" w:eastAsia="宋体" w:cs="Times New Roman"/>
                      <w:color w:val="000000" w:themeColor="text1"/>
                      <w:spacing w:val="8"/>
                      <w:position w:val="3"/>
                      <w:sz w:val="21"/>
                      <w:szCs w:val="21"/>
                      <w14:textFill>
                        <w14:solidFill>
                          <w14:schemeClr w14:val="tx1"/>
                        </w14:solidFill>
                      </w14:textFill>
                    </w:rPr>
                    <w:t>/L</w:t>
                  </w:r>
                </w:p>
              </w:tc>
              <w:tc>
                <w:tcPr>
                  <w:tcW w:w="1551" w:type="dxa"/>
                  <w:vAlign w:val="top"/>
                </w:tcPr>
                <w:p>
                  <w:pPr>
                    <w:spacing w:before="102" w:line="195" w:lineRule="auto"/>
                    <w:ind w:left="64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400</w:t>
                  </w:r>
                </w:p>
              </w:tc>
              <w:tc>
                <w:tcPr>
                  <w:tcW w:w="1940" w:type="dxa"/>
                  <w:vMerge w:val="continue"/>
                  <w:vAlign w:val="top"/>
                </w:tcPr>
                <w:p>
                  <w:pP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665" w:type="dxa"/>
                  <w:vAlign w:val="top"/>
                </w:tcPr>
                <w:p>
                  <w:pPr>
                    <w:pStyle w:val="100"/>
                    <w:spacing w:before="70" w:line="228" w:lineRule="auto"/>
                    <w:ind w:left="116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氨氮</w:t>
                  </w:r>
                </w:p>
              </w:tc>
              <w:tc>
                <w:tcPr>
                  <w:tcW w:w="1602" w:type="dxa"/>
                  <w:vAlign w:val="top"/>
                </w:tcPr>
                <w:p>
                  <w:pPr>
                    <w:spacing w:line="234" w:lineRule="exact"/>
                    <w:ind w:left="59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mg</w:t>
                  </w:r>
                  <w:r>
                    <w:rPr>
                      <w:rFonts w:hint="default" w:ascii="Times New Roman" w:hAnsi="Times New Roman" w:eastAsia="宋体" w:cs="Times New Roman"/>
                      <w:color w:val="000000" w:themeColor="text1"/>
                      <w:spacing w:val="8"/>
                      <w:position w:val="2"/>
                      <w:sz w:val="21"/>
                      <w:szCs w:val="21"/>
                      <w14:textFill>
                        <w14:solidFill>
                          <w14:schemeClr w14:val="tx1"/>
                        </w14:solidFill>
                      </w14:textFill>
                    </w:rPr>
                    <w:t>/L</w:t>
                  </w:r>
                </w:p>
              </w:tc>
              <w:tc>
                <w:tcPr>
                  <w:tcW w:w="1551" w:type="dxa"/>
                  <w:vAlign w:val="top"/>
                </w:tcPr>
                <w:p>
                  <w:pPr>
                    <w:spacing w:before="114" w:line="97" w:lineRule="exact"/>
                    <w:ind w:left="76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position w:val="-2"/>
                      <w:sz w:val="21"/>
                      <w:szCs w:val="21"/>
                      <w:lang w:val="en-US" w:eastAsia="zh-CN"/>
                      <w14:textFill>
                        <w14:solidFill>
                          <w14:schemeClr w14:val="tx1"/>
                        </w14:solidFill>
                      </w14:textFill>
                    </w:rPr>
                    <w:t>-</w:t>
                  </w:r>
                </w:p>
              </w:tc>
              <w:tc>
                <w:tcPr>
                  <w:tcW w:w="1940" w:type="dxa"/>
                  <w:vMerge w:val="continue"/>
                  <w:vAlign w:val="top"/>
                </w:tcPr>
                <w:p>
                  <w:pPr>
                    <w:rPr>
                      <w:rFonts w:hint="default" w:ascii="Times New Roman" w:hAnsi="Times New Roman" w:eastAsia="宋体"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rFonts w:hint="eastAsia" w:cs="宋体"/>
                <w:bCs/>
                <w:color w:val="000000" w:themeColor="text1"/>
                <w:sz w:val="24"/>
                <w14:textFill>
                  <w14:solidFill>
                    <w14:schemeClr w14:val="tx1"/>
                  </w14:solidFill>
                </w14:textFill>
              </w:rPr>
              <w:t>施工期噪声执行</w:t>
            </w:r>
            <w:r>
              <w:rPr>
                <w:rFonts w:hint="eastAsia" w:cs="宋体"/>
                <w:color w:val="000000" w:themeColor="text1"/>
                <w:sz w:val="24"/>
                <w14:textFill>
                  <w14:solidFill>
                    <w14:schemeClr w14:val="tx1"/>
                  </w14:solidFill>
                </w14:textFill>
              </w:rPr>
              <w:t>《建筑施工场界环境噪声排放标准》(GB12523-2011)，即昼间70dB(A)、夜间55dB(A)。</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运营期厂界噪声执行《工业企业厂界环境噪声排放标准》（GB12348-2008）中</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类标准</w:t>
            </w:r>
            <w:r>
              <w:rPr>
                <w:color w:val="000000" w:themeColor="text1"/>
                <w:sz w:val="24"/>
                <w14:textFill>
                  <w14:solidFill>
                    <w14:schemeClr w14:val="tx1"/>
                  </w14:solidFill>
                </w14:textFill>
              </w:rPr>
              <w:t>，标准值见</w:t>
            </w:r>
            <w:r>
              <w:rPr>
                <w:rFonts w:hint="eastAsia"/>
                <w:color w:val="000000" w:themeColor="text1"/>
                <w:sz w:val="24"/>
                <w14:textFill>
                  <w14:solidFill>
                    <w14:schemeClr w14:val="tx1"/>
                  </w14:solidFill>
                </w14:textFill>
              </w:rPr>
              <w:t>下</w:t>
            </w:r>
            <w:r>
              <w:rPr>
                <w:color w:val="000000" w:themeColor="text1"/>
                <w:sz w:val="24"/>
                <w14:textFill>
                  <w14:solidFill>
                    <w14:schemeClr w14:val="tx1"/>
                  </w14:solidFill>
                </w14:textFill>
              </w:rPr>
              <w:t>表</w:t>
            </w:r>
            <w:r>
              <w:rPr>
                <w:rFonts w:hint="eastAsia"/>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color w:val="000000" w:themeColor="text1"/>
                <w:szCs w:val="20"/>
                <w14:textFill>
                  <w14:solidFill>
                    <w14:schemeClr w14:val="tx1"/>
                  </w14:solidFill>
                </w14:textFill>
              </w:rPr>
            </w:pPr>
            <w:r>
              <w:rPr>
                <w:b/>
                <w:color w:val="000000" w:themeColor="text1"/>
                <w:szCs w:val="20"/>
                <w14:textFill>
                  <w14:solidFill>
                    <w14:schemeClr w14:val="tx1"/>
                  </w14:solidFill>
                </w14:textFill>
              </w:rPr>
              <w:t>表3</w:t>
            </w:r>
            <w:r>
              <w:rPr>
                <w:rFonts w:hint="eastAsia"/>
                <w:b/>
                <w:color w:val="000000" w:themeColor="text1"/>
                <w:szCs w:val="20"/>
                <w14:textFill>
                  <w14:solidFill>
                    <w14:schemeClr w14:val="tx1"/>
                  </w14:solidFill>
                </w14:textFill>
              </w:rPr>
              <w:t>-</w:t>
            </w:r>
            <w:r>
              <w:rPr>
                <w:rFonts w:hint="eastAsia"/>
                <w:b/>
                <w:color w:val="000000" w:themeColor="text1"/>
                <w:szCs w:val="20"/>
                <w:lang w:val="en-US" w:eastAsia="zh-CN"/>
                <w14:textFill>
                  <w14:solidFill>
                    <w14:schemeClr w14:val="tx1"/>
                  </w14:solidFill>
                </w14:textFill>
              </w:rPr>
              <w:t>5</w:t>
            </w:r>
            <w:r>
              <w:rPr>
                <w:b/>
                <w:color w:val="000000" w:themeColor="text1"/>
                <w:szCs w:val="20"/>
                <w14:textFill>
                  <w14:solidFill>
                    <w14:schemeClr w14:val="tx1"/>
                  </w14:solidFill>
                </w14:textFill>
              </w:rPr>
              <w:t xml:space="preserve">  《工业企业厂界环境噪声排放标准》  单位</w:t>
            </w:r>
            <w:r>
              <w:rPr>
                <w:b/>
                <w:color w:val="000000" w:themeColor="text1"/>
                <w14:textFill>
                  <w14:solidFill>
                    <w14:schemeClr w14:val="tx1"/>
                  </w14:solidFill>
                </w14:textFill>
              </w:rPr>
              <w:t>：dB（A）</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77"/>
              <w:gridCol w:w="2574"/>
              <w:gridCol w:w="27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1622" w:type="pct"/>
                  <w:tcBorders>
                    <w:top w:val="single" w:color="auto" w:sz="4" w:space="0"/>
                    <w:left w:val="single" w:color="auto" w:sz="4" w:space="0"/>
                  </w:tcBorders>
                  <w:vAlign w:val="center"/>
                </w:tcPr>
                <w:p>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时段</w:t>
                  </w:r>
                </w:p>
              </w:tc>
              <w:tc>
                <w:tcPr>
                  <w:tcW w:w="1620" w:type="pct"/>
                  <w:tcBorders>
                    <w:top w:val="single" w:color="auto" w:sz="4" w:space="0"/>
                  </w:tcBorders>
                  <w:vAlign w:val="center"/>
                </w:tcPr>
                <w:p>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1758" w:type="pct"/>
                  <w:tcBorders>
                    <w:top w:val="single" w:color="auto" w:sz="4" w:space="0"/>
                    <w:right w:val="single" w:color="auto" w:sz="4" w:space="0"/>
                  </w:tcBorders>
                  <w:vAlign w:val="center"/>
                </w:tcPr>
                <w:p>
                  <w:pPr>
                    <w:adjustRightInd w:val="0"/>
                    <w:snapToGrid w:val="0"/>
                    <w:spacing w:line="32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1622" w:type="pct"/>
                  <w:tcBorders>
                    <w:left w:val="single" w:color="auto" w:sz="4" w:space="0"/>
                    <w:bottom w:val="single" w:color="auto" w:sz="4" w:space="0"/>
                  </w:tcBorders>
                  <w:vAlign w:val="center"/>
                </w:tcPr>
                <w:p>
                  <w:pPr>
                    <w:adjustRightInd w:val="0"/>
                    <w:snapToGrid w:val="0"/>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类标准限值</w:t>
                  </w:r>
                </w:p>
              </w:tc>
              <w:tc>
                <w:tcPr>
                  <w:tcW w:w="1620" w:type="pct"/>
                  <w:tcBorders>
                    <w:bottom w:val="single" w:color="auto" w:sz="4" w:space="0"/>
                  </w:tcBorders>
                  <w:vAlign w:val="center"/>
                </w:tcPr>
                <w:p>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5</w:t>
                  </w:r>
                </w:p>
              </w:tc>
              <w:tc>
                <w:tcPr>
                  <w:tcW w:w="1758" w:type="pct"/>
                  <w:tcBorders>
                    <w:bottom w:val="single" w:color="auto" w:sz="4" w:space="0"/>
                    <w:right w:val="single" w:color="auto" w:sz="4" w:space="0"/>
                  </w:tcBorders>
                  <w:vAlign w:val="center"/>
                </w:tcPr>
                <w:p>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5</w:t>
                  </w:r>
                </w:p>
              </w:tc>
            </w:tr>
          </w:tbl>
          <w:p>
            <w:pPr>
              <w:spacing w:line="560" w:lineRule="exact"/>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4、固体废弃物</w:t>
            </w:r>
          </w:p>
          <w:p>
            <w:pPr>
              <w:spacing w:line="560" w:lineRule="exact"/>
              <w:ind w:firstLine="480" w:firstLineChars="200"/>
              <w:rPr>
                <w:rFonts w:hint="eastAsia" w:ascii="Times New Roman" w:hAnsi="Times New Roman" w:eastAsia="宋体" w:cs="Times New Roman"/>
                <w:b/>
                <w:color w:val="000000" w:themeColor="text1"/>
                <w:kern w:val="2"/>
                <w:sz w:val="21"/>
                <w:szCs w:val="20"/>
                <w:lang w:val="zh-CN" w:eastAsia="zh-CN" w:bidi="ar-SA"/>
                <w14:textFill>
                  <w14:solidFill>
                    <w14:schemeClr w14:val="tx1"/>
                  </w14:solidFill>
                </w14:textFill>
              </w:rPr>
            </w:pPr>
            <w:r>
              <w:rPr>
                <w:color w:val="000000" w:themeColor="text1"/>
                <w:sz w:val="24"/>
                <w:lang w:val="zh-CN"/>
                <w14:textFill>
                  <w14:solidFill>
                    <w14:schemeClr w14:val="tx1"/>
                  </w14:solidFill>
                </w14:textFill>
              </w:rPr>
              <w:t>一般固体废物执行《</w:t>
            </w:r>
            <w:r>
              <w:rPr>
                <w:rFonts w:hint="eastAsia"/>
                <w:color w:val="000000" w:themeColor="text1"/>
                <w:sz w:val="24"/>
                <w:lang w:val="zh-CN"/>
                <w14:textFill>
                  <w14:solidFill>
                    <w14:schemeClr w14:val="tx1"/>
                  </w14:solidFill>
                </w14:textFill>
              </w:rPr>
              <w:t>一般工业固体废物贮存和填埋污染控制标准</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GB18599-2020</w:t>
            </w:r>
            <w:r>
              <w:rPr>
                <w:color w:val="000000" w:themeColor="text1"/>
                <w:sz w:val="24"/>
                <w:lang w:val="zh-CN"/>
                <w14:textFill>
                  <w14:solidFill>
                    <w14:schemeClr w14:val="tx1"/>
                  </w14:solidFill>
                </w14:textFill>
              </w:rPr>
              <w:t>）</w:t>
            </w:r>
            <w:r>
              <w:rPr>
                <w:rFonts w:hint="eastAsia"/>
                <w:color w:val="000000" w:themeColor="text1"/>
                <w:sz w:val="24"/>
                <w:lang w:val="zh-CN"/>
                <w14:textFill>
                  <w14:solidFill>
                    <w14:schemeClr w14:val="tx1"/>
                  </w14:solidFill>
                </w14:textFill>
              </w:rPr>
              <w:t>中</w:t>
            </w:r>
            <w:r>
              <w:rPr>
                <w:color w:val="000000" w:themeColor="text1"/>
                <w:sz w:val="24"/>
                <w:lang w:val="zh-CN"/>
                <w14:textFill>
                  <w14:solidFill>
                    <w14:schemeClr w14:val="tx1"/>
                  </w14:solidFill>
                </w14:textFill>
              </w:rPr>
              <w:t>的处置和管理要求。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7" w:hRule="atLeast"/>
          <w:jc w:val="center"/>
        </w:trPr>
        <w:tc>
          <w:tcPr>
            <w:tcW w:w="800" w:type="dxa"/>
            <w:vAlign w:val="center"/>
          </w:tcPr>
          <w:p>
            <w:pPr>
              <w:adjustRightInd w:val="0"/>
              <w:snapToGrid w:val="0"/>
              <w:jc w:val="center"/>
              <w:rPr>
                <w:rFonts w:cs="宋体"/>
                <w:color w:val="000000" w:themeColor="text1"/>
                <w:kern w:val="0"/>
                <w:sz w:val="24"/>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总量</w:t>
            </w:r>
          </w:p>
          <w:p>
            <w:pPr>
              <w:adjustRightInd w:val="0"/>
              <w:snapToGrid w:val="0"/>
              <w:jc w:val="center"/>
              <w:rPr>
                <w:rFonts w:cs="宋体"/>
                <w:color w:val="000000" w:themeColor="text1"/>
                <w:kern w:val="0"/>
                <w:sz w:val="24"/>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控制</w:t>
            </w:r>
          </w:p>
          <w:p>
            <w:pPr>
              <w:adjustRightInd w:val="0"/>
              <w:snapToGrid w:val="0"/>
              <w:jc w:val="center"/>
              <w:rPr>
                <w:rFonts w:cs="宋体"/>
                <w:color w:val="000000" w:themeColor="text1"/>
                <w:kern w:val="0"/>
                <w:szCs w:val="21"/>
                <w14:textFill>
                  <w14:solidFill>
                    <w14:schemeClr w14:val="tx1"/>
                  </w14:solidFill>
                </w14:textFill>
              </w:rPr>
            </w:pPr>
            <w:r>
              <w:rPr>
                <w:rFonts w:hint="eastAsia" w:cs="宋体"/>
                <w:color w:val="000000" w:themeColor="text1"/>
                <w:kern w:val="0"/>
                <w:sz w:val="24"/>
                <w:szCs w:val="21"/>
                <w14:textFill>
                  <w14:solidFill>
                    <w14:schemeClr w14:val="tx1"/>
                  </w14:solidFill>
                </w14:textFill>
              </w:rPr>
              <w:t>指标</w:t>
            </w:r>
          </w:p>
        </w:tc>
        <w:tc>
          <w:tcPr>
            <w:tcW w:w="8190" w:type="dxa"/>
            <w:vAlign w:val="center"/>
          </w:tcPr>
          <w:p>
            <w:pPr>
              <w:spacing w:line="520" w:lineRule="exact"/>
              <w:ind w:firstLine="496" w:firstLineChars="200"/>
              <w:rPr>
                <w:color w:val="000000" w:themeColor="text1"/>
                <w:kern w:val="0"/>
                <w:sz w:val="24"/>
                <w14:textFill>
                  <w14:solidFill>
                    <w14:schemeClr w14:val="tx1"/>
                  </w14:solidFill>
                </w14:textFill>
              </w:rPr>
            </w:pPr>
            <w:r>
              <w:rPr>
                <w:color w:val="000000" w:themeColor="text1"/>
                <w:spacing w:val="4"/>
                <w:kern w:val="18"/>
                <w:sz w:val="24"/>
                <w:lang w:bidi="ar"/>
                <w14:textFill>
                  <w14:solidFill>
                    <w14:schemeClr w14:val="tx1"/>
                  </w14:solidFill>
                </w14:textFill>
              </w:rPr>
              <w:t>“</w:t>
            </w:r>
            <w:r>
              <w:rPr>
                <w:rFonts w:hint="eastAsia"/>
                <w:color w:val="000000" w:themeColor="text1"/>
                <w:spacing w:val="4"/>
                <w:kern w:val="18"/>
                <w:sz w:val="24"/>
                <w:lang w:bidi="ar"/>
                <w14:textFill>
                  <w14:solidFill>
                    <w14:schemeClr w14:val="tx1"/>
                  </w14:solidFill>
                </w14:textFill>
              </w:rPr>
              <w:t>十四五</w:t>
            </w:r>
            <w:r>
              <w:rPr>
                <w:color w:val="000000" w:themeColor="text1"/>
                <w:spacing w:val="4"/>
                <w:kern w:val="18"/>
                <w:sz w:val="24"/>
                <w:lang w:bidi="ar"/>
                <w14:textFill>
                  <w14:solidFill>
                    <w14:schemeClr w14:val="tx1"/>
                  </w14:solidFill>
                </w14:textFill>
              </w:rPr>
              <w:t>”</w:t>
            </w:r>
            <w:r>
              <w:rPr>
                <w:rFonts w:hint="eastAsia"/>
                <w:color w:val="000000" w:themeColor="text1"/>
                <w:spacing w:val="4"/>
                <w:kern w:val="18"/>
                <w:sz w:val="24"/>
                <w:lang w:bidi="ar"/>
                <w14:textFill>
                  <w14:solidFill>
                    <w14:schemeClr w14:val="tx1"/>
                  </w14:solidFill>
                </w14:textFill>
              </w:rPr>
              <w:t>期间国家对</w:t>
            </w:r>
            <w:r>
              <w:rPr>
                <w:color w:val="000000" w:themeColor="text1"/>
                <w:spacing w:val="4"/>
                <w:kern w:val="18"/>
                <w:sz w:val="24"/>
                <w:lang w:bidi="ar"/>
                <w14:textFill>
                  <w14:solidFill>
                    <w14:schemeClr w14:val="tx1"/>
                  </w14:solidFill>
                </w14:textFill>
              </w:rPr>
              <w:t>COD</w:t>
            </w:r>
            <w:r>
              <w:rPr>
                <w:color w:val="000000" w:themeColor="text1"/>
                <w:spacing w:val="4"/>
                <w:kern w:val="18"/>
                <w:sz w:val="24"/>
                <w:vertAlign w:val="subscript"/>
                <w:lang w:bidi="ar"/>
                <w14:textFill>
                  <w14:solidFill>
                    <w14:schemeClr w14:val="tx1"/>
                  </w14:solidFill>
                </w14:textFill>
              </w:rPr>
              <w:t>Cr</w:t>
            </w:r>
            <w:r>
              <w:rPr>
                <w:rFonts w:hint="eastAsia"/>
                <w:color w:val="000000" w:themeColor="text1"/>
                <w:spacing w:val="4"/>
                <w:kern w:val="18"/>
                <w:sz w:val="24"/>
                <w:lang w:bidi="ar"/>
                <w14:textFill>
                  <w14:solidFill>
                    <w14:schemeClr w14:val="tx1"/>
                  </w14:solidFill>
                </w14:textFill>
              </w:rPr>
              <w:t>、</w:t>
            </w:r>
            <w:r>
              <w:rPr>
                <w:color w:val="000000" w:themeColor="text1"/>
                <w:spacing w:val="4"/>
                <w:kern w:val="18"/>
                <w:sz w:val="24"/>
                <w:lang w:bidi="ar"/>
                <w14:textFill>
                  <w14:solidFill>
                    <w14:schemeClr w14:val="tx1"/>
                  </w14:solidFill>
                </w14:textFill>
              </w:rPr>
              <w:t>NH</w:t>
            </w:r>
            <w:r>
              <w:rPr>
                <w:color w:val="000000" w:themeColor="text1"/>
                <w:spacing w:val="4"/>
                <w:kern w:val="18"/>
                <w:sz w:val="24"/>
                <w:vertAlign w:val="subscript"/>
                <w:lang w:bidi="ar"/>
                <w14:textFill>
                  <w14:solidFill>
                    <w14:schemeClr w14:val="tx1"/>
                  </w14:solidFill>
                </w14:textFill>
              </w:rPr>
              <w:t>3</w:t>
            </w:r>
            <w:r>
              <w:rPr>
                <w:color w:val="000000" w:themeColor="text1"/>
                <w:spacing w:val="4"/>
                <w:kern w:val="18"/>
                <w:sz w:val="24"/>
                <w:lang w:bidi="ar"/>
                <w14:textFill>
                  <w14:solidFill>
                    <w14:schemeClr w14:val="tx1"/>
                  </w14:solidFill>
                </w14:textFill>
              </w:rPr>
              <w:t>-N</w:t>
            </w:r>
            <w:r>
              <w:rPr>
                <w:rFonts w:hint="eastAsia"/>
                <w:color w:val="000000" w:themeColor="text1"/>
                <w:spacing w:val="4"/>
                <w:kern w:val="18"/>
                <w:sz w:val="24"/>
                <w:lang w:bidi="ar"/>
                <w14:textFill>
                  <w14:solidFill>
                    <w14:schemeClr w14:val="tx1"/>
                  </w14:solidFill>
                </w14:textFill>
              </w:rPr>
              <w:t>、</w:t>
            </w:r>
            <w:r>
              <w:rPr>
                <w:color w:val="000000" w:themeColor="text1"/>
                <w:spacing w:val="4"/>
                <w:kern w:val="18"/>
                <w:sz w:val="24"/>
                <w:lang w:bidi="ar"/>
                <w14:textFill>
                  <w14:solidFill>
                    <w14:schemeClr w14:val="tx1"/>
                  </w14:solidFill>
                </w14:textFill>
              </w:rPr>
              <w:t>NOx</w:t>
            </w:r>
            <w:r>
              <w:rPr>
                <w:rFonts w:hint="eastAsia"/>
                <w:color w:val="000000" w:themeColor="text1"/>
                <w:spacing w:val="4"/>
                <w:kern w:val="18"/>
                <w:sz w:val="24"/>
                <w:lang w:bidi="ar"/>
                <w14:textFill>
                  <w14:solidFill>
                    <w14:schemeClr w14:val="tx1"/>
                  </w14:solidFill>
                </w14:textFill>
              </w:rPr>
              <w:t>及挥发性有机物四种污染物排放实行总量控制和计划管理。</w:t>
            </w:r>
            <w:r>
              <w:rPr>
                <w:rFonts w:hint="eastAsia"/>
                <w:color w:val="000000" w:themeColor="text1"/>
                <w:sz w:val="24"/>
                <w:lang w:val="zh-CN"/>
                <w14:textFill>
                  <w14:solidFill>
                    <w14:schemeClr w14:val="tx1"/>
                  </w14:solidFill>
                </w14:textFill>
              </w:rPr>
              <w:t>综合考虑本项目的排污特点、所在区域的环境质量现状等因素，</w:t>
            </w:r>
            <w:r>
              <w:rPr>
                <w:rFonts w:hint="eastAsia" w:ascii="宋体" w:hAnsi="宋体" w:cs="宋体"/>
                <w:color w:val="000000" w:themeColor="text1"/>
                <w:kern w:val="0"/>
                <w:sz w:val="24"/>
                <w14:textFill>
                  <w14:solidFill>
                    <w14:schemeClr w14:val="tx1"/>
                  </w14:solidFill>
                </w14:textFill>
              </w:rPr>
              <w:t>总量控制指标为：</w:t>
            </w:r>
            <w:r>
              <w:rPr>
                <w:color w:val="000000" w:themeColor="text1"/>
                <w:spacing w:val="4"/>
                <w:kern w:val="18"/>
                <w:sz w:val="24"/>
                <w:lang w:bidi="ar"/>
                <w14:textFill>
                  <w14:solidFill>
                    <w14:schemeClr w14:val="tx1"/>
                  </w14:solidFill>
                </w14:textFill>
              </w:rPr>
              <w:t>NOx</w:t>
            </w:r>
            <w:r>
              <w:rPr>
                <w:rFonts w:hint="eastAsia" w:ascii="宋体" w:hAnsi="宋体" w:cs="宋体"/>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1.499</w:t>
            </w:r>
            <w:r>
              <w:rPr>
                <w:color w:val="000000" w:themeColor="text1"/>
                <w:kern w:val="0"/>
                <w:sz w:val="24"/>
                <w14:textFill>
                  <w14:solidFill>
                    <w14:schemeClr w14:val="tx1"/>
                  </w14:solidFill>
                </w14:textFill>
              </w:rPr>
              <w:t>t/a</w:t>
            </w:r>
            <w:r>
              <w:rPr>
                <w:rFonts w:hint="eastAsia" w:ascii="宋体" w:hAnsi="宋体" w:cs="宋体"/>
                <w:color w:val="000000" w:themeColor="text1"/>
                <w:kern w:val="0"/>
                <w:sz w:val="24"/>
                <w14:textFill>
                  <w14:solidFill>
                    <w14:schemeClr w14:val="tx1"/>
                  </w14:solidFill>
                </w14:textFill>
              </w:rPr>
              <w:t>。</w:t>
            </w:r>
          </w:p>
          <w:p>
            <w:pPr>
              <w:rPr>
                <w:color w:val="000000" w:themeColor="text1"/>
                <w14:textFill>
                  <w14:solidFill>
                    <w14:schemeClr w14:val="tx1"/>
                  </w14:solidFill>
                </w14:textFill>
              </w:rPr>
            </w:pPr>
          </w:p>
          <w:p>
            <w:pPr>
              <w:pStyle w:val="6"/>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pStyle w:val="20"/>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四、主要环境影响和保护措施</w:t>
      </w: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pPr>
              <w:pStyle w:val="20"/>
              <w:adjustRightInd w:val="0"/>
              <w:snapToGrid w:val="0"/>
              <w:spacing w:before="0" w:beforeAutospacing="0" w:after="0" w:afterAutospacing="0"/>
              <w:jc w:val="center"/>
              <w:rPr>
                <w:rFonts w:ascii="Times New Roman" w:hAnsi="Times New Roman" w:cs="宋体"/>
                <w:color w:val="000000" w:themeColor="text1"/>
                <w:kern w:val="2"/>
                <w:szCs w:val="24"/>
                <w14:textFill>
                  <w14:solidFill>
                    <w14:schemeClr w14:val="tx1"/>
                  </w14:solidFill>
                </w14:textFill>
              </w:rPr>
            </w:pPr>
            <w:r>
              <w:rPr>
                <w:rFonts w:hint="eastAsia" w:ascii="Times New Roman" w:hAnsi="Times New Roman" w:cs="宋体"/>
                <w:color w:val="000000" w:themeColor="text1"/>
                <w:kern w:val="2"/>
                <w:szCs w:val="24"/>
                <w14:textFill>
                  <w14:solidFill>
                    <w14:schemeClr w14:val="tx1"/>
                  </w14:solidFill>
                </w14:textFill>
              </w:rPr>
              <w:t>施工</w:t>
            </w:r>
          </w:p>
          <w:p>
            <w:pPr>
              <w:pStyle w:val="20"/>
              <w:adjustRightInd w:val="0"/>
              <w:snapToGrid w:val="0"/>
              <w:spacing w:before="0" w:beforeAutospacing="0" w:after="0" w:afterAutospacing="0"/>
              <w:jc w:val="center"/>
              <w:rPr>
                <w:rFonts w:ascii="Times New Roman" w:hAnsi="Times New Roman" w:cs="宋体"/>
                <w:color w:val="000000" w:themeColor="text1"/>
                <w:kern w:val="2"/>
                <w:szCs w:val="24"/>
                <w14:textFill>
                  <w14:solidFill>
                    <w14:schemeClr w14:val="tx1"/>
                  </w14:solidFill>
                </w14:textFill>
              </w:rPr>
            </w:pPr>
            <w:r>
              <w:rPr>
                <w:rFonts w:hint="eastAsia" w:ascii="Times New Roman" w:hAnsi="Times New Roman" w:cs="宋体"/>
                <w:color w:val="000000" w:themeColor="text1"/>
                <w:kern w:val="2"/>
                <w:szCs w:val="24"/>
                <w14:textFill>
                  <w14:solidFill>
                    <w14:schemeClr w14:val="tx1"/>
                  </w14:solidFill>
                </w14:textFill>
              </w:rPr>
              <w:t>期环</w:t>
            </w:r>
          </w:p>
          <w:p>
            <w:pPr>
              <w:pStyle w:val="20"/>
              <w:adjustRightInd w:val="0"/>
              <w:snapToGrid w:val="0"/>
              <w:spacing w:before="0" w:beforeAutospacing="0" w:after="0" w:afterAutospacing="0"/>
              <w:jc w:val="center"/>
              <w:rPr>
                <w:rFonts w:ascii="Times New Roman" w:hAnsi="Times New Roman" w:cs="宋体"/>
                <w:color w:val="000000" w:themeColor="text1"/>
                <w:kern w:val="2"/>
                <w:szCs w:val="24"/>
                <w14:textFill>
                  <w14:solidFill>
                    <w14:schemeClr w14:val="tx1"/>
                  </w14:solidFill>
                </w14:textFill>
              </w:rPr>
            </w:pPr>
            <w:r>
              <w:rPr>
                <w:rFonts w:hint="eastAsia" w:ascii="Times New Roman" w:hAnsi="Times New Roman" w:cs="宋体"/>
                <w:color w:val="000000" w:themeColor="text1"/>
                <w:kern w:val="2"/>
                <w:szCs w:val="24"/>
                <w14:textFill>
                  <w14:solidFill>
                    <w14:schemeClr w14:val="tx1"/>
                  </w14:solidFill>
                </w14:textFill>
              </w:rPr>
              <w:t>境保</w:t>
            </w:r>
          </w:p>
          <w:p>
            <w:pPr>
              <w:pStyle w:val="20"/>
              <w:adjustRightInd w:val="0"/>
              <w:snapToGrid w:val="0"/>
              <w:spacing w:before="0" w:beforeAutospacing="0" w:after="0" w:afterAutospacing="0"/>
              <w:jc w:val="center"/>
              <w:rPr>
                <w:rFonts w:ascii="Times New Roman" w:hAnsi="Times New Roman" w:cs="宋体"/>
                <w:color w:val="000000" w:themeColor="text1"/>
                <w:kern w:val="2"/>
                <w:szCs w:val="24"/>
                <w14:textFill>
                  <w14:solidFill>
                    <w14:schemeClr w14:val="tx1"/>
                  </w14:solidFill>
                </w14:textFill>
              </w:rPr>
            </w:pPr>
            <w:r>
              <w:rPr>
                <w:rFonts w:hint="eastAsia" w:ascii="Times New Roman" w:hAnsi="Times New Roman" w:cs="宋体"/>
                <w:color w:val="000000" w:themeColor="text1"/>
                <w:kern w:val="2"/>
                <w:szCs w:val="24"/>
                <w14:textFill>
                  <w14:solidFill>
                    <w14:schemeClr w14:val="tx1"/>
                  </w14:solidFill>
                </w14:textFill>
              </w:rPr>
              <w:t>护措</w:t>
            </w:r>
          </w:p>
          <w:p>
            <w:pPr>
              <w:pStyle w:val="20"/>
              <w:adjustRightInd w:val="0"/>
              <w:snapToGrid w:val="0"/>
              <w:spacing w:before="0" w:beforeAutospacing="0" w:after="0" w:afterAutospacing="0"/>
              <w:jc w:val="center"/>
              <w:rPr>
                <w:rFonts w:ascii="Times New Roman" w:hAnsi="Times New Roman" w:cs="宋体"/>
                <w:bCs/>
                <w:color w:val="000000" w:themeColor="text1"/>
                <w:kern w:val="2"/>
                <w:szCs w:val="24"/>
                <w14:textFill>
                  <w14:solidFill>
                    <w14:schemeClr w14:val="tx1"/>
                  </w14:solidFill>
                </w14:textFill>
              </w:rPr>
            </w:pPr>
            <w:r>
              <w:rPr>
                <w:rFonts w:hint="eastAsia" w:ascii="Times New Roman" w:hAnsi="Times New Roman" w:cs="宋体"/>
                <w:color w:val="000000" w:themeColor="text1"/>
                <w:kern w:val="2"/>
                <w:szCs w:val="24"/>
                <w14:textFill>
                  <w14:solidFill>
                    <w14:schemeClr w14:val="tx1"/>
                  </w14:solidFill>
                </w14:textFill>
              </w:rPr>
              <w:t>施</w:t>
            </w:r>
          </w:p>
        </w:tc>
        <w:tc>
          <w:tcPr>
            <w:tcW w:w="816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cs="宋体"/>
                <w:bCs/>
                <w:color w:val="000000" w:themeColor="text1"/>
                <w:spacing w:val="-10"/>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根据产污环节分析，本项目施工期会产生少量扬尘、废水、噪声和固废。</w:t>
            </w:r>
          </w:p>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cs="宋体"/>
                <w:b/>
                <w:bCs/>
                <w:color w:val="000000" w:themeColor="text1"/>
                <w:spacing w:val="-10"/>
                <w:sz w:val="24"/>
                <w14:textFill>
                  <w14:solidFill>
                    <w14:schemeClr w14:val="tx1"/>
                  </w14:solidFill>
                </w14:textFill>
              </w:rPr>
            </w:pPr>
            <w:r>
              <w:rPr>
                <w:rFonts w:hint="eastAsia"/>
                <w:b/>
                <w:bCs/>
                <w:color w:val="000000" w:themeColor="text1"/>
                <w:spacing w:val="-10"/>
                <w:sz w:val="24"/>
                <w14:textFill>
                  <w14:solidFill>
                    <w14:schemeClr w14:val="tx1"/>
                  </w14:solidFill>
                </w14:textFill>
              </w:rPr>
              <w:t>1</w:t>
            </w:r>
            <w:r>
              <w:rPr>
                <w:rFonts w:hint="eastAsia" w:ascii="宋体" w:hAnsi="宋体"/>
                <w:b/>
                <w:bCs/>
                <w:color w:val="000000" w:themeColor="text1"/>
                <w:spacing w:val="-10"/>
                <w:sz w:val="24"/>
                <w14:textFill>
                  <w14:solidFill>
                    <w14:schemeClr w14:val="tx1"/>
                  </w14:solidFill>
                </w14:textFill>
              </w:rPr>
              <w:t>、大气污染防治措施</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施工期对环境空气的影响主要是挖填方扬尘，运输过程产生的交通扬尘的污染影响。为减小施工扬尘对周围环境的影响，必须采取如下防治措施：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rPr>
                <w:color w:val="000000" w:themeColor="text1"/>
                <w:spacing w:val="-6"/>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w:t>
            </w:r>
            <w:r>
              <w:rPr>
                <w:rFonts w:hint="eastAsia"/>
                <w:color w:val="000000" w:themeColor="text1"/>
                <w:spacing w:val="-6"/>
                <w:sz w:val="24"/>
                <w14:textFill>
                  <w14:solidFill>
                    <w14:schemeClr w14:val="tx1"/>
                  </w14:solidFill>
                </w14:textFill>
              </w:rPr>
              <w:t>1</w:t>
            </w:r>
            <w:r>
              <w:rPr>
                <w:rFonts w:hint="eastAsia" w:ascii="宋体" w:hAnsi="宋体"/>
                <w:color w:val="000000" w:themeColor="text1"/>
                <w:spacing w:val="-6"/>
                <w:sz w:val="24"/>
                <w14:textFill>
                  <w14:solidFill>
                    <w14:schemeClr w14:val="tx1"/>
                  </w14:solidFill>
                </w14:textFill>
              </w:rPr>
              <w:t>）强化施工期环境管理，提高全员环保意识宣传和教育，制定合理施工计划，缩短工期，采取集中力量逐项施工方法，坚决杜绝粗放式施工现象发生。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）对厂内施工现场和建筑体分别采取围栏（不低于</w:t>
            </w:r>
            <w:r>
              <w:rPr>
                <w:rFonts w:hint="eastAsia"/>
                <w:color w:val="000000" w:themeColor="text1"/>
                <w:sz w:val="24"/>
                <w14:textFill>
                  <w14:solidFill>
                    <w14:schemeClr w14:val="tx1"/>
                  </w14:solidFill>
                </w14:textFill>
              </w:rPr>
              <w:t>2m</w:t>
            </w:r>
            <w:r>
              <w:rPr>
                <w:rFonts w:hint="eastAsia" w:ascii="宋体" w:hAnsi="宋体"/>
                <w:color w:val="000000" w:themeColor="text1"/>
                <w:sz w:val="24"/>
                <w14:textFill>
                  <w14:solidFill>
                    <w14:schemeClr w14:val="tx1"/>
                  </w14:solidFill>
                </w14:textFill>
              </w:rPr>
              <w:t>）、设置工棚、覆盖遮蔽等措施，阻隔施工扬尘污染。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）在施工现场出入口公示施工现场负责人、扬尘防治责任人、扬尘污染主要控制措施、举报电话等信息。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）及时清运场地的弃渣及抛撒料，对不能及时清运的物料必须集中堆放覆盖，定期洒水降尘。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）制定施工场地及进场道路的洒水降尘制度，配备洒水车，加强在天气干燥时对进场道路的洒水频次，减轻道路扬尘对大气环境的影响。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建筑物内垃圾应采用容器或搭设专用封闭式垃圾道的方式清运，严禁随意抛掷</w:t>
            </w:r>
            <w:r>
              <w:rPr>
                <w:rFonts w:hint="eastAsia" w:ascii="宋体" w:hAnsi="宋体"/>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施工现场严禁焚烧各类废弃物</w:t>
            </w:r>
            <w:r>
              <w:rPr>
                <w:rFonts w:hint="eastAsia" w:ascii="宋体" w:hAnsi="宋体"/>
                <w:b/>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施工产生的建筑垃圾应及时外运至当地政府指定的建筑垃圾填埋场填埋处置，</w:t>
            </w:r>
            <w:r>
              <w:rPr>
                <w:rFonts w:hint="eastAsia" w:ascii="宋体" w:hAnsi="宋体"/>
                <w:bCs/>
                <w:color w:val="000000" w:themeColor="text1"/>
                <w:spacing w:val="10"/>
                <w:sz w:val="24"/>
                <w14:textFill>
                  <w14:solidFill>
                    <w14:schemeClr w14:val="tx1"/>
                  </w14:solidFill>
                </w14:textFill>
              </w:rPr>
              <w:t>施工车辆定期检查，严禁车辆在运输中沿途散落建筑材料及建筑废料。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建设单位在工程概算中应包括用于施工过程扬尘污染控制的专项资金，保障大气防治措施及时落实。</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在采取以上措施后，可以有效地减少施工扬尘带来的环境问题，施工场界扬尘能够满足《大气污染物综合排放标准》（</w:t>
            </w:r>
            <w:r>
              <w:rPr>
                <w:rFonts w:hint="eastAsia"/>
                <w:color w:val="000000" w:themeColor="text1"/>
                <w:sz w:val="24"/>
                <w14:textFill>
                  <w14:solidFill>
                    <w14:schemeClr w14:val="tx1"/>
                  </w14:solidFill>
                </w14:textFill>
              </w:rPr>
              <w:t>GB16297-1996</w:t>
            </w:r>
            <w:r>
              <w:rPr>
                <w:rFonts w:hint="eastAsia" w:ascii="宋体" w:hAnsi="宋体"/>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颗粒物无组织排放限值。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宋体" w:hAnsi="宋体"/>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rFonts w:hint="eastAsia" w:ascii="宋体" w:hAnsi="宋体"/>
                <w:b/>
                <w:color w:val="000000" w:themeColor="text1"/>
                <w:sz w:val="24"/>
                <w14:textFill>
                  <w14:solidFill>
                    <w14:schemeClr w14:val="tx1"/>
                  </w14:solidFill>
                </w14:textFill>
              </w:rPr>
              <w:t>、水污染防治措施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施工期产生的废水主要为施工废水和生活污水。其中施工废水主要为车辆冲洗等废水，主要污染物为</w:t>
            </w:r>
            <w:r>
              <w:rPr>
                <w:rFonts w:hint="eastAsia"/>
                <w:color w:val="000000" w:themeColor="text1"/>
                <w:sz w:val="24"/>
                <w14:textFill>
                  <w14:solidFill>
                    <w14:schemeClr w14:val="tx1"/>
                  </w14:solidFill>
                </w14:textFill>
              </w:rPr>
              <w:t>SS</w:t>
            </w:r>
            <w:r>
              <w:rPr>
                <w:rFonts w:hint="eastAsia" w:ascii="宋体" w:hAnsi="宋体"/>
                <w:color w:val="000000" w:themeColor="text1"/>
                <w:sz w:val="24"/>
                <w14:textFill>
                  <w14:solidFill>
                    <w14:schemeClr w14:val="tx1"/>
                  </w14:solidFill>
                </w14:textFill>
              </w:rPr>
              <w:t>和石油类，通过建设沉淀池处理后回用于场地洒水降尘。施工期废水均不外排。施工期间施工人员</w:t>
            </w:r>
            <w:r>
              <w:rPr>
                <w:rFonts w:hint="eastAsia" w:ascii="宋体" w:hAnsi="宋体" w:cs="宋体"/>
                <w:color w:val="000000" w:themeColor="text1"/>
                <w:kern w:val="0"/>
                <w:sz w:val="24"/>
                <w14:textFill>
                  <w14:solidFill>
                    <w14:schemeClr w14:val="tx1"/>
                  </w14:solidFill>
                </w14:textFill>
              </w:rPr>
              <w:t>生活用水量按每人每天</w:t>
            </w:r>
            <w:r>
              <w:rPr>
                <w:rFonts w:hint="eastAsia"/>
                <w:color w:val="000000" w:themeColor="text1"/>
                <w:kern w:val="0"/>
                <w:sz w:val="24"/>
                <w14:textFill>
                  <w14:solidFill>
                    <w14:schemeClr w14:val="tx1"/>
                  </w14:solidFill>
                </w14:textFill>
              </w:rPr>
              <w:t>80</w:t>
            </w:r>
            <w:r>
              <w:rPr>
                <w:color w:val="000000" w:themeColor="text1"/>
                <w:kern w:val="0"/>
                <w:sz w:val="24"/>
                <w14:textFill>
                  <w14:solidFill>
                    <w14:schemeClr w14:val="tx1"/>
                  </w14:solidFill>
                </w14:textFill>
              </w:rPr>
              <w:t>L</w:t>
            </w:r>
            <w:r>
              <w:rPr>
                <w:rFonts w:hint="eastAsia" w:ascii="宋体" w:hAnsi="宋体" w:cs="宋体"/>
                <w:color w:val="000000" w:themeColor="text1"/>
                <w:kern w:val="0"/>
                <w:sz w:val="24"/>
                <w14:textFill>
                  <w14:solidFill>
                    <w14:schemeClr w14:val="tx1"/>
                  </w14:solidFill>
                </w14:textFill>
              </w:rPr>
              <w:t xml:space="preserve">计，污水排放系数 </w:t>
            </w:r>
            <w:r>
              <w:rPr>
                <w:color w:val="000000" w:themeColor="text1"/>
                <w:kern w:val="0"/>
                <w:sz w:val="24"/>
                <w14:textFill>
                  <w14:solidFill>
                    <w14:schemeClr w14:val="tx1"/>
                  </w14:solidFill>
                </w14:textFill>
              </w:rPr>
              <w:t>0.8</w:t>
            </w:r>
            <w:r>
              <w:rPr>
                <w:rFonts w:hint="eastAsia" w:ascii="宋体" w:hAnsi="宋体" w:cs="宋体"/>
                <w:color w:val="000000" w:themeColor="text1"/>
                <w:kern w:val="0"/>
                <w:sz w:val="24"/>
                <w14:textFill>
                  <w14:solidFill>
                    <w14:schemeClr w14:val="tx1"/>
                  </w14:solidFill>
                </w14:textFill>
              </w:rPr>
              <w:t xml:space="preserve">，高峰时施工人员按每日用工 </w:t>
            </w:r>
            <w:r>
              <w:rPr>
                <w:color w:val="000000" w:themeColor="text1"/>
                <w:kern w:val="0"/>
                <w:sz w:val="24"/>
                <w14:textFill>
                  <w14:solidFill>
                    <w14:schemeClr w14:val="tx1"/>
                  </w14:solidFill>
                </w14:textFill>
              </w:rPr>
              <w:t xml:space="preserve">50 </w:t>
            </w:r>
            <w:r>
              <w:rPr>
                <w:rFonts w:hint="eastAsia" w:ascii="宋体" w:hAnsi="宋体" w:cs="宋体"/>
                <w:color w:val="000000" w:themeColor="text1"/>
                <w:kern w:val="0"/>
                <w:sz w:val="24"/>
                <w14:textFill>
                  <w14:solidFill>
                    <w14:schemeClr w14:val="tx1"/>
                  </w14:solidFill>
                </w14:textFill>
              </w:rPr>
              <w:t xml:space="preserve">人计算，则生活污水量最高约 </w:t>
            </w:r>
            <w:r>
              <w:rPr>
                <w:rFonts w:hint="eastAsia"/>
                <w:color w:val="000000" w:themeColor="text1"/>
                <w:kern w:val="0"/>
                <w:sz w:val="24"/>
                <w14:textFill>
                  <w14:solidFill>
                    <w14:schemeClr w14:val="tx1"/>
                  </w14:solidFill>
                </w14:textFill>
              </w:rPr>
              <w:t>3.2m</w:t>
            </w:r>
            <w:r>
              <w:rPr>
                <w:rFonts w:hint="eastAsia"/>
                <w:color w:val="000000" w:themeColor="text1"/>
                <w:kern w:val="0"/>
                <w:sz w:val="24"/>
                <w:vertAlign w:val="superscript"/>
                <w14:textFill>
                  <w14:solidFill>
                    <w14:schemeClr w14:val="tx1"/>
                  </w14:solidFill>
                </w14:textFill>
              </w:rPr>
              <w:t>3</w:t>
            </w:r>
            <w:r>
              <w:rPr>
                <w:color w:val="000000" w:themeColor="text1"/>
                <w:kern w:val="0"/>
                <w:sz w:val="16"/>
                <w:szCs w:val="16"/>
                <w14:textFill>
                  <w14:solidFill>
                    <w14:schemeClr w14:val="tx1"/>
                  </w14:solidFill>
                </w14:textFill>
              </w:rPr>
              <w:t xml:space="preserve"> </w:t>
            </w:r>
            <w:r>
              <w:rPr>
                <w:color w:val="000000" w:themeColor="text1"/>
                <w:kern w:val="0"/>
                <w:sz w:val="24"/>
                <w14:textFill>
                  <w14:solidFill>
                    <w14:schemeClr w14:val="tx1"/>
                  </w14:solidFill>
                </w14:textFill>
              </w:rPr>
              <w:t>/d</w:t>
            </w:r>
            <w:r>
              <w:rPr>
                <w:rFonts w:hint="eastAsia"/>
                <w:color w:val="000000" w:themeColor="text1"/>
                <w:kern w:val="0"/>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 xml:space="preserve">主要污染物有 </w:t>
            </w:r>
            <w:r>
              <w:rPr>
                <w:color w:val="000000" w:themeColor="text1"/>
                <w:kern w:val="0"/>
                <w:sz w:val="24"/>
                <w14:textFill>
                  <w14:solidFill>
                    <w14:schemeClr w14:val="tx1"/>
                  </w14:solidFill>
                </w14:textFill>
              </w:rPr>
              <w:t>COD</w:t>
            </w:r>
            <w:r>
              <w:rPr>
                <w:rFonts w:hint="eastAsia" w:ascii="宋体" w:hAnsi="宋体" w:cs="宋体"/>
                <w:color w:val="000000" w:themeColor="text1"/>
                <w:kern w:val="0"/>
                <w:sz w:val="24"/>
                <w14:textFill>
                  <w14:solidFill>
                    <w14:schemeClr w14:val="tx1"/>
                  </w14:solidFill>
                </w14:textFill>
              </w:rPr>
              <w:t>、动植物油和氨氮等，污染物成分较为简单，经临时化粪池处理后用作绿化，待施工期结束后，临时化粪池覆土填埋</w:t>
            </w:r>
            <w:r>
              <w:rPr>
                <w:rFonts w:hint="eastAsia" w:ascii="宋体" w:hAnsi="宋体"/>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rFonts w:hint="eastAsia" w:ascii="宋体" w:hAnsi="宋体"/>
                <w:b/>
                <w:color w:val="000000" w:themeColor="text1"/>
                <w:sz w:val="24"/>
                <w14:textFill>
                  <w14:solidFill>
                    <w14:schemeClr w14:val="tx1"/>
                  </w14:solidFill>
                </w14:textFill>
              </w:rPr>
              <w:t>、噪声污染防治措施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施工机械噪声主要来自工程机械和运输车辆噪声等</w:t>
            </w:r>
            <w:r>
              <w:rPr>
                <w:rFonts w:hint="eastAsia" w:ascii="宋体" w:hAnsi="宋体"/>
                <w:color w:val="000000" w:themeColor="text1"/>
                <w:sz w:val="24"/>
                <w14:textFill>
                  <w14:solidFill>
                    <w14:schemeClr w14:val="tx1"/>
                  </w14:solidFill>
                </w14:textFill>
              </w:rPr>
              <w:t>。根据分析，项目周边无声环境敏感点，施工期不会产生噪声扰民的影响，因此，噪声污染防治建议采取如下措施：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）施工单位必须选用符合国家有关标准的施工机具，尽可能采购低噪声设备。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）加强设备的维修和保养，保持机械润滑，降低运行噪声。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）对强噪声源作业面和流动施工机械操作人员佩戴噪声防护头盔、耳塞或耳罩等。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因此，本项目施工期的噪声污染采取以上防治措施后施工期噪声能够满足《建筑施工场界环境噪声排放标准》</w:t>
            </w:r>
            <w:r>
              <w:rPr>
                <w:rFonts w:hint="eastAsia"/>
                <w:color w:val="000000" w:themeColor="text1"/>
                <w:sz w:val="24"/>
                <w14:textFill>
                  <w14:solidFill>
                    <w14:schemeClr w14:val="tx1"/>
                  </w14:solidFill>
                </w14:textFill>
              </w:rPr>
              <w:t>(GB12523-2011)</w:t>
            </w:r>
            <w:r>
              <w:rPr>
                <w:rFonts w:hint="eastAsia" w:ascii="宋体" w:hAnsi="宋体"/>
                <w:color w:val="000000" w:themeColor="text1"/>
                <w:sz w:val="24"/>
                <w14:textFill>
                  <w14:solidFill>
                    <w14:schemeClr w14:val="tx1"/>
                  </w14:solidFill>
                </w14:textFill>
              </w:rPr>
              <w:t>，对周边声环境影响较小。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rFonts w:hint="eastAsia" w:ascii="宋体" w:hAnsi="宋体"/>
                <w:b/>
                <w:color w:val="000000" w:themeColor="text1"/>
                <w:sz w:val="24"/>
                <w14:textFill>
                  <w14:solidFill>
                    <w14:schemeClr w14:val="tx1"/>
                  </w14:solidFill>
                </w14:textFill>
              </w:rPr>
              <w:t>、固体废物污染防治措施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本项目施工期主要固体废物主要为建筑垃圾、生活垃圾。主要防治措施如下：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）建筑垃圾集中收集后统一清运至建筑垃圾指定处理点，严禁乱堆乱放乱弃。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本项目施工中的建筑垃圾主要是多余土方和废灰浆、废包装袋等建筑垃圾等，本项目管道施工产生的土方就地平整，挖填方基本平衡，不会产生多余土方；废灰浆、废包装袋等建筑垃圾由施工队妥善处理，及时清运，送至当地建筑垃圾场填埋处置。</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rPr>
                <w:color w:val="000000" w:themeColor="text1"/>
                <w:spacing w:val="-6"/>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w:t>
            </w:r>
            <w:r>
              <w:rPr>
                <w:rFonts w:hint="eastAsia"/>
                <w:color w:val="000000" w:themeColor="text1"/>
                <w:spacing w:val="-6"/>
                <w:sz w:val="24"/>
                <w14:textFill>
                  <w14:solidFill>
                    <w14:schemeClr w14:val="tx1"/>
                  </w14:solidFill>
                </w14:textFill>
              </w:rPr>
              <w:t>3</w:t>
            </w:r>
            <w:r>
              <w:rPr>
                <w:rFonts w:hint="eastAsia" w:ascii="宋体" w:hAnsi="宋体"/>
                <w:color w:val="000000" w:themeColor="text1"/>
                <w:spacing w:val="-6"/>
                <w:sz w:val="24"/>
                <w14:textFill>
                  <w14:solidFill>
                    <w14:schemeClr w14:val="tx1"/>
                  </w14:solidFill>
                </w14:textFill>
              </w:rPr>
              <w:t>）生活垃圾通过生活垃圾箱（桶）集中收集，由环卫统一清运处理。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因此，本项目施工期固体废物均得到妥善处置。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rFonts w:hint="eastAsia" w:ascii="宋体" w:hAnsi="宋体"/>
                <w:b/>
                <w:color w:val="000000" w:themeColor="text1"/>
                <w:sz w:val="24"/>
                <w14:textFill>
                  <w14:solidFill>
                    <w14:schemeClr w14:val="tx1"/>
                  </w14:solidFill>
                </w14:textFill>
              </w:rPr>
              <w:t>、生态环境保护措施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本项目施工过程会临时占用周边交通运输用地，为降低占地影响，提出以下生态保护措施：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）严格控制施工占地，尽可能少占用周边耕地，同时禁止对周边栽培植物进行破坏；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）禁止在周边捕杀野兔、鸟类等野生动物。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ascii="宋体" w:hAnsi="宋体"/>
                <w:color w:val="000000" w:themeColor="text1"/>
                <w:sz w:val="24"/>
                <w14:textFill>
                  <w14:solidFill>
                    <w14:schemeClr w14:val="tx1"/>
                  </w14:solidFill>
                </w14:textFill>
              </w:rPr>
              <w:t>）施工结束后及时迹地恢复，临时占地区域按要求恢复原状。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w:t>
            </w:r>
            <w:r>
              <w:rPr>
                <w:rFonts w:hint="eastAsia" w:ascii="宋体" w:hAnsi="宋体"/>
                <w:b/>
                <w:color w:val="000000" w:themeColor="text1"/>
                <w:sz w:val="24"/>
                <w14:textFill>
                  <w14:solidFill>
                    <w14:schemeClr w14:val="tx1"/>
                  </w14:solidFill>
                </w14:textFill>
              </w:rPr>
              <w:t>、水土保持措施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）剥离的表层土分层堆放，可用于土地复垦。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）临时堆土进行拦挡和苫盖措施，苫盖总面积约</w:t>
            </w:r>
            <w:r>
              <w:rPr>
                <w:rFonts w:hint="eastAsia" w:ascii="宋体" w:hAnsi="宋体"/>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00m</w:t>
            </w:r>
            <w:r>
              <w:rPr>
                <w:rFonts w:hint="eastAsia"/>
                <w:color w:val="000000" w:themeColor="text1"/>
                <w:sz w:val="24"/>
                <w:vertAlign w:val="superscript"/>
                <w14:textFill>
                  <w14:solidFill>
                    <w14:schemeClr w14:val="tx1"/>
                  </w14:solidFill>
                </w14:textFill>
              </w:rPr>
              <w:t>2</w:t>
            </w:r>
            <w:r>
              <w:rPr>
                <w:rFonts w:hint="eastAsia" w:ascii="宋体" w:hAnsi="宋体"/>
                <w:color w:val="000000" w:themeColor="text1"/>
                <w:sz w:val="24"/>
                <w14:textFill>
                  <w14:solidFill>
                    <w14:schemeClr w14:val="tx1"/>
                  </w14:solidFill>
                </w14:textFill>
              </w:rPr>
              <w:t>，该部分投资纳入总体投资中去，确保措施资金来源保障。</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rPr>
                <w:color w:val="000000" w:themeColor="text1"/>
                <w:spacing w:val="-6"/>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w:t>
            </w:r>
            <w:r>
              <w:rPr>
                <w:rFonts w:hint="eastAsia"/>
                <w:color w:val="000000" w:themeColor="text1"/>
                <w:spacing w:val="-6"/>
                <w:sz w:val="24"/>
                <w14:textFill>
                  <w14:solidFill>
                    <w14:schemeClr w14:val="tx1"/>
                  </w14:solidFill>
                </w14:textFill>
              </w:rPr>
              <w:t>3</w:t>
            </w:r>
            <w:r>
              <w:rPr>
                <w:rFonts w:hint="eastAsia" w:ascii="宋体" w:hAnsi="宋体"/>
                <w:color w:val="000000" w:themeColor="text1"/>
                <w:spacing w:val="-6"/>
                <w:sz w:val="24"/>
                <w14:textFill>
                  <w14:solidFill>
                    <w14:schemeClr w14:val="tx1"/>
                  </w14:solidFill>
                </w14:textFill>
              </w:rPr>
              <w:t>）挖填方施工，以及运输车辆进出场等易起尘环节应采取洒水降尘措施。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）施工结束后，对周边进行复垦，项目区进行平整，根据实际情况适当绿化</w:t>
            </w:r>
            <w:r>
              <w:rPr>
                <w:rFonts w:hint="default" w:ascii="Times New Roman" w:hAnsi="Times New Roman" w:cs="Times New Roman"/>
                <w:color w:val="000000" w:themeColor="text1"/>
                <w:sz w:val="24"/>
                <w14:textFill>
                  <w14:solidFill>
                    <w14:schemeClr w14:val="tx1"/>
                  </w14:solidFill>
                </w14:textFill>
              </w:rPr>
              <w:t>。</w:t>
            </w:r>
          </w:p>
          <w:p>
            <w:pPr>
              <w:pStyle w:val="6"/>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adjustRightInd w:val="0"/>
        <w:snapToGrid w:val="0"/>
        <w:jc w:val="center"/>
        <w:rPr>
          <w:rFonts w:cs="宋体"/>
          <w:bCs/>
          <w:color w:val="000000" w:themeColor="text1"/>
          <w:sz w:val="24"/>
          <w14:textFill>
            <w14:solidFill>
              <w14:schemeClr w14:val="tx1"/>
            </w14:solidFill>
          </w14:textFill>
        </w:rPr>
        <w:sectPr>
          <w:pgSz w:w="11907" w:h="16840"/>
          <w:pgMar w:top="1701" w:right="1531" w:bottom="2127" w:left="1531" w:header="851" w:footer="851" w:gutter="0"/>
          <w:cols w:space="720" w:num="1"/>
          <w:docGrid w:linePitch="312" w:charSpace="0"/>
        </w:sectPr>
      </w:pPr>
    </w:p>
    <w:tbl>
      <w:tblPr>
        <w:tblStyle w:val="24"/>
        <w:tblW w:w="89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7"/>
        <w:gridCol w:w="82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77" w:type="dxa"/>
            <w:tcMar>
              <w:left w:w="28" w:type="dxa"/>
              <w:right w:w="28" w:type="dxa"/>
            </w:tcMar>
            <w:vAlign w:val="center"/>
          </w:tcPr>
          <w:p>
            <w:pPr>
              <w:adjustRightInd w:val="0"/>
              <w:snapToGrid w:val="0"/>
              <w:jc w:val="center"/>
              <w:rPr>
                <w:rFonts w:cs="宋体"/>
                <w:bCs/>
                <w:color w:val="000000" w:themeColor="text1"/>
                <w:sz w:val="24"/>
                <w14:textFill>
                  <w14:solidFill>
                    <w14:schemeClr w14:val="tx1"/>
                  </w14:solidFill>
                </w14:textFill>
              </w:rPr>
            </w:pPr>
            <w:r>
              <w:rPr>
                <w:rFonts w:hint="eastAsia" w:cs="宋体"/>
                <w:bCs/>
                <w:color w:val="000000" w:themeColor="text1"/>
                <w:sz w:val="24"/>
                <w14:textFill>
                  <w14:solidFill>
                    <w14:schemeClr w14:val="tx1"/>
                  </w14:solidFill>
                </w14:textFill>
              </w:rPr>
              <w:t>运营</w:t>
            </w:r>
          </w:p>
          <w:p>
            <w:pPr>
              <w:adjustRightInd w:val="0"/>
              <w:snapToGrid w:val="0"/>
              <w:jc w:val="center"/>
              <w:rPr>
                <w:rFonts w:cs="宋体"/>
                <w:bCs/>
                <w:color w:val="000000" w:themeColor="text1"/>
                <w:sz w:val="24"/>
                <w14:textFill>
                  <w14:solidFill>
                    <w14:schemeClr w14:val="tx1"/>
                  </w14:solidFill>
                </w14:textFill>
              </w:rPr>
            </w:pPr>
            <w:r>
              <w:rPr>
                <w:rFonts w:hint="eastAsia" w:cs="宋体"/>
                <w:bCs/>
                <w:color w:val="000000" w:themeColor="text1"/>
                <w:sz w:val="24"/>
                <w14:textFill>
                  <w14:solidFill>
                    <w14:schemeClr w14:val="tx1"/>
                  </w14:solidFill>
                </w14:textFill>
              </w:rPr>
              <w:t>期环</w:t>
            </w:r>
          </w:p>
          <w:p>
            <w:pPr>
              <w:adjustRightInd w:val="0"/>
              <w:snapToGrid w:val="0"/>
              <w:jc w:val="center"/>
              <w:rPr>
                <w:rFonts w:cs="宋体"/>
                <w:bCs/>
                <w:color w:val="000000" w:themeColor="text1"/>
                <w:sz w:val="24"/>
                <w14:textFill>
                  <w14:solidFill>
                    <w14:schemeClr w14:val="tx1"/>
                  </w14:solidFill>
                </w14:textFill>
              </w:rPr>
            </w:pPr>
            <w:r>
              <w:rPr>
                <w:rFonts w:hint="eastAsia" w:cs="宋体"/>
                <w:bCs/>
                <w:color w:val="000000" w:themeColor="text1"/>
                <w:sz w:val="24"/>
                <w14:textFill>
                  <w14:solidFill>
                    <w14:schemeClr w14:val="tx1"/>
                  </w14:solidFill>
                </w14:textFill>
              </w:rPr>
              <w:t>境影</w:t>
            </w:r>
          </w:p>
          <w:p>
            <w:pPr>
              <w:adjustRightInd w:val="0"/>
              <w:snapToGrid w:val="0"/>
              <w:jc w:val="center"/>
              <w:rPr>
                <w:rFonts w:cs="宋体"/>
                <w:bCs/>
                <w:color w:val="000000" w:themeColor="text1"/>
                <w:sz w:val="24"/>
                <w14:textFill>
                  <w14:solidFill>
                    <w14:schemeClr w14:val="tx1"/>
                  </w14:solidFill>
                </w14:textFill>
              </w:rPr>
            </w:pPr>
            <w:r>
              <w:rPr>
                <w:rFonts w:hint="eastAsia" w:cs="宋体"/>
                <w:bCs/>
                <w:color w:val="000000" w:themeColor="text1"/>
                <w:sz w:val="24"/>
                <w14:textFill>
                  <w14:solidFill>
                    <w14:schemeClr w14:val="tx1"/>
                  </w14:solidFill>
                </w14:textFill>
              </w:rPr>
              <w:t>响和</w:t>
            </w:r>
          </w:p>
          <w:p>
            <w:pPr>
              <w:adjustRightInd w:val="0"/>
              <w:snapToGrid w:val="0"/>
              <w:jc w:val="center"/>
              <w:rPr>
                <w:rFonts w:cs="宋体"/>
                <w:bCs/>
                <w:color w:val="000000" w:themeColor="text1"/>
                <w:sz w:val="24"/>
                <w14:textFill>
                  <w14:solidFill>
                    <w14:schemeClr w14:val="tx1"/>
                  </w14:solidFill>
                </w14:textFill>
              </w:rPr>
            </w:pPr>
            <w:r>
              <w:rPr>
                <w:rFonts w:hint="eastAsia" w:cs="宋体"/>
                <w:bCs/>
                <w:color w:val="000000" w:themeColor="text1"/>
                <w:sz w:val="24"/>
                <w14:textFill>
                  <w14:solidFill>
                    <w14:schemeClr w14:val="tx1"/>
                  </w14:solidFill>
                </w14:textFill>
              </w:rPr>
              <w:t>保护</w:t>
            </w:r>
          </w:p>
          <w:p>
            <w:pPr>
              <w:adjustRightInd w:val="0"/>
              <w:snapToGrid w:val="0"/>
              <w:jc w:val="center"/>
              <w:rPr>
                <w:rFonts w:cs="宋体"/>
                <w:bCs/>
                <w:color w:val="000000" w:themeColor="text1"/>
                <w:sz w:val="24"/>
                <w14:textFill>
                  <w14:solidFill>
                    <w14:schemeClr w14:val="tx1"/>
                  </w14:solidFill>
                </w14:textFill>
              </w:rPr>
            </w:pPr>
            <w:r>
              <w:rPr>
                <w:rFonts w:hint="eastAsia" w:cs="宋体"/>
                <w:bCs/>
                <w:color w:val="000000" w:themeColor="text1"/>
                <w:sz w:val="24"/>
                <w14:textFill>
                  <w14:solidFill>
                    <w14:schemeClr w14:val="tx1"/>
                  </w14:solidFill>
                </w14:textFill>
              </w:rPr>
              <w:t>措施</w:t>
            </w:r>
          </w:p>
        </w:tc>
        <w:tc>
          <w:tcPr>
            <w:tcW w:w="8202" w:type="dxa"/>
            <w:shd w:val="clear" w:color="auto" w:fill="auto"/>
            <w:vAlign w:val="center"/>
          </w:tcPr>
          <w:p>
            <w:pPr>
              <w:keepNext w:val="0"/>
              <w:keepLines w:val="0"/>
              <w:pageBreakBefore w:val="0"/>
              <w:wordWrap/>
              <w:overflowPunct/>
              <w:topLinePunct w:val="0"/>
              <w:autoSpaceDE w:val="0"/>
              <w:autoSpaceDN w:val="0"/>
              <w:bidi w:val="0"/>
              <w:adjustRightInd w:val="0"/>
              <w:spacing w:line="360" w:lineRule="auto"/>
              <w:ind w:firstLine="482" w:firstLineChars="200"/>
              <w:jc w:val="both"/>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14:textFill>
                  <w14:solidFill>
                    <w14:schemeClr w14:val="tx1"/>
                  </w14:solidFill>
                </w14:textFill>
              </w:rPr>
              <w:t>1、废气</w:t>
            </w:r>
          </w:p>
          <w:p>
            <w:pPr>
              <w:pStyle w:val="100"/>
              <w:keepNext w:val="0"/>
              <w:keepLines w:val="0"/>
              <w:pageBreakBefore w:val="0"/>
              <w:wordWrap/>
              <w:overflowPunct/>
              <w:topLinePunct w:val="0"/>
              <w:bidi w:val="0"/>
              <w:adjustRightInd w:val="0"/>
              <w:spacing w:line="360" w:lineRule="auto"/>
              <w:ind w:firstLine="480" w:firstLineChars="200"/>
              <w:jc w:val="both"/>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本项目营运期废气污染物主要为搅拌废气、锅炉废气、焊接烟尘、物料储存废气、汽车运输道路扬尘。</w:t>
            </w:r>
          </w:p>
          <w:p>
            <w:pPr>
              <w:keepNext w:val="0"/>
              <w:keepLines w:val="0"/>
              <w:pageBreakBefore w:val="0"/>
              <w:widowControl/>
              <w:tabs>
                <w:tab w:val="left" w:pos="383"/>
              </w:tabs>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1.1有组织废气</w:t>
            </w:r>
          </w:p>
          <w:p>
            <w:pPr>
              <w:pStyle w:val="100"/>
              <w:keepNext w:val="0"/>
              <w:keepLines w:val="0"/>
              <w:pageBreakBefore w:val="0"/>
              <w:wordWrap/>
              <w:overflowPunct/>
              <w:topLinePunct w:val="0"/>
              <w:bidi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）锅炉废气</w:t>
            </w:r>
          </w:p>
          <w:p>
            <w:pPr>
              <w:keepNext w:val="0"/>
              <w:keepLines w:val="0"/>
              <w:pageBreakBefore w:val="0"/>
              <w:wordWrap/>
              <w:overflowPunct w:val="0"/>
              <w:topLinePunct w:val="0"/>
              <w:bidi w:val="0"/>
              <w:adjustRightInd w:val="0"/>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天然气来源于</w:t>
            </w:r>
            <w:r>
              <w:rPr>
                <w:rFonts w:hint="default" w:ascii="Times New Roman" w:hAnsi="Times New Roman" w:eastAsia="宋体" w:cs="Times New Roman"/>
                <w:color w:val="000000" w:themeColor="text1"/>
                <w:sz w:val="24"/>
                <w:lang w:val="en-US" w:eastAsia="zh-CN"/>
                <w14:textFill>
                  <w14:solidFill>
                    <w14:schemeClr w14:val="tx1"/>
                  </w14:solidFill>
                </w14:textFill>
              </w:rPr>
              <w:t>园区</w:t>
            </w:r>
            <w:r>
              <w:rPr>
                <w:rFonts w:hint="default" w:ascii="Times New Roman" w:hAnsi="Times New Roman" w:eastAsia="宋体" w:cs="Times New Roman"/>
                <w:color w:val="000000" w:themeColor="text1"/>
                <w:sz w:val="24"/>
                <w14:textFill>
                  <w14:solidFill>
                    <w14:schemeClr w14:val="tx1"/>
                  </w14:solidFill>
                </w14:textFill>
              </w:rPr>
              <w:t>天然气</w:t>
            </w:r>
            <w:r>
              <w:rPr>
                <w:rFonts w:hint="default" w:ascii="Times New Roman" w:hAnsi="Times New Roman" w:eastAsia="宋体" w:cs="Times New Roman"/>
                <w:color w:val="000000" w:themeColor="text1"/>
                <w:sz w:val="24"/>
                <w:lang w:val="en-US" w:eastAsia="zh-CN"/>
                <w14:textFill>
                  <w14:solidFill>
                    <w14:schemeClr w14:val="tx1"/>
                  </w14:solidFill>
                </w14:textFill>
              </w:rPr>
              <w:t>管网</w:t>
            </w:r>
            <w:r>
              <w:rPr>
                <w:rFonts w:hint="default" w:ascii="Times New Roman" w:hAnsi="Times New Roman" w:eastAsia="宋体" w:cs="Times New Roman"/>
                <w:color w:val="000000" w:themeColor="text1"/>
                <w:sz w:val="24"/>
                <w14:textFill>
                  <w14:solidFill>
                    <w14:schemeClr w14:val="tx1"/>
                  </w14:solidFill>
                </w14:textFill>
              </w:rPr>
              <w:t>，根据建设单位提供的资料，本项目天然气锅炉消耗燃气量约为</w:t>
            </w:r>
            <w:r>
              <w:rPr>
                <w:rFonts w:hint="eastAsia" w:cs="Times New Roman"/>
                <w:color w:val="000000" w:themeColor="text1"/>
                <w:sz w:val="24"/>
                <w:lang w:val="en-US" w:eastAsia="zh-CN"/>
                <w14:textFill>
                  <w14:solidFill>
                    <w14:schemeClr w14:val="tx1"/>
                  </w14:solidFill>
                </w14:textFill>
              </w:rPr>
              <w:t>215</w:t>
            </w:r>
            <w:r>
              <w:rPr>
                <w:rFonts w:hint="default" w:ascii="Times New Roman" w:hAnsi="Times New Roman" w:eastAsia="宋体" w:cs="Times New Roman"/>
                <w:color w:val="000000" w:themeColor="text1"/>
                <w:sz w:val="24"/>
                <w14:textFill>
                  <w14:solidFill>
                    <w14:schemeClr w14:val="tx1"/>
                  </w14:solidFill>
                </w14:textFill>
              </w:rPr>
              <w:t>万Nm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/a。</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锅炉天然气燃烧废气源强根据《污染源强核算技术指南 锅炉》（HJ991-2018）进行核算。产污系数法污染物源强按下式计算：</w:t>
            </w:r>
          </w:p>
          <w:p>
            <w:pPr>
              <w:keepNext w:val="0"/>
              <w:keepLines w:val="0"/>
              <w:pageBreakBefore w:val="0"/>
              <w:wordWrap/>
              <w:topLinePunct w:val="0"/>
              <w:bidi w:val="0"/>
              <w:spacing w:line="360" w:lineRule="auto"/>
              <w:ind w:firstLine="42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1165225</wp:posOffset>
                  </wp:positionH>
                  <wp:positionV relativeFrom="paragraph">
                    <wp:posOffset>117475</wp:posOffset>
                  </wp:positionV>
                  <wp:extent cx="2133600" cy="590550"/>
                  <wp:effectExtent l="0" t="0" r="0" b="0"/>
                  <wp:wrapTopAndBottom/>
                  <wp:docPr id="1"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9"/>
                          <pic:cNvPicPr>
                            <a:picLocks noChangeAspect="1"/>
                          </pic:cNvPicPr>
                        </pic:nvPicPr>
                        <pic:blipFill>
                          <a:blip r:embed="rId10" r:link="rId11"/>
                          <a:srcRect l="31674" t="9756" r="36652" b="79674"/>
                          <a:stretch>
                            <a:fillRect/>
                          </a:stretch>
                        </pic:blipFill>
                        <pic:spPr>
                          <a:xfrm>
                            <a:off x="0" y="0"/>
                            <a:ext cx="2133600" cy="590550"/>
                          </a:xfrm>
                          <a:prstGeom prst="rect">
                            <a:avLst/>
                          </a:prstGeom>
                          <a:noFill/>
                          <a:ln>
                            <a:noFill/>
                          </a:ln>
                        </pic:spPr>
                      </pic:pic>
                    </a:graphicData>
                  </a:graphic>
                </wp:anchor>
              </w:drawing>
            </w:r>
            <w:r>
              <w:rPr>
                <w:rFonts w:hint="default" w:ascii="Times New Roman" w:hAnsi="Times New Roman" w:eastAsia="宋体" w:cs="Times New Roman"/>
                <w:color w:val="000000" w:themeColor="text1"/>
                <w:sz w:val="24"/>
                <w14:textFill>
                  <w14:solidFill>
                    <w14:schemeClr w14:val="tx1"/>
                  </w14:solidFill>
                </w14:textFill>
              </w:rPr>
              <w:t>式中：E</w:t>
            </w:r>
            <w:r>
              <w:rPr>
                <w:rFonts w:hint="default" w:ascii="Times New Roman" w:hAnsi="Times New Roman" w:eastAsia="宋体" w:cs="Times New Roman"/>
                <w:color w:val="000000" w:themeColor="text1"/>
                <w:sz w:val="24"/>
                <w:vertAlign w:val="subscript"/>
                <w14:textFill>
                  <w14:solidFill>
                    <w14:schemeClr w14:val="tx1"/>
                  </w14:solidFill>
                </w14:textFill>
              </w:rPr>
              <w:t>j</w:t>
            </w:r>
            <w:r>
              <w:rPr>
                <w:rFonts w:hint="default" w:ascii="Times New Roman" w:hAnsi="Times New Roman" w:eastAsia="宋体" w:cs="Times New Roman"/>
                <w:color w:val="000000" w:themeColor="text1"/>
                <w:sz w:val="24"/>
                <w14:textFill>
                  <w14:solidFill>
                    <w14:schemeClr w14:val="tx1"/>
                  </w14:solidFill>
                </w14:textFill>
              </w:rPr>
              <w:t>——核算时段内第j种污染物排放量，t；</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R——核算时段内燃料耗量，t或万m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β</w:t>
            </w:r>
            <w:r>
              <w:rPr>
                <w:rFonts w:hint="default" w:ascii="Times New Roman" w:hAnsi="Times New Roman" w:eastAsia="宋体" w:cs="Times New Roman"/>
                <w:color w:val="000000" w:themeColor="text1"/>
                <w:sz w:val="24"/>
                <w:vertAlign w:val="subscript"/>
                <w14:textFill>
                  <w14:solidFill>
                    <w14:schemeClr w14:val="tx1"/>
                  </w14:solidFill>
                </w14:textFill>
              </w:rPr>
              <w:t>j</w:t>
            </w:r>
            <w:r>
              <w:rPr>
                <w:rFonts w:hint="default" w:ascii="Times New Roman" w:hAnsi="Times New Roman" w:eastAsia="宋体" w:cs="Times New Roman"/>
                <w:color w:val="000000" w:themeColor="text1"/>
                <w:sz w:val="24"/>
                <w14:textFill>
                  <w14:solidFill>
                    <w14:schemeClr w14:val="tx1"/>
                  </w14:solidFill>
                </w14:textFill>
              </w:rPr>
              <w:t>——产污系数，kg/t或kg/万m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；参见全国污染源普查工业污染源普查数据（以最新版本为准）和HJ953</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ŋ——污染物的脱除效率，%。</w:t>
            </w:r>
          </w:p>
          <w:p>
            <w:pPr>
              <w:keepNext w:val="0"/>
              <w:keepLines w:val="0"/>
              <w:pageBreakBefore w:val="0"/>
              <w:wordWrap/>
              <w:overflowPunct w:val="0"/>
              <w:topLinePunct w:val="0"/>
              <w:bidi w:val="0"/>
              <w:adjustRightInd w:val="0"/>
              <w:spacing w:line="360" w:lineRule="auto"/>
              <w:ind w:firstLine="480" w:firstLineChars="200"/>
              <w:jc w:val="both"/>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根据《排放源统计调查产排污核算方法和系数手册-燃气锅炉》，锅炉废气量的产排污系数为</w:t>
            </w:r>
            <w:r>
              <w:rPr>
                <w:rFonts w:hint="default" w:ascii="Times New Roman" w:hAnsi="Times New Roman" w:eastAsia="宋体" w:cs="Times New Roman"/>
                <w:color w:val="000000" w:themeColor="text1"/>
                <w:sz w:val="24"/>
                <w:lang w:val="en-US" w:eastAsia="zh-CN"/>
                <w14:textFill>
                  <w14:solidFill>
                    <w14:schemeClr w14:val="tx1"/>
                  </w14:solidFill>
                </w14:textFill>
              </w:rPr>
              <w:t>107753</w:t>
            </w:r>
            <w:r>
              <w:rPr>
                <w:rFonts w:hint="default" w:ascii="Times New Roman" w:hAnsi="Times New Roman" w:eastAsia="宋体" w:cs="Times New Roman"/>
                <w:color w:val="000000" w:themeColor="text1"/>
                <w:sz w:val="24"/>
                <w14:textFill>
                  <w14:solidFill>
                    <w14:schemeClr w14:val="tx1"/>
                  </w14:solidFill>
                </w14:textFill>
              </w:rPr>
              <w:t>Nm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原料。天然气锅炉燃烧废气中SO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的产排污系数为0.02Skg/万m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原料，其中S为燃料含硫量，</w:t>
            </w:r>
            <w:r>
              <w:rPr>
                <w:rFonts w:hint="default" w:ascii="Times New Roman" w:hAnsi="Times New Roman" w:eastAsia="宋体" w:cs="Times New Roman"/>
                <w:color w:val="000000" w:themeColor="text1"/>
                <w:sz w:val="24"/>
                <w:lang w:val="en-US" w:eastAsia="zh-CN"/>
                <w14:textFill>
                  <w14:solidFill>
                    <w14:schemeClr w14:val="tx1"/>
                  </w14:solidFill>
                </w14:textFill>
              </w:rPr>
              <w:t>项目所在地</w:t>
            </w:r>
            <w:r>
              <w:rPr>
                <w:rFonts w:hint="default" w:ascii="Times New Roman" w:hAnsi="Times New Roman" w:eastAsia="宋体" w:cs="Times New Roman"/>
                <w:color w:val="000000" w:themeColor="text1"/>
                <w:sz w:val="24"/>
                <w14:textFill>
                  <w14:solidFill>
                    <w14:schemeClr w14:val="tx1"/>
                  </w14:solidFill>
                </w14:textFill>
              </w:rPr>
              <w:t>商业用天然气的含硫量平均为</w:t>
            </w:r>
            <w:r>
              <w:rPr>
                <w:rFonts w:hint="default" w:ascii="Times New Roman" w:hAnsi="Times New Roman" w:eastAsia="宋体" w:cs="Times New Roman"/>
                <w:color w:val="000000" w:themeColor="text1"/>
                <w:sz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NO</w:t>
            </w:r>
            <w:r>
              <w:rPr>
                <w:rFonts w:hint="default" w:ascii="Times New Roman" w:hAnsi="Times New Roman" w:eastAsia="宋体" w:cs="Times New Roman"/>
                <w:color w:val="000000" w:themeColor="text1"/>
                <w:sz w:val="24"/>
                <w:vertAlign w:val="subscript"/>
                <w14:textFill>
                  <w14:solidFill>
                    <w14:schemeClr w14:val="tx1"/>
                  </w14:solidFill>
                </w14:textFill>
              </w:rPr>
              <w:t>x</w:t>
            </w:r>
            <w:r>
              <w:rPr>
                <w:rFonts w:hint="default" w:ascii="Times New Roman" w:hAnsi="Times New Roman" w:eastAsia="宋体" w:cs="Times New Roman"/>
                <w:color w:val="000000" w:themeColor="text1"/>
                <w:sz w:val="24"/>
                <w14:textFill>
                  <w14:solidFill>
                    <w14:schemeClr w14:val="tx1"/>
                  </w14:solidFill>
                </w14:textFill>
              </w:rPr>
              <w:t>的产排污系数为</w:t>
            </w:r>
            <w:r>
              <w:rPr>
                <w:rFonts w:hint="eastAsia" w:cs="Times New Roman"/>
                <w:color w:val="000000" w:themeColor="text1"/>
                <w:sz w:val="24"/>
                <w:lang w:val="en-US" w:eastAsia="zh-CN"/>
                <w14:textFill>
                  <w14:solidFill>
                    <w14:schemeClr w14:val="tx1"/>
                  </w14:solidFill>
                </w14:textFill>
              </w:rPr>
              <w:t>6.97</w:t>
            </w:r>
            <w:r>
              <w:rPr>
                <w:rFonts w:hint="default" w:ascii="Times New Roman" w:hAnsi="Times New Roman" w:eastAsia="宋体" w:cs="Times New Roman"/>
                <w:color w:val="000000" w:themeColor="text1"/>
                <w:sz w:val="24"/>
                <w14:textFill>
                  <w14:solidFill>
                    <w14:schemeClr w14:val="tx1"/>
                  </w14:solidFill>
                </w14:textFill>
              </w:rPr>
              <w:t>kg/万m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原料</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国内先进水平</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。由于排放源统计调查产排污核算方法和系数手册》（公告 2021 年第 24 号）中没有颗粒的产物系数，故本环评参照《社会区域类环境影响评价》天然气燃烧烟尘产排污系数1.6千克/万立方米-原料</w:t>
            </w:r>
            <w:r>
              <w:rPr>
                <w:rFonts w:hint="default" w:ascii="Times New Roman" w:hAnsi="Times New Roman" w:eastAsia="宋体" w:cs="Times New Roman"/>
                <w:color w:val="000000" w:themeColor="text1"/>
                <w:sz w:val="24"/>
                <w:lang w:eastAsia="zh-CN"/>
                <w14:textFill>
                  <w14:solidFill>
                    <w14:schemeClr w14:val="tx1"/>
                  </w14:solidFill>
                </w14:textFill>
              </w:rPr>
              <w:t>。</w:t>
            </w:r>
          </w:p>
          <w:p>
            <w:pPr>
              <w:ind w:firstLine="482"/>
              <w:jc w:val="center"/>
              <w:rPr>
                <w:rFonts w:hint="eastAsia" w:ascii="宋体" w:hAnsi="宋体" w:eastAsia="宋体" w:cs="宋体"/>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 xml:space="preserve">表 4-2   </w:t>
            </w:r>
            <w:r>
              <w:rPr>
                <w:rFonts w:hint="eastAsia" w:ascii="宋体" w:hAnsi="宋体" w:eastAsia="宋体" w:cs="宋体"/>
                <w:b/>
                <w:bCs/>
                <w:color w:val="000000" w:themeColor="text1"/>
                <w:lang w:val="en-US" w:eastAsia="zh-CN"/>
                <w14:textFill>
                  <w14:solidFill>
                    <w14:schemeClr w14:val="tx1"/>
                  </w14:solidFill>
                </w14:textFill>
              </w:rPr>
              <w:t xml:space="preserve">      天然气燃烧废气污染物的产排情况</w:t>
            </w:r>
          </w:p>
          <w:tbl>
            <w:tblPr>
              <w:tblStyle w:val="24"/>
              <w:tblW w:w="80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91"/>
              <w:gridCol w:w="891"/>
              <w:gridCol w:w="891"/>
              <w:gridCol w:w="891"/>
              <w:gridCol w:w="891"/>
              <w:gridCol w:w="891"/>
              <w:gridCol w:w="891"/>
              <w:gridCol w:w="891"/>
              <w:gridCol w:w="8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污染物</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产生量</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(kg/a)</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产生浓度</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产生速率</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(kg/h)</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排放量</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(kg/a)</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排放浓度</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排放速率</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(kg/h)</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排放标准</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br w:type="textWrapping"/>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达标情况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6" w:hRule="atLeast"/>
              </w:trPr>
              <w:tc>
                <w:tcPr>
                  <w:tcW w:w="8019" w:type="dxa"/>
                  <w:gridSpan w:val="9"/>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烟气量：</w:t>
                  </w:r>
                  <w:r>
                    <w:rPr>
                      <w:rFonts w:hint="eastAsia" w:cs="Times New Roman"/>
                      <w:color w:val="000000" w:themeColor="text1"/>
                      <w:kern w:val="0"/>
                      <w:sz w:val="21"/>
                      <w:szCs w:val="21"/>
                      <w:lang w:val="en-US" w:eastAsia="zh-CN" w:bidi="ar"/>
                      <w14:textFill>
                        <w14:solidFill>
                          <w14:schemeClr w14:val="tx1"/>
                        </w14:solidFill>
                      </w14:textFill>
                    </w:rPr>
                    <w:t>2.32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Nm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二氧化硫</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215</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9.27</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w:t>
                  </w:r>
                  <w:r>
                    <w:rPr>
                      <w:rFonts w:hint="eastAsia" w:cs="Times New Roman"/>
                      <w:color w:val="000000" w:themeColor="text1"/>
                      <w:kern w:val="0"/>
                      <w:sz w:val="21"/>
                      <w:szCs w:val="21"/>
                      <w:lang w:val="en-US" w:eastAsia="zh-CN" w:bidi="ar"/>
                      <w14:textFill>
                        <w14:solidFill>
                          <w14:schemeClr w14:val="tx1"/>
                        </w14:solidFill>
                      </w14:textFill>
                    </w:rPr>
                    <w:t>30</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215</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9.27</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w:t>
                  </w:r>
                  <w:r>
                    <w:rPr>
                      <w:rFonts w:hint="eastAsia" w:cs="Times New Roman"/>
                      <w:color w:val="000000" w:themeColor="text1"/>
                      <w:kern w:val="0"/>
                      <w:sz w:val="21"/>
                      <w:szCs w:val="21"/>
                      <w:lang w:val="en-US" w:eastAsia="zh-CN" w:bidi="ar"/>
                      <w14:textFill>
                        <w14:solidFill>
                          <w14:schemeClr w14:val="tx1"/>
                        </w14:solidFill>
                      </w14:textFill>
                    </w:rPr>
                    <w:t>30</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50</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氮氧化物</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1498.55</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64.57</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r>
                    <w:rPr>
                      <w:rFonts w:hint="eastAsia" w:cs="Times New Roman"/>
                      <w:color w:val="000000" w:themeColor="text1"/>
                      <w:kern w:val="0"/>
                      <w:sz w:val="21"/>
                      <w:szCs w:val="21"/>
                      <w:lang w:val="en-US" w:eastAsia="zh-CN" w:bidi="ar"/>
                      <w14:textFill>
                        <w14:solidFill>
                          <w14:schemeClr w14:val="tx1"/>
                        </w14:solidFill>
                      </w14:textFill>
                    </w:rPr>
                    <w:t>21</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1498.55</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64.57</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r>
                    <w:rPr>
                      <w:rFonts w:hint="eastAsia" w:cs="Times New Roman"/>
                      <w:color w:val="000000" w:themeColor="text1"/>
                      <w:kern w:val="0"/>
                      <w:sz w:val="21"/>
                      <w:szCs w:val="21"/>
                      <w:lang w:val="en-US" w:eastAsia="zh-CN" w:bidi="ar"/>
                      <w14:textFill>
                        <w14:solidFill>
                          <w14:schemeClr w14:val="tx1"/>
                        </w14:solidFill>
                      </w14:textFill>
                    </w:rPr>
                    <w:t>21</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200</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颗粒物</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344</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14.8</w:t>
                  </w:r>
                  <w:r>
                    <w:rPr>
                      <w:rFonts w:hint="eastAsia" w:cs="Times New Roman"/>
                      <w:color w:val="000000" w:themeColor="text1"/>
                      <w:kern w:val="0"/>
                      <w:sz w:val="21"/>
                      <w:szCs w:val="21"/>
                      <w:lang w:val="en-US" w:eastAsia="zh-CN" w:bidi="ar"/>
                      <w14:textFill>
                        <w14:solidFill>
                          <w14:schemeClr w14:val="tx1"/>
                        </w14:solidFill>
                      </w14:textFill>
                    </w:rPr>
                    <w:t>3</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w:t>
                  </w:r>
                  <w:r>
                    <w:rPr>
                      <w:rFonts w:hint="eastAsia" w:cs="Times New Roman"/>
                      <w:color w:val="000000" w:themeColor="text1"/>
                      <w:kern w:val="0"/>
                      <w:sz w:val="21"/>
                      <w:szCs w:val="21"/>
                      <w:lang w:val="en-US" w:eastAsia="zh-CN" w:bidi="ar"/>
                      <w14:textFill>
                        <w14:solidFill>
                          <w14:schemeClr w14:val="tx1"/>
                        </w14:solidFill>
                      </w14:textFill>
                    </w:rPr>
                    <w:t>47</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344</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14.8</w:t>
                  </w:r>
                  <w:r>
                    <w:rPr>
                      <w:rFonts w:hint="eastAsia" w:cs="Times New Roman"/>
                      <w:color w:val="000000" w:themeColor="text1"/>
                      <w:kern w:val="0"/>
                      <w:sz w:val="21"/>
                      <w:szCs w:val="21"/>
                      <w:lang w:val="en-US" w:eastAsia="zh-CN" w:bidi="ar"/>
                      <w14:textFill>
                        <w14:solidFill>
                          <w14:schemeClr w14:val="tx1"/>
                        </w14:solidFill>
                      </w14:textFill>
                    </w:rPr>
                    <w:t>3</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w:t>
                  </w:r>
                  <w:r>
                    <w:rPr>
                      <w:rFonts w:hint="eastAsia" w:cs="Times New Roman"/>
                      <w:color w:val="000000" w:themeColor="text1"/>
                      <w:kern w:val="0"/>
                      <w:sz w:val="21"/>
                      <w:szCs w:val="21"/>
                      <w:lang w:val="en-US" w:eastAsia="zh-CN" w:bidi="ar"/>
                      <w14:textFill>
                        <w14:solidFill>
                          <w14:schemeClr w14:val="tx1"/>
                        </w14:solidFill>
                      </w14:textFill>
                    </w:rPr>
                    <w:t>47</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20</w:t>
                  </w:r>
                </w:p>
              </w:tc>
              <w:tc>
                <w:tcPr>
                  <w:tcW w:w="8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达标</w:t>
                  </w:r>
                </w:p>
              </w:tc>
            </w:tr>
          </w:tbl>
          <w:p>
            <w:pPr>
              <w:overflowPunct w:val="0"/>
              <w:adjustRightInd w:val="0"/>
              <w:spacing w:line="520" w:lineRule="exact"/>
              <w:ind w:firstLine="1897" w:firstLineChars="900"/>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 xml:space="preserve">表 4-3          </w:t>
            </w:r>
            <w:r>
              <w:rPr>
                <w:rFonts w:hint="default" w:ascii="Times New Roman" w:hAnsi="Times New Roman" w:eastAsia="宋体" w:cs="Times New Roman"/>
                <w:b/>
                <w:bCs/>
                <w:color w:val="000000" w:themeColor="text1"/>
                <w:kern w:val="0"/>
                <w:szCs w:val="21"/>
                <w14:textFill>
                  <w14:solidFill>
                    <w14:schemeClr w14:val="tx1"/>
                  </w14:solidFill>
                </w14:textFill>
              </w:rPr>
              <w:t>天然气组分和物理性能表</w:t>
            </w:r>
          </w:p>
          <w:tbl>
            <w:tblPr>
              <w:tblStyle w:val="2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天然气组分及物理性能</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甲烷CH</w:t>
                  </w:r>
                  <w:r>
                    <w:rPr>
                      <w:rFonts w:hint="default" w:ascii="Times New Roman" w:hAnsi="Times New Roman" w:eastAsia="宋体" w:cs="Times New Roman"/>
                      <w:b w:val="0"/>
                      <w:bCs w:val="0"/>
                      <w:color w:val="000000" w:themeColor="text1"/>
                      <w:kern w:val="0"/>
                      <w:szCs w:val="21"/>
                      <w:vertAlign w:val="subscript"/>
                      <w14:textFill>
                        <w14:solidFill>
                          <w14:schemeClr w14:val="tx1"/>
                        </w14:solidFill>
                      </w14:textFill>
                    </w:rPr>
                    <w:t xml:space="preserve">4 </w:t>
                  </w:r>
                  <w:r>
                    <w:rPr>
                      <w:rFonts w:hint="default" w:ascii="Times New Roman" w:hAnsi="Times New Roman" w:eastAsia="宋体" w:cs="Times New Roman"/>
                      <w:b w:val="0"/>
                      <w:bCs w:val="0"/>
                      <w:color w:val="000000" w:themeColor="text1"/>
                      <w:kern w:val="0"/>
                      <w:szCs w:val="21"/>
                      <w14:textFill>
                        <w14:solidFill>
                          <w14:schemeClr w14:val="tx1"/>
                        </w14:solidFill>
                      </w14:textFill>
                    </w:rPr>
                    <w:t>（%）</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95.9494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乙烷C</w:t>
                  </w:r>
                  <w:r>
                    <w:rPr>
                      <w:rFonts w:hint="default" w:ascii="Times New Roman" w:hAnsi="Times New Roman" w:eastAsia="宋体" w:cs="Times New Roman"/>
                      <w:b w:val="0"/>
                      <w:bCs w:val="0"/>
                      <w:color w:val="000000" w:themeColor="text1"/>
                      <w:kern w:val="0"/>
                      <w:szCs w:val="21"/>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Cs w:val="21"/>
                      <w14:textFill>
                        <w14:solidFill>
                          <w14:schemeClr w14:val="tx1"/>
                        </w14:solidFill>
                      </w14:textFill>
                    </w:rPr>
                    <w:t>H</w:t>
                  </w:r>
                  <w:r>
                    <w:rPr>
                      <w:rFonts w:hint="default" w:ascii="Times New Roman" w:hAnsi="Times New Roman" w:eastAsia="宋体" w:cs="Times New Roman"/>
                      <w:b w:val="0"/>
                      <w:bCs w:val="0"/>
                      <w:color w:val="000000" w:themeColor="text1"/>
                      <w:kern w:val="0"/>
                      <w:szCs w:val="21"/>
                      <w:vertAlign w:val="subscript"/>
                      <w14:textFill>
                        <w14:solidFill>
                          <w14:schemeClr w14:val="tx1"/>
                        </w14:solidFill>
                      </w14:textFill>
                    </w:rPr>
                    <w:t>6</w:t>
                  </w:r>
                  <w:r>
                    <w:rPr>
                      <w:rFonts w:hint="default" w:ascii="Times New Roman" w:hAnsi="Times New Roman" w:eastAsia="宋体" w:cs="Times New Roman"/>
                      <w:b w:val="0"/>
                      <w:bCs w:val="0"/>
                      <w:color w:val="000000" w:themeColor="text1"/>
                      <w:kern w:val="0"/>
                      <w:szCs w:val="21"/>
                      <w14:textFill>
                        <w14:solidFill>
                          <w14:schemeClr w14:val="tx1"/>
                        </w14:solidFill>
                      </w14:textFill>
                    </w:rPr>
                    <w:t xml:space="preserve"> （%）</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0.9075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丙烷C</w:t>
                  </w:r>
                  <w:r>
                    <w:rPr>
                      <w:rFonts w:hint="default" w:ascii="Times New Roman" w:hAnsi="Times New Roman" w:eastAsia="宋体" w:cs="Times New Roman"/>
                      <w:b w:val="0"/>
                      <w:bCs w:val="0"/>
                      <w:color w:val="000000" w:themeColor="text1"/>
                      <w:kern w:val="0"/>
                      <w:szCs w:val="21"/>
                      <w:vertAlign w:val="subscript"/>
                      <w14:textFill>
                        <w14:solidFill>
                          <w14:schemeClr w14:val="tx1"/>
                        </w14:solidFill>
                      </w14:textFill>
                    </w:rPr>
                    <w:t>3</w:t>
                  </w:r>
                  <w:r>
                    <w:rPr>
                      <w:rFonts w:hint="default" w:ascii="Times New Roman" w:hAnsi="Times New Roman" w:eastAsia="宋体" w:cs="Times New Roman"/>
                      <w:b w:val="0"/>
                      <w:bCs w:val="0"/>
                      <w:color w:val="000000" w:themeColor="text1"/>
                      <w:kern w:val="0"/>
                      <w:szCs w:val="21"/>
                      <w14:textFill>
                        <w14:solidFill>
                          <w14:schemeClr w14:val="tx1"/>
                        </w14:solidFill>
                      </w14:textFill>
                    </w:rPr>
                    <w:t>H</w:t>
                  </w:r>
                  <w:r>
                    <w:rPr>
                      <w:rFonts w:hint="default" w:ascii="Times New Roman" w:hAnsi="Times New Roman" w:eastAsia="宋体" w:cs="Times New Roman"/>
                      <w:b w:val="0"/>
                      <w:bCs w:val="0"/>
                      <w:color w:val="000000" w:themeColor="text1"/>
                      <w:kern w:val="0"/>
                      <w:szCs w:val="21"/>
                      <w:vertAlign w:val="subscript"/>
                      <w14:textFill>
                        <w14:solidFill>
                          <w14:schemeClr w14:val="tx1"/>
                        </w14:solidFill>
                      </w14:textFill>
                    </w:rPr>
                    <w:t>8</w:t>
                  </w:r>
                  <w:r>
                    <w:rPr>
                      <w:rFonts w:hint="default" w:ascii="Times New Roman" w:hAnsi="Times New Roman" w:eastAsia="宋体" w:cs="Times New Roman"/>
                      <w:b w:val="0"/>
                      <w:bCs w:val="0"/>
                      <w:color w:val="000000" w:themeColor="text1"/>
                      <w:kern w:val="0"/>
                      <w:szCs w:val="21"/>
                      <w14:textFill>
                        <w14:solidFill>
                          <w14:schemeClr w14:val="tx1"/>
                        </w14:solidFill>
                      </w14:textFill>
                    </w:rPr>
                    <w:t>（%）</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0.1367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硫化氢H</w:t>
                  </w:r>
                  <w:r>
                    <w:rPr>
                      <w:rFonts w:hint="default" w:ascii="Times New Roman" w:hAnsi="Times New Roman" w:eastAsia="宋体" w:cs="Times New Roman"/>
                      <w:b w:val="0"/>
                      <w:bCs w:val="0"/>
                      <w:color w:val="000000" w:themeColor="text1"/>
                      <w:kern w:val="0"/>
                      <w:szCs w:val="21"/>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Cs w:val="21"/>
                      <w14:textFill>
                        <w14:solidFill>
                          <w14:schemeClr w14:val="tx1"/>
                        </w14:solidFill>
                      </w14:textFill>
                    </w:rPr>
                    <w:t>S （%）</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二氧化碳CO</w:t>
                  </w:r>
                  <w:r>
                    <w:rPr>
                      <w:rFonts w:hint="default" w:ascii="Times New Roman" w:hAnsi="Times New Roman" w:eastAsia="宋体" w:cs="Times New Roman"/>
                      <w:b w:val="0"/>
                      <w:bCs w:val="0"/>
                      <w:color w:val="000000" w:themeColor="text1"/>
                      <w:kern w:val="0"/>
                      <w:szCs w:val="21"/>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Cs w:val="21"/>
                      <w14:textFill>
                        <w14:solidFill>
                          <w14:schemeClr w14:val="tx1"/>
                        </w14:solidFill>
                      </w14:textFill>
                    </w:rPr>
                    <w:t xml:space="preserve"> （%）</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水H</w:t>
                  </w:r>
                  <w:r>
                    <w:rPr>
                      <w:rFonts w:hint="default" w:ascii="Times New Roman" w:hAnsi="Times New Roman" w:eastAsia="宋体" w:cs="Times New Roman"/>
                      <w:b w:val="0"/>
                      <w:bCs w:val="0"/>
                      <w:color w:val="000000" w:themeColor="text1"/>
                      <w:kern w:val="0"/>
                      <w:szCs w:val="21"/>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Cs w:val="21"/>
                      <w14:textFill>
                        <w14:solidFill>
                          <w14:schemeClr w14:val="tx1"/>
                        </w14:solidFill>
                      </w14:textFill>
                    </w:rPr>
                    <w:t>O （%）</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0.0062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密度 （kg/Nm</w:t>
                  </w:r>
                  <w:r>
                    <w:rPr>
                      <w:rFonts w:hint="default" w:ascii="Times New Roman" w:hAnsi="Times New Roman" w:eastAsia="宋体" w:cs="Times New Roman"/>
                      <w:b w:val="0"/>
                      <w:bCs w:val="0"/>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Cs w:val="21"/>
                      <w14:textFill>
                        <w14:solidFill>
                          <w14:schemeClr w14:val="tx1"/>
                        </w14:solidFill>
                      </w14:textFill>
                    </w:rPr>
                    <w:t>）</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0.7616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比重</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0.5890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高位热值 MJ/Nm</w:t>
                  </w:r>
                  <w:r>
                    <w:rPr>
                      <w:rFonts w:hint="default" w:ascii="Times New Roman" w:hAnsi="Times New Roman" w:eastAsia="宋体" w:cs="Times New Roman"/>
                      <w:b w:val="0"/>
                      <w:bCs w:val="0"/>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Cs w:val="21"/>
                      <w14:textFill>
                        <w14:solidFill>
                          <w14:schemeClr w14:val="tx1"/>
                        </w14:solidFill>
                      </w14:textFill>
                    </w:rPr>
                    <w:t>(Kcal/Nm</w:t>
                  </w:r>
                  <w:r>
                    <w:rPr>
                      <w:rFonts w:hint="default" w:ascii="Times New Roman" w:hAnsi="Times New Roman" w:eastAsia="宋体" w:cs="Times New Roman"/>
                      <w:b w:val="0"/>
                      <w:bCs w:val="0"/>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Cs w:val="21"/>
                      <w14:textFill>
                        <w14:solidFill>
                          <w14:schemeClr w14:val="tx1"/>
                        </w14:solidFill>
                      </w14:textFill>
                    </w:rPr>
                    <w:t>)</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39.0051(9331.4)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低位热值 MJ/Nm</w:t>
                  </w:r>
                  <w:r>
                    <w:rPr>
                      <w:rFonts w:hint="default" w:ascii="Times New Roman" w:hAnsi="Times New Roman" w:eastAsia="宋体" w:cs="Times New Roman"/>
                      <w:b w:val="0"/>
                      <w:bCs w:val="0"/>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Cs w:val="21"/>
                      <w14:textFill>
                        <w14:solidFill>
                          <w14:schemeClr w14:val="tx1"/>
                        </w14:solidFill>
                      </w14:textFill>
                    </w:rPr>
                    <w:t>(Kcal/Nm</w:t>
                  </w:r>
                  <w:r>
                    <w:rPr>
                      <w:rFonts w:hint="default" w:ascii="Times New Roman" w:hAnsi="Times New Roman" w:eastAsia="宋体" w:cs="Times New Roman"/>
                      <w:b w:val="0"/>
                      <w:bCs w:val="0"/>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kern w:val="0"/>
                      <w:szCs w:val="21"/>
                      <w14:textFill>
                        <w14:solidFill>
                          <w14:schemeClr w14:val="tx1"/>
                        </w14:solidFill>
                      </w14:textFill>
                    </w:rPr>
                    <w:t>)</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35.1597(8411.4)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供气压力 （kPa）</w:t>
                  </w:r>
                </w:p>
              </w:tc>
              <w:tc>
                <w:tcPr>
                  <w:tcW w:w="4220" w:type="dxa"/>
                  <w:noWrap w:val="0"/>
                  <w:vAlign w:val="top"/>
                </w:tcPr>
                <w:p>
                  <w:pPr>
                    <w:autoSpaceDE w:val="0"/>
                    <w:autoSpaceDN w:val="0"/>
                    <w:adjustRightInd w:val="0"/>
                    <w:spacing w:line="300" w:lineRule="exact"/>
                    <w:jc w:val="center"/>
                    <w:rPr>
                      <w:rFonts w:hint="default" w:ascii="Times New Roman" w:hAnsi="Times New Roman" w:eastAsia="宋体"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Cs w:val="21"/>
                      <w14:textFill>
                        <w14:solidFill>
                          <w14:schemeClr w14:val="tx1"/>
                        </w14:solidFill>
                      </w14:textFill>
                    </w:rPr>
                    <w:t>2-2.5</w:t>
                  </w:r>
                </w:p>
              </w:tc>
            </w:tr>
          </w:tbl>
          <w:p>
            <w:pPr>
              <w:keepNext w:val="0"/>
              <w:keepLines w:val="0"/>
              <w:pageBreakBefore w:val="0"/>
              <w:wordWrap/>
              <w:overflowPunct w:val="0"/>
              <w:topLinePunct w:val="0"/>
              <w:bidi w:val="0"/>
              <w:adjustRightInd w:val="0"/>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燃气锅炉拟安装低氮燃烧器（低氮燃烧器设置在锅炉进气端，原理为一端连接锅炉排烟口，分流一部分烟气，另一端连接燃气锅炉的进气口，使烟气进入炉膛重新燃烧减少NOx的排放量），可减少25%的NOx产生量。收集废气的风机风量为2000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/h。其中颗粒物、二氧化硫、氮氧化物污染物排放量分别为0.</w:t>
            </w:r>
            <w:r>
              <w:rPr>
                <w:rFonts w:hint="eastAsia" w:cs="Times New Roman"/>
                <w:color w:val="000000" w:themeColor="text1"/>
                <w:sz w:val="24"/>
                <w:szCs w:val="24"/>
                <w:lang w:val="en-US" w:eastAsia="zh-CN"/>
                <w14:textFill>
                  <w14:solidFill>
                    <w14:schemeClr w14:val="tx1"/>
                  </w14:solidFill>
                </w14:textFill>
              </w:rPr>
              <w:t>215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1.499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t/a、0.</w:t>
            </w:r>
            <w:r>
              <w:rPr>
                <w:rFonts w:hint="eastAsia" w:cs="Times New Roman"/>
                <w:color w:val="000000" w:themeColor="text1"/>
                <w:sz w:val="24"/>
                <w:szCs w:val="24"/>
                <w:lang w:val="en-US" w:eastAsia="zh-CN"/>
                <w14:textFill>
                  <w14:solidFill>
                    <w14:schemeClr w14:val="tx1"/>
                  </w14:solidFill>
                </w14:textFill>
              </w:rPr>
              <w:t>344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t/a，项目燃气废气经8m高的排气筒（DA00</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）排放，废气中颗粒物、二氧化硫、氮氧化物、烟气林格曼黑度满足《锅炉大气污染物排放标准》（GB13271-2014）</w:t>
            </w:r>
            <w:r>
              <w:rPr>
                <w:rFonts w:hint="default" w:ascii="Times New Roman" w:hAnsi="Times New Roman" w:eastAsia="宋体" w:cs="Times New Roman"/>
                <w:color w:val="000000" w:themeColor="text1"/>
                <w:sz w:val="24"/>
                <w:szCs w:val="24"/>
                <w14:textFill>
                  <w14:solidFill>
                    <w14:schemeClr w14:val="tx1"/>
                  </w14:solidFill>
                </w14:textFill>
              </w:rPr>
              <w:t>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新建锅炉大气污染物排放浓度限值中燃气锅炉标准要求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14:textFill>
                  <w14:solidFill>
                    <w14:schemeClr w14:val="tx1"/>
                  </w14:solidFill>
                </w14:textFill>
              </w:rPr>
              <w:t>20mg/m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二氧化硫：</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、氮氧化物：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200</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、烟气黑度(林格曼黑度，级)≤1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1.2 无组织废气</w:t>
            </w:r>
          </w:p>
          <w:p>
            <w:pPr>
              <w:keepNext w:val="0"/>
              <w:keepLines w:val="0"/>
              <w:pageBreakBefore w:val="0"/>
              <w:widowControl/>
              <w:tabs>
                <w:tab w:val="left" w:pos="383"/>
              </w:tabs>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（1）物料输送、物料搅拌粉尘</w:t>
            </w:r>
          </w:p>
          <w:p>
            <w:pPr>
              <w:pStyle w:val="100"/>
              <w:keepNext w:val="0"/>
              <w:keepLines w:val="0"/>
              <w:pageBreakBefore w:val="0"/>
              <w:wordWrap/>
              <w:overflowPunct/>
              <w:topLinePunct w:val="0"/>
              <w:bidi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 xml:space="preserve">项目水泥、矿粉为筒仓储藏，原料由原料供应商提供的密封的散装水泥车（罐车）运至站内，用气泵通过管道采用压缩空气法打入筒仓，由于受气流冲击，储罐中的粉状原料可从罐顶气孔排至大气中。各筒仓均配套脉冲除尘器，收集效率约99.7%。原料水泥、砂石料在搅拌过程中产生粉尘，砂石料、水泥从筒仓中进入搅拌机与水进行混合搅拌，混合机连续运行，当粉料由管道通过计量泵进入搅拌机时，混合机呼吸孔会有粉尘产生。混合机产生的粉尘通过管道通入布袋除尘器（去尘效率 99.7% ，风机量 </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000m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/h）进行处理。搅拌产生的粉尘参照《排放源统计调查产排污核算方法和系数手册》（3021 水泥制品制造（含 3022 水泥制品制造、3029 其他水泥类似制品制造）行业系 数手册）中“3021 水泥制品制造（含 3022 砼结构构件、3029 其他水泥类似制品制造）行业系数表 ”，产污系数见表 4-1。</w:t>
            </w:r>
          </w:p>
          <w:p>
            <w:pPr>
              <w:pStyle w:val="111"/>
              <w:keepNext w:val="0"/>
              <w:keepLines w:val="0"/>
              <w:pageBreakBefore w:val="0"/>
              <w:wordWrap/>
              <w:overflowPunct/>
              <w:topLinePunct w:val="0"/>
              <w:bidi w:val="0"/>
              <w:spacing w:line="360" w:lineRule="auto"/>
              <w:jc w:val="cente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表4-1    3021 水泥制品制造行业系数表</w:t>
            </w:r>
          </w:p>
          <w:tbl>
            <w:tblPr>
              <w:tblStyle w:val="24"/>
              <w:tblW w:w="7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872"/>
              <w:gridCol w:w="819"/>
              <w:gridCol w:w="692"/>
              <w:gridCol w:w="898"/>
              <w:gridCol w:w="1410"/>
              <w:gridCol w:w="658"/>
              <w:gridCol w:w="877"/>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6"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工段</w:t>
                  </w: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872"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原料名称</w:t>
                  </w:r>
                </w:p>
              </w:tc>
              <w:tc>
                <w:tcPr>
                  <w:tcW w:w="819"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工艺名称</w:t>
                  </w:r>
                </w:p>
              </w:tc>
              <w:tc>
                <w:tcPr>
                  <w:tcW w:w="692"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规模等级</w:t>
                  </w:r>
                </w:p>
              </w:tc>
              <w:tc>
                <w:tcPr>
                  <w:tcW w:w="898"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污染物指标</w:t>
                  </w:r>
                </w:p>
              </w:tc>
              <w:tc>
                <w:tcPr>
                  <w:tcW w:w="1410"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w:t>
                  </w:r>
                </w:p>
              </w:tc>
              <w:tc>
                <w:tcPr>
                  <w:tcW w:w="658"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产污系数</w:t>
                  </w:r>
                </w:p>
              </w:tc>
              <w:tc>
                <w:tcPr>
                  <w:tcW w:w="877"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末端治理技术名称</w:t>
                  </w:r>
                </w:p>
              </w:tc>
              <w:tc>
                <w:tcPr>
                  <w:tcW w:w="1114"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末端治理</w:t>
                  </w:r>
                </w:p>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技术平均去除效率（%）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6" w:type="dxa"/>
                  <w:vMerge w:val="restart"/>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物料搅拌</w:t>
                  </w:r>
                </w:p>
              </w:tc>
              <w:tc>
                <w:tcPr>
                  <w:tcW w:w="872" w:type="dxa"/>
                  <w:vMerge w:val="restart"/>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水泥、砂子、石子、钢筋</w:t>
                  </w:r>
                </w:p>
              </w:tc>
              <w:tc>
                <w:tcPr>
                  <w:tcW w:w="819" w:type="dxa"/>
                  <w:vMerge w:val="restart"/>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物料输送储存</w:t>
                  </w:r>
                </w:p>
              </w:tc>
              <w:tc>
                <w:tcPr>
                  <w:tcW w:w="692" w:type="dxa"/>
                  <w:vMerge w:val="restart"/>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所有规模</w:t>
                  </w:r>
                </w:p>
              </w:tc>
              <w:tc>
                <w:tcPr>
                  <w:tcW w:w="898"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废气量</w:t>
                  </w:r>
                </w:p>
              </w:tc>
              <w:tc>
                <w:tcPr>
                  <w:tcW w:w="1410"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标立方米/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吨-产品</w:t>
                  </w:r>
                </w:p>
              </w:tc>
              <w:tc>
                <w:tcPr>
                  <w:tcW w:w="658"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41.8</w:t>
                  </w:r>
                </w:p>
              </w:tc>
              <w:tc>
                <w:tcPr>
                  <w:tcW w:w="877"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14"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6"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72"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19"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92"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410"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千克/</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吨-产品</w:t>
                  </w:r>
                </w:p>
              </w:tc>
              <w:tc>
                <w:tcPr>
                  <w:tcW w:w="658"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0.19</w:t>
                  </w:r>
                </w:p>
              </w:tc>
              <w:tc>
                <w:tcPr>
                  <w:tcW w:w="877"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袋式除尘</w:t>
                  </w:r>
                </w:p>
              </w:tc>
              <w:tc>
                <w:tcPr>
                  <w:tcW w:w="1114"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6"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72"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19" w:type="dxa"/>
                  <w:vMerge w:val="restart"/>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物料混合搅拌</w:t>
                  </w:r>
                </w:p>
              </w:tc>
              <w:tc>
                <w:tcPr>
                  <w:tcW w:w="692"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废气量</w:t>
                  </w:r>
                </w:p>
              </w:tc>
              <w:tc>
                <w:tcPr>
                  <w:tcW w:w="1410"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标立方米/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吨-产品</w:t>
                  </w:r>
                </w:p>
              </w:tc>
              <w:tc>
                <w:tcPr>
                  <w:tcW w:w="658"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129</w:t>
                  </w:r>
                </w:p>
              </w:tc>
              <w:tc>
                <w:tcPr>
                  <w:tcW w:w="877"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14"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56"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72"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19"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92" w:type="dxa"/>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98"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410"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千克/</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吨-产品</w:t>
                  </w:r>
                </w:p>
              </w:tc>
              <w:tc>
                <w:tcPr>
                  <w:tcW w:w="658"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5.23*10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-1</w:t>
                  </w:r>
                </w:p>
              </w:tc>
              <w:tc>
                <w:tcPr>
                  <w:tcW w:w="877"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袋式除尘</w:t>
                  </w:r>
                </w:p>
              </w:tc>
              <w:tc>
                <w:tcPr>
                  <w:tcW w:w="1114" w:type="dxa"/>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99.7%</w:t>
                  </w:r>
                </w:p>
              </w:tc>
            </w:tr>
          </w:tbl>
          <w:p>
            <w:pPr>
              <w:pStyle w:val="100"/>
              <w:keepNext w:val="0"/>
              <w:keepLines w:val="0"/>
              <w:pageBreakBefore w:val="0"/>
              <w:wordWrap/>
              <w:overflowPunct/>
              <w:topLinePunct w:val="0"/>
              <w:bidi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本项目生产预应力混凝土管桩</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4410</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00t/a，则产生储存输送颗粒物产生量：</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83.79</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 xml:space="preserve">t/a </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产生速率：</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11.64</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kg/h ，各筒仓均配套脉冲除尘器，收集效率约99.7%，经计算，物料储存输送颗粒物的</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无</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组织排放量：</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0.25</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t/a，排放速率：0.0</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35</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kg/h 。产生物料搅拌颗粒物产生量：</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230.64</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t/a，产生速率：</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32.03</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 xml:space="preserve">kg/h ，颗粒物经布袋除尘器（去尘效率 99.7% ，风机量 </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000m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/h）处理后</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无组织排放量</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0.69</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t/a，</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排放</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速率：</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0.096</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kg/h 。</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）运输扬尘</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原料在厂区内运输时将产生一定的扬尘，由于此扬尘量较难估算，本项目仅做定性分析。本项目在采取厂区道路硬化、控制车速、密封运输物料、定期洒水抑尘等措施后，运输产生的扬尘量较少，对周围环境影响不大。</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）焊接烟尘</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焊接烟气主要产生于钢筋加工区钢筋焊接成型工序，主要污染物为焊接烟尘，由于本项目钢筋笼焊接工艺为滚焊机焊接，无需焊条，采用对焊机焊接工艺（对焊机的电极分别装在固定平板和滑动平板上，滑动平板可沿机身上的导轨移动，电流通过变压器次级线圈传到电极上，当推动压力机构使两根 钢筋端头接触到一起后，造成短路电阻产生热量，加热钢筋端头，当加热到高 塑性后，再加力挤压，使两端头达到牢固地对接），故焊接烟气产生量较少，</w:t>
            </w:r>
            <w:r>
              <w:rPr>
                <w:rFonts w:hint="default" w:ascii="Times New Roman" w:hAnsi="Times New Roman" w:eastAsia="宋体" w:cs="Times New Roman"/>
                <w:color w:val="000000" w:themeColor="text1"/>
                <w:sz w:val="24"/>
                <w:szCs w:val="24"/>
                <w14:textFill>
                  <w14:solidFill>
                    <w14:schemeClr w14:val="tx1"/>
                  </w14:solidFill>
                </w14:textFill>
              </w:rPr>
              <w:t>项目对产生焊接烟尘采用移动式焊烟净化器处理，移动式焊烟净化器收集处理效率为90%，烟尘经净化后车间无组织排放</w:t>
            </w:r>
            <w:r>
              <w:rPr>
                <w:rFonts w:hint="default" w:ascii="Times New Roman" w:hAnsi="Times New Roman" w:eastAsia="宋体" w:cs="Times New Roman"/>
                <w:bCs/>
                <w:color w:val="000000" w:themeColor="text1"/>
                <w:sz w:val="24"/>
                <w:szCs w:val="24"/>
                <w14:textFill>
                  <w14:solidFill>
                    <w14:schemeClr w14:val="tx1"/>
                  </w14:solidFill>
                </w14:textFill>
              </w:rPr>
              <w:t>。</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14:textFill>
                  <w14:solidFill>
                    <w14:schemeClr w14:val="tx1"/>
                  </w14:solidFill>
                </w14:textFill>
              </w:rPr>
              <w:t>）物料堆存粉尘</w:t>
            </w:r>
          </w:p>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本项目设</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14:textFill>
                  <w14:solidFill>
                    <w14:schemeClr w14:val="tx1"/>
                  </w14:solidFill>
                </w14:textFill>
              </w:rPr>
              <w:t>个原料库，</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原料库为封闭式，</w:t>
            </w:r>
            <w:r>
              <w:rPr>
                <w:rFonts w:hint="default" w:ascii="Times New Roman" w:hAnsi="Times New Roman" w:eastAsia="宋体" w:cs="Times New Roman"/>
                <w:bCs/>
                <w:color w:val="000000" w:themeColor="text1"/>
                <w:sz w:val="24"/>
                <w:szCs w:val="24"/>
                <w14:textFill>
                  <w14:solidFill>
                    <w14:schemeClr w14:val="tx1"/>
                  </w14:solidFill>
                </w14:textFill>
              </w:rPr>
              <w:t>每个原料骨料堆场内设多个料仓，</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为半封闭式料仓</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砂、石子由装载机分别送入砂石投料口，受料口设置于全封闭料仓，每个受料口进行三面围挡，棚顶为钢板顶棚。粉尘产生位置主要为敞口处的作业区。本项目使用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砂、</w:t>
            </w:r>
            <w:r>
              <w:rPr>
                <w:rFonts w:hint="default" w:ascii="Times New Roman" w:hAnsi="Times New Roman" w:eastAsia="宋体" w:cs="Times New Roman"/>
                <w:bCs/>
                <w:color w:val="000000" w:themeColor="text1"/>
                <w:sz w:val="24"/>
                <w:szCs w:val="24"/>
                <w14:textFill>
                  <w14:solidFill>
                    <w14:schemeClr w14:val="tx1"/>
                  </w14:solidFill>
                </w14:textFill>
              </w:rPr>
              <w:t>石料的总量为</w:t>
            </w:r>
            <w:r>
              <w:rPr>
                <w:rFonts w:hint="eastAsia" w:cs="Times New Roman"/>
                <w:bCs/>
                <w:color w:val="000000" w:themeColor="text1"/>
                <w:sz w:val="24"/>
                <w:szCs w:val="24"/>
                <w:lang w:val="en-US" w:eastAsia="zh-CN"/>
                <w14:textFill>
                  <w14:solidFill>
                    <w14:schemeClr w14:val="tx1"/>
                  </w14:solidFill>
                </w14:textFill>
              </w:rPr>
              <w:t>346500</w:t>
            </w:r>
            <w:r>
              <w:rPr>
                <w:rFonts w:hint="default" w:ascii="Times New Roman" w:hAnsi="Times New Roman" w:eastAsia="宋体" w:cs="Times New Roman"/>
                <w:bCs/>
                <w:color w:val="000000" w:themeColor="text1"/>
                <w:sz w:val="24"/>
                <w:szCs w:val="24"/>
                <w14:textFill>
                  <w14:solidFill>
                    <w14:schemeClr w14:val="tx1"/>
                  </w14:solidFill>
                </w14:textFill>
              </w:rPr>
              <w:t>t/a，根据《逸散性工业粉尘控制技术》（中国环境科学出版社）中相关参数，</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砂和粒料送料贮存、送料上堆排放因子</w:t>
            </w:r>
            <w:r>
              <w:rPr>
                <w:rFonts w:hint="default" w:ascii="Times New Roman" w:hAnsi="Times New Roman" w:eastAsia="宋体" w:cs="Times New Roman"/>
                <w:bCs/>
                <w:color w:val="000000" w:themeColor="text1"/>
                <w:sz w:val="24"/>
                <w:szCs w:val="24"/>
                <w14:textFill>
                  <w14:solidFill>
                    <w14:schemeClr w14:val="tx1"/>
                  </w14:solidFill>
                </w14:textFill>
              </w:rPr>
              <w:t>为0.0</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kg/t，则粉尘产生量为</w:t>
            </w:r>
            <w:r>
              <w:rPr>
                <w:rFonts w:hint="eastAsia" w:cs="Times New Roman"/>
                <w:bCs/>
                <w:color w:val="000000" w:themeColor="text1"/>
                <w:sz w:val="24"/>
                <w:szCs w:val="24"/>
                <w:lang w:val="en-US" w:eastAsia="zh-CN"/>
                <w14:textFill>
                  <w14:solidFill>
                    <w14:schemeClr w14:val="tx1"/>
                  </w14:solidFill>
                </w14:textFill>
              </w:rPr>
              <w:t>6.93</w:t>
            </w:r>
            <w:r>
              <w:rPr>
                <w:rFonts w:hint="default" w:ascii="Times New Roman" w:hAnsi="Times New Roman" w:eastAsia="宋体" w:cs="Times New Roman"/>
                <w:bCs/>
                <w:color w:val="000000" w:themeColor="text1"/>
                <w:sz w:val="24"/>
                <w:szCs w:val="24"/>
                <w14:textFill>
                  <w14:solidFill>
                    <w14:schemeClr w14:val="tx1"/>
                  </w14:solidFill>
                </w14:textFill>
              </w:rPr>
              <w:t>t/a。生产骨料砂、</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石子</w:t>
            </w:r>
            <w:r>
              <w:rPr>
                <w:rFonts w:hint="default" w:ascii="Times New Roman" w:hAnsi="Times New Roman" w:eastAsia="宋体" w:cs="Times New Roman"/>
                <w:bCs/>
                <w:color w:val="000000" w:themeColor="text1"/>
                <w:sz w:val="24"/>
                <w:szCs w:val="24"/>
                <w14:textFill>
                  <w14:solidFill>
                    <w14:schemeClr w14:val="tx1"/>
                  </w14:solidFill>
                </w14:textFill>
              </w:rPr>
              <w:t>等是堆场扬尘的主要来源，本项目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原料库为封闭式，料仓为半</w:t>
            </w:r>
            <w:r>
              <w:rPr>
                <w:rFonts w:hint="default" w:ascii="Times New Roman" w:hAnsi="Times New Roman" w:eastAsia="宋体" w:cs="Times New Roman"/>
                <w:bCs/>
                <w:color w:val="000000" w:themeColor="text1"/>
                <w:sz w:val="24"/>
                <w:szCs w:val="24"/>
                <w14:textFill>
                  <w14:solidFill>
                    <w14:schemeClr w14:val="tx1"/>
                  </w14:solidFill>
                </w14:textFill>
              </w:rPr>
              <w:t>封闭</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式</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原料库</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堆体表面</w:t>
            </w:r>
            <w:r>
              <w:rPr>
                <w:rFonts w:hint="default" w:ascii="Times New Roman" w:hAnsi="Times New Roman" w:eastAsia="宋体" w:cs="Times New Roman"/>
                <w:bCs/>
                <w:color w:val="000000" w:themeColor="text1"/>
                <w:sz w:val="24"/>
                <w:szCs w:val="24"/>
                <w14:textFill>
                  <w14:solidFill>
                    <w14:schemeClr w14:val="tx1"/>
                  </w14:solidFill>
                </w14:textFill>
              </w:rPr>
              <w:t>采取洒水抑尘</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篷布遮盖等措施</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投料时采取洒水降尘措施，</w:t>
            </w:r>
            <w:r>
              <w:rPr>
                <w:rFonts w:hint="default" w:ascii="Times New Roman" w:hAnsi="Times New Roman" w:eastAsia="宋体" w:cs="Times New Roman"/>
                <w:bCs/>
                <w:color w:val="000000" w:themeColor="text1"/>
                <w:sz w:val="24"/>
                <w:szCs w:val="24"/>
                <w14:textFill>
                  <w14:solidFill>
                    <w14:schemeClr w14:val="tx1"/>
                  </w14:solidFill>
                </w14:textFill>
              </w:rPr>
              <w:t>保持堆料一定湿度，</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环评建议，</w:t>
            </w:r>
            <w:r>
              <w:rPr>
                <w:rFonts w:hint="default" w:ascii="Times New Roman" w:hAnsi="Times New Roman" w:eastAsia="宋体" w:cs="Times New Roman"/>
                <w:bCs/>
                <w:color w:val="000000" w:themeColor="text1"/>
                <w:sz w:val="24"/>
                <w:szCs w:val="24"/>
                <w14:textFill>
                  <w14:solidFill>
                    <w14:schemeClr w14:val="tx1"/>
                  </w14:solidFill>
                </w14:textFill>
              </w:rPr>
              <w:t>项目敞口处作业区增加水喷雾装置，减少无组织排放</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对粉尘的去除率能够达到</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80</w:t>
            </w:r>
            <w:r>
              <w:rPr>
                <w:rFonts w:hint="default" w:ascii="Times New Roman" w:hAnsi="Times New Roman" w:eastAsia="宋体" w:cs="Times New Roman"/>
                <w:bCs/>
                <w:color w:val="000000" w:themeColor="text1"/>
                <w:sz w:val="24"/>
                <w:szCs w:val="24"/>
                <w14:textFill>
                  <w14:solidFill>
                    <w14:schemeClr w14:val="tx1"/>
                  </w14:solidFill>
                </w14:textFill>
              </w:rPr>
              <w:t>%，则</w:t>
            </w:r>
            <w:r>
              <w:rPr>
                <w:rFonts w:hint="default" w:ascii="Times New Roman" w:hAnsi="Times New Roman" w:eastAsia="宋体" w:cs="Times New Roman"/>
                <w:bCs/>
                <w:color w:val="000000" w:themeColor="text1"/>
                <w:sz w:val="24"/>
                <w:szCs w:val="24"/>
                <w:lang w:eastAsia="zh-CN"/>
                <w14:textFill>
                  <w14:solidFill>
                    <w14:schemeClr w14:val="tx1"/>
                  </w14:solidFill>
                </w14:textFill>
              </w:rPr>
              <w:t>混凝土拌合站</w:t>
            </w:r>
            <w:r>
              <w:rPr>
                <w:rFonts w:hint="default" w:ascii="Times New Roman" w:hAnsi="Times New Roman" w:eastAsia="宋体" w:cs="Times New Roman"/>
                <w:bCs/>
                <w:color w:val="000000" w:themeColor="text1"/>
                <w:sz w:val="24"/>
                <w:szCs w:val="24"/>
                <w14:textFill>
                  <w14:solidFill>
                    <w14:schemeClr w14:val="tx1"/>
                  </w14:solidFill>
                </w14:textFill>
              </w:rPr>
              <w:t>原料库粉尘的无组织排放量为</w:t>
            </w:r>
            <w:r>
              <w:rPr>
                <w:rFonts w:hint="eastAsia" w:cs="Times New Roman"/>
                <w:bCs/>
                <w:color w:val="000000" w:themeColor="text1"/>
                <w:sz w:val="24"/>
                <w:szCs w:val="24"/>
                <w:lang w:val="en-US" w:eastAsia="zh-CN"/>
                <w14:textFill>
                  <w14:solidFill>
                    <w14:schemeClr w14:val="tx1"/>
                  </w14:solidFill>
                </w14:textFill>
              </w:rPr>
              <w:t>1.39</w:t>
            </w:r>
            <w:r>
              <w:rPr>
                <w:rFonts w:hint="default" w:ascii="Times New Roman" w:hAnsi="Times New Roman" w:eastAsia="宋体" w:cs="Times New Roman"/>
                <w:bCs/>
                <w:color w:val="000000" w:themeColor="text1"/>
                <w:sz w:val="24"/>
                <w:szCs w:val="24"/>
                <w14:textFill>
                  <w14:solidFill>
                    <w14:schemeClr w14:val="tx1"/>
                  </w14:solidFill>
                </w14:textFill>
              </w:rPr>
              <w:t>t/a。</w:t>
            </w:r>
          </w:p>
          <w:p>
            <w:pPr>
              <w:pStyle w:val="20"/>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本项目大气污染物排放基本情况如下表。</w:t>
            </w:r>
          </w:p>
          <w:p>
            <w:pPr>
              <w:spacing w:line="360" w:lineRule="auto"/>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表4-4</w:t>
            </w:r>
            <w:r>
              <w:rPr>
                <w:rFonts w:hint="default" w:ascii="Times New Roman" w:hAnsi="Times New Roman" w:eastAsia="宋体" w:cs="Times New Roman"/>
                <w:b/>
                <w:bCs/>
                <w:color w:val="000000" w:themeColor="text1"/>
                <w:szCs w:val="21"/>
                <w14:textFill>
                  <w14:solidFill>
                    <w14:schemeClr w14:val="tx1"/>
                  </w14:solidFill>
                </w14:textFill>
              </w:rPr>
              <w:t xml:space="preserve"> 项目</w:t>
            </w:r>
            <w:r>
              <w:rPr>
                <w:rFonts w:hint="default" w:ascii="Times New Roman" w:hAnsi="Times New Roman" w:eastAsia="宋体" w:cs="Times New Roman"/>
                <w:b/>
                <w:color w:val="000000" w:themeColor="text1"/>
                <w:szCs w:val="21"/>
                <w14:textFill>
                  <w14:solidFill>
                    <w14:schemeClr w14:val="tx1"/>
                  </w14:solidFill>
                </w14:textFill>
              </w:rPr>
              <w:t>有组织废气</w:t>
            </w:r>
            <w:r>
              <w:rPr>
                <w:rFonts w:hint="default" w:ascii="Times New Roman" w:hAnsi="Times New Roman" w:eastAsia="宋体" w:cs="Times New Roman"/>
                <w:b/>
                <w:bCs/>
                <w:color w:val="000000" w:themeColor="text1"/>
                <w:szCs w:val="21"/>
                <w14:textFill>
                  <w14:solidFill>
                    <w14:schemeClr w14:val="tx1"/>
                  </w14:solidFill>
                </w14:textFill>
              </w:rPr>
              <w:t>产排情况一览表</w:t>
            </w:r>
          </w:p>
          <w:tbl>
            <w:tblPr>
              <w:tblStyle w:val="24"/>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784"/>
              <w:gridCol w:w="640"/>
              <w:gridCol w:w="684"/>
              <w:gridCol w:w="997"/>
              <w:gridCol w:w="546"/>
              <w:gridCol w:w="986"/>
              <w:gridCol w:w="880"/>
              <w:gridCol w:w="880"/>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noWrap w:val="0"/>
                  <w:vAlign w:val="center"/>
                </w:tcPr>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产排污环节</w:t>
                  </w:r>
                </w:p>
              </w:tc>
              <w:tc>
                <w:tcPr>
                  <w:tcW w:w="493" w:type="pct"/>
                  <w:noWrap w:val="0"/>
                  <w:vAlign w:val="center"/>
                </w:tcPr>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污染物种类</w:t>
                  </w:r>
                </w:p>
              </w:tc>
              <w:tc>
                <w:tcPr>
                  <w:tcW w:w="403" w:type="pct"/>
                  <w:noWrap w:val="0"/>
                  <w:vAlign w:val="center"/>
                </w:tcPr>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产生量</w:t>
                  </w:r>
                </w:p>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(t/a)</w:t>
                  </w:r>
                </w:p>
              </w:tc>
              <w:tc>
                <w:tcPr>
                  <w:tcW w:w="430" w:type="pct"/>
                  <w:noWrap w:val="0"/>
                  <w:vAlign w:val="center"/>
                </w:tcPr>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产生速率(kg/h)</w:t>
                  </w:r>
                </w:p>
              </w:tc>
              <w:tc>
                <w:tcPr>
                  <w:tcW w:w="628" w:type="pct"/>
                  <w:noWrap w:val="0"/>
                  <w:vAlign w:val="center"/>
                </w:tcPr>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产生浓(mg/m</w:t>
                  </w:r>
                  <w:r>
                    <w:rPr>
                      <w:rFonts w:hint="default" w:ascii="Times New Roman" w:hAnsi="Times New Roman" w:eastAsia="宋体" w:cs="Times New Roman"/>
                      <w:b/>
                      <w:bCs/>
                      <w:color w:val="000000" w:themeColor="text1"/>
                      <w:kern w:val="2"/>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kern w:val="2"/>
                      <w:sz w:val="21"/>
                      <w:szCs w:val="21"/>
                      <w14:textFill>
                        <w14:solidFill>
                          <w14:schemeClr w14:val="tx1"/>
                        </w14:solidFill>
                      </w14:textFill>
                    </w:rPr>
                    <w:t>)</w:t>
                  </w:r>
                </w:p>
              </w:tc>
              <w:tc>
                <w:tcPr>
                  <w:tcW w:w="344" w:type="pct"/>
                  <w:noWrap w:val="0"/>
                  <w:vAlign w:val="center"/>
                </w:tcPr>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风量</w:t>
                  </w:r>
                </w:p>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(m</w:t>
                  </w:r>
                  <w:r>
                    <w:rPr>
                      <w:rFonts w:hint="default" w:ascii="Times New Roman" w:hAnsi="Times New Roman" w:eastAsia="宋体" w:cs="Times New Roman"/>
                      <w:b/>
                      <w:bCs/>
                      <w:color w:val="000000" w:themeColor="text1"/>
                      <w:kern w:val="2"/>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kern w:val="2"/>
                      <w:sz w:val="21"/>
                      <w:szCs w:val="21"/>
                      <w14:textFill>
                        <w14:solidFill>
                          <w14:schemeClr w14:val="tx1"/>
                        </w14:solidFill>
                      </w14:textFill>
                    </w:rPr>
                    <w:t>/h)</w:t>
                  </w:r>
                </w:p>
              </w:tc>
              <w:tc>
                <w:tcPr>
                  <w:tcW w:w="621" w:type="pct"/>
                  <w:noWrap w:val="0"/>
                  <w:vAlign w:val="center"/>
                </w:tcPr>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治理</w:t>
                  </w:r>
                </w:p>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措施</w:t>
                  </w:r>
                </w:p>
              </w:tc>
              <w:tc>
                <w:tcPr>
                  <w:tcW w:w="554" w:type="pct"/>
                  <w:noWrap w:val="0"/>
                  <w:vAlign w:val="center"/>
                </w:tcPr>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排放量</w:t>
                  </w:r>
                </w:p>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(t/a)</w:t>
                  </w:r>
                </w:p>
              </w:tc>
              <w:tc>
                <w:tcPr>
                  <w:tcW w:w="554" w:type="pct"/>
                  <w:noWrap w:val="0"/>
                  <w:vAlign w:val="center"/>
                </w:tcPr>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bookmarkStart w:id="10" w:name="OLE_LINK76"/>
                  <w:r>
                    <w:rPr>
                      <w:rFonts w:hint="default" w:ascii="Times New Roman" w:hAnsi="Times New Roman" w:eastAsia="宋体" w:cs="Times New Roman"/>
                      <w:b/>
                      <w:bCs/>
                      <w:color w:val="000000" w:themeColor="text1"/>
                      <w:kern w:val="2"/>
                      <w:sz w:val="21"/>
                      <w:szCs w:val="21"/>
                      <w14:textFill>
                        <w14:solidFill>
                          <w14:schemeClr w14:val="tx1"/>
                        </w14:solidFill>
                      </w14:textFill>
                    </w:rPr>
                    <w:t>排放速率(kg/h)</w:t>
                  </w:r>
                  <w:bookmarkEnd w:id="10"/>
                </w:p>
              </w:tc>
              <w:tc>
                <w:tcPr>
                  <w:tcW w:w="501" w:type="pct"/>
                  <w:noWrap w:val="0"/>
                  <w:vAlign w:val="center"/>
                </w:tcPr>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排放浓度</w:t>
                  </w:r>
                </w:p>
                <w:p>
                  <w:pPr>
                    <w:pStyle w:val="112"/>
                    <w:spacing w:line="240" w:lineRule="auto"/>
                    <w:ind w:left="-105" w:leftChars="-50" w:right="-105" w:rightChars="-50"/>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(mg/m</w:t>
                  </w:r>
                  <w:r>
                    <w:rPr>
                      <w:rFonts w:hint="default" w:ascii="Times New Roman" w:hAnsi="Times New Roman" w:eastAsia="宋体" w:cs="Times New Roman"/>
                      <w:b/>
                      <w:bCs/>
                      <w:color w:val="000000" w:themeColor="text1"/>
                      <w:kern w:val="2"/>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kern w:val="2"/>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68" w:type="pct"/>
                  <w:vMerge w:val="restart"/>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锅炉燃烧</w:t>
                  </w:r>
                </w:p>
              </w:tc>
              <w:tc>
                <w:tcPr>
                  <w:tcW w:w="493" w:type="pc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颗粒物</w:t>
                  </w:r>
                </w:p>
              </w:tc>
              <w:tc>
                <w:tcPr>
                  <w:tcW w:w="403" w:type="pc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w:t>
                  </w:r>
                  <w:r>
                    <w:rPr>
                      <w:rFonts w:hint="eastAsia" w:cs="Times New Roman"/>
                      <w:b w:val="0"/>
                      <w:bCs w:val="0"/>
                      <w:color w:val="000000" w:themeColor="text1"/>
                      <w:kern w:val="2"/>
                      <w:sz w:val="21"/>
                      <w:szCs w:val="21"/>
                      <w:lang w:val="en-US" w:eastAsia="zh-CN"/>
                      <w14:textFill>
                        <w14:solidFill>
                          <w14:schemeClr w14:val="tx1"/>
                        </w14:solidFill>
                      </w14:textFill>
                    </w:rPr>
                    <w:t>344</w:t>
                  </w:r>
                </w:p>
              </w:tc>
              <w:tc>
                <w:tcPr>
                  <w:tcW w:w="430" w:type="pc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0.0</w:t>
                  </w:r>
                  <w:r>
                    <w:rPr>
                      <w:rFonts w:hint="eastAsia" w:cs="Times New Roman"/>
                      <w:b w:val="0"/>
                      <w:bCs w:val="0"/>
                      <w:color w:val="000000" w:themeColor="text1"/>
                      <w:kern w:val="2"/>
                      <w:sz w:val="21"/>
                      <w:szCs w:val="21"/>
                      <w:lang w:val="en-US" w:eastAsia="zh-CN"/>
                      <w14:textFill>
                        <w14:solidFill>
                          <w14:schemeClr w14:val="tx1"/>
                        </w14:solidFill>
                      </w14:textFill>
                    </w:rPr>
                    <w:t>47</w:t>
                  </w:r>
                </w:p>
              </w:tc>
              <w:tc>
                <w:tcPr>
                  <w:tcW w:w="628" w:type="pc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14.8</w:t>
                  </w:r>
                  <w:r>
                    <w:rPr>
                      <w:rFonts w:hint="eastAsia" w:cs="Times New Roman"/>
                      <w:b w:val="0"/>
                      <w:bCs w:val="0"/>
                      <w:color w:val="000000" w:themeColor="text1"/>
                      <w:kern w:val="2"/>
                      <w:sz w:val="21"/>
                      <w:szCs w:val="21"/>
                      <w:lang w:val="en-US" w:eastAsia="zh-CN"/>
                      <w14:textFill>
                        <w14:solidFill>
                          <w14:schemeClr w14:val="tx1"/>
                        </w14:solidFill>
                      </w14:textFill>
                    </w:rPr>
                    <w:t>3</w:t>
                  </w:r>
                </w:p>
              </w:tc>
              <w:tc>
                <w:tcPr>
                  <w:tcW w:w="344" w:type="pct"/>
                  <w:vMerge w:val="restar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2000</w:t>
                  </w:r>
                </w:p>
              </w:tc>
              <w:tc>
                <w:tcPr>
                  <w:tcW w:w="621" w:type="pct"/>
                  <w:vMerge w:val="restar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低氮燃烧+8m高排气筒排放（DA00</w:t>
                  </w:r>
                  <w:r>
                    <w:rPr>
                      <w:rFonts w:hint="eastAsia" w:cs="Times New Roman"/>
                      <w:b w:val="0"/>
                      <w:bCs w:val="0"/>
                      <w:color w:val="000000" w:themeColor="text1"/>
                      <w:kern w:val="2"/>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w:t>
                  </w:r>
                </w:p>
              </w:tc>
              <w:tc>
                <w:tcPr>
                  <w:tcW w:w="880" w:type="dxa"/>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w:t>
                  </w:r>
                  <w:r>
                    <w:rPr>
                      <w:rFonts w:hint="eastAsia" w:cs="Times New Roman"/>
                      <w:b w:val="0"/>
                      <w:bCs w:val="0"/>
                      <w:color w:val="000000" w:themeColor="text1"/>
                      <w:kern w:val="2"/>
                      <w:sz w:val="21"/>
                      <w:szCs w:val="21"/>
                      <w:lang w:val="en-US" w:eastAsia="zh-CN"/>
                      <w14:textFill>
                        <w14:solidFill>
                          <w14:schemeClr w14:val="tx1"/>
                        </w14:solidFill>
                      </w14:textFill>
                    </w:rPr>
                    <w:t>344</w:t>
                  </w:r>
                </w:p>
              </w:tc>
              <w:tc>
                <w:tcPr>
                  <w:tcW w:w="880" w:type="dxa"/>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0.0</w:t>
                  </w:r>
                  <w:r>
                    <w:rPr>
                      <w:rFonts w:hint="eastAsia" w:cs="Times New Roman"/>
                      <w:b w:val="0"/>
                      <w:bCs w:val="0"/>
                      <w:color w:val="000000" w:themeColor="text1"/>
                      <w:kern w:val="2"/>
                      <w:sz w:val="21"/>
                      <w:szCs w:val="21"/>
                      <w:lang w:val="en-US" w:eastAsia="zh-CN"/>
                      <w14:textFill>
                        <w14:solidFill>
                          <w14:schemeClr w14:val="tx1"/>
                        </w14:solidFill>
                      </w14:textFill>
                    </w:rPr>
                    <w:t>47</w:t>
                  </w:r>
                </w:p>
              </w:tc>
              <w:tc>
                <w:tcPr>
                  <w:tcW w:w="796" w:type="dxa"/>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14.8</w:t>
                  </w:r>
                  <w:r>
                    <w:rPr>
                      <w:rFonts w:hint="eastAsia" w:cs="Times New Roman"/>
                      <w:b w:val="0"/>
                      <w:bCs w:val="0"/>
                      <w:color w:val="000000" w:themeColor="text1"/>
                      <w:kern w:val="2"/>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3" w:type="pct"/>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二氧化硫</w:t>
                  </w:r>
                </w:p>
              </w:tc>
              <w:tc>
                <w:tcPr>
                  <w:tcW w:w="403" w:type="pc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w:t>
                  </w:r>
                  <w:r>
                    <w:rPr>
                      <w:rFonts w:hint="eastAsia" w:cs="Times New Roman"/>
                      <w:b w:val="0"/>
                      <w:bCs w:val="0"/>
                      <w:color w:val="000000" w:themeColor="text1"/>
                      <w:kern w:val="2"/>
                      <w:sz w:val="21"/>
                      <w:szCs w:val="21"/>
                      <w:lang w:val="en-US" w:eastAsia="zh-CN"/>
                      <w14:textFill>
                        <w14:solidFill>
                          <w14:schemeClr w14:val="tx1"/>
                        </w14:solidFill>
                      </w14:textFill>
                    </w:rPr>
                    <w:t>215</w:t>
                  </w:r>
                </w:p>
              </w:tc>
              <w:tc>
                <w:tcPr>
                  <w:tcW w:w="430" w:type="pc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0.0</w:t>
                  </w:r>
                  <w:r>
                    <w:rPr>
                      <w:rFonts w:hint="eastAsia" w:cs="Times New Roman"/>
                      <w:b w:val="0"/>
                      <w:bCs w:val="0"/>
                      <w:color w:val="000000" w:themeColor="text1"/>
                      <w:kern w:val="2"/>
                      <w:sz w:val="21"/>
                      <w:szCs w:val="21"/>
                      <w:lang w:val="en-US" w:eastAsia="zh-CN"/>
                      <w14:textFill>
                        <w14:solidFill>
                          <w14:schemeClr w14:val="tx1"/>
                        </w14:solidFill>
                      </w14:textFill>
                    </w:rPr>
                    <w:t>30</w:t>
                  </w:r>
                </w:p>
              </w:tc>
              <w:tc>
                <w:tcPr>
                  <w:tcW w:w="628" w:type="pc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9.2</w:t>
                  </w:r>
                  <w:r>
                    <w:rPr>
                      <w:rFonts w:hint="eastAsia" w:cs="Times New Roman"/>
                      <w:b w:val="0"/>
                      <w:bCs w:val="0"/>
                      <w:color w:val="000000" w:themeColor="text1"/>
                      <w:kern w:val="2"/>
                      <w:sz w:val="21"/>
                      <w:szCs w:val="21"/>
                      <w:lang w:val="en-US" w:eastAsia="zh-CN"/>
                      <w14:textFill>
                        <w14:solidFill>
                          <w14:schemeClr w14:val="tx1"/>
                        </w14:solidFill>
                      </w14:textFill>
                    </w:rPr>
                    <w:t>7</w:t>
                  </w:r>
                </w:p>
              </w:tc>
              <w:tc>
                <w:tcPr>
                  <w:tcW w:w="344" w:type="pct"/>
                  <w:vMerge w:val="continue"/>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21" w:type="pct"/>
                  <w:vMerge w:val="continue"/>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880" w:type="dxa"/>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w:t>
                  </w:r>
                  <w:r>
                    <w:rPr>
                      <w:rFonts w:hint="eastAsia" w:cs="Times New Roman"/>
                      <w:b w:val="0"/>
                      <w:bCs w:val="0"/>
                      <w:color w:val="000000" w:themeColor="text1"/>
                      <w:kern w:val="2"/>
                      <w:sz w:val="21"/>
                      <w:szCs w:val="21"/>
                      <w:lang w:val="en-US" w:eastAsia="zh-CN"/>
                      <w14:textFill>
                        <w14:solidFill>
                          <w14:schemeClr w14:val="tx1"/>
                        </w14:solidFill>
                      </w14:textFill>
                    </w:rPr>
                    <w:t>215</w:t>
                  </w:r>
                </w:p>
              </w:tc>
              <w:tc>
                <w:tcPr>
                  <w:tcW w:w="880" w:type="dxa"/>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0.0</w:t>
                  </w:r>
                  <w:r>
                    <w:rPr>
                      <w:rFonts w:hint="eastAsia" w:cs="Times New Roman"/>
                      <w:b w:val="0"/>
                      <w:bCs w:val="0"/>
                      <w:color w:val="000000" w:themeColor="text1"/>
                      <w:kern w:val="2"/>
                      <w:sz w:val="21"/>
                      <w:szCs w:val="21"/>
                      <w:lang w:val="en-US" w:eastAsia="zh-CN"/>
                      <w14:textFill>
                        <w14:solidFill>
                          <w14:schemeClr w14:val="tx1"/>
                        </w14:solidFill>
                      </w14:textFill>
                    </w:rPr>
                    <w:t>30</w:t>
                  </w:r>
                </w:p>
              </w:tc>
              <w:tc>
                <w:tcPr>
                  <w:tcW w:w="796" w:type="dxa"/>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9.2</w:t>
                  </w:r>
                  <w:r>
                    <w:rPr>
                      <w:rFonts w:hint="eastAsia" w:cs="Times New Roman"/>
                      <w:b w:val="0"/>
                      <w:bCs w:val="0"/>
                      <w:color w:val="000000" w:themeColor="text1"/>
                      <w:kern w:val="2"/>
                      <w:sz w:val="21"/>
                      <w:szCs w:val="21"/>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8" w:type="pct"/>
                  <w:vMerge w:val="continue"/>
                  <w:noWrap w:val="0"/>
                  <w:vAlign w:val="center"/>
                </w:tcPr>
                <w:p>
                  <w:pPr>
                    <w:pStyle w:val="76"/>
                    <w:keepNext w:val="0"/>
                    <w:keepLines w:val="0"/>
                    <w:pageBreakBefore w:val="0"/>
                    <w:widowControl/>
                    <w:kinsoku/>
                    <w:wordWrap/>
                    <w:overflowPunct/>
                    <w:topLinePunct w:val="0"/>
                    <w:autoSpaceDE/>
                    <w:autoSpaceDN/>
                    <w:bidi w:val="0"/>
                    <w:adjustRightInd/>
                    <w:snapToGrid/>
                    <w:spacing w:line="240" w:lineRule="atLeas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3" w:type="pct"/>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氮氧化物</w:t>
                  </w:r>
                </w:p>
              </w:tc>
              <w:tc>
                <w:tcPr>
                  <w:tcW w:w="403" w:type="pc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eastAsia" w:cs="Times New Roman"/>
                      <w:b w:val="0"/>
                      <w:bCs w:val="0"/>
                      <w:color w:val="000000" w:themeColor="text1"/>
                      <w:kern w:val="2"/>
                      <w:sz w:val="21"/>
                      <w:szCs w:val="21"/>
                      <w:lang w:val="en-US" w:eastAsia="zh-CN"/>
                      <w14:textFill>
                        <w14:solidFill>
                          <w14:schemeClr w14:val="tx1"/>
                        </w14:solidFill>
                      </w14:textFill>
                    </w:rPr>
                    <w:t>1.499</w:t>
                  </w:r>
                </w:p>
              </w:tc>
              <w:tc>
                <w:tcPr>
                  <w:tcW w:w="430" w:type="pc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w:t>
                  </w:r>
                  <w:r>
                    <w:rPr>
                      <w:rFonts w:hint="eastAsia" w:cs="Times New Roman"/>
                      <w:b w:val="0"/>
                      <w:bCs w:val="0"/>
                      <w:color w:val="000000" w:themeColor="text1"/>
                      <w:kern w:val="2"/>
                      <w:sz w:val="21"/>
                      <w:szCs w:val="21"/>
                      <w:lang w:val="en-US" w:eastAsia="zh-CN"/>
                      <w14:textFill>
                        <w14:solidFill>
                          <w14:schemeClr w14:val="tx1"/>
                        </w14:solidFill>
                      </w14:textFill>
                    </w:rPr>
                    <w:t>21</w:t>
                  </w:r>
                </w:p>
              </w:tc>
              <w:tc>
                <w:tcPr>
                  <w:tcW w:w="628" w:type="pct"/>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eastAsia" w:cs="Times New Roman"/>
                      <w:b w:val="0"/>
                      <w:bCs w:val="0"/>
                      <w:color w:val="000000" w:themeColor="text1"/>
                      <w:kern w:val="2"/>
                      <w:sz w:val="21"/>
                      <w:szCs w:val="21"/>
                      <w:lang w:val="en-US" w:eastAsia="zh-CN"/>
                      <w14:textFill>
                        <w14:solidFill>
                          <w14:schemeClr w14:val="tx1"/>
                        </w14:solidFill>
                      </w14:textFill>
                    </w:rPr>
                    <w:t>64.57</w:t>
                  </w:r>
                </w:p>
              </w:tc>
              <w:tc>
                <w:tcPr>
                  <w:tcW w:w="344" w:type="pct"/>
                  <w:vMerge w:val="continue"/>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621" w:type="pct"/>
                  <w:vMerge w:val="continue"/>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p>
              </w:tc>
              <w:tc>
                <w:tcPr>
                  <w:tcW w:w="880" w:type="dxa"/>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eastAsia" w:cs="Times New Roman"/>
                      <w:b w:val="0"/>
                      <w:bCs w:val="0"/>
                      <w:color w:val="000000" w:themeColor="text1"/>
                      <w:kern w:val="2"/>
                      <w:sz w:val="21"/>
                      <w:szCs w:val="21"/>
                      <w:lang w:val="en-US" w:eastAsia="zh-CN"/>
                      <w14:textFill>
                        <w14:solidFill>
                          <w14:schemeClr w14:val="tx1"/>
                        </w14:solidFill>
                      </w14:textFill>
                    </w:rPr>
                    <w:t>1.499</w:t>
                  </w:r>
                </w:p>
              </w:tc>
              <w:tc>
                <w:tcPr>
                  <w:tcW w:w="880" w:type="dxa"/>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0.</w:t>
                  </w:r>
                  <w:r>
                    <w:rPr>
                      <w:rFonts w:hint="eastAsia" w:cs="Times New Roman"/>
                      <w:b w:val="0"/>
                      <w:bCs w:val="0"/>
                      <w:color w:val="000000" w:themeColor="text1"/>
                      <w:kern w:val="2"/>
                      <w:sz w:val="21"/>
                      <w:szCs w:val="21"/>
                      <w:lang w:val="en-US" w:eastAsia="zh-CN"/>
                      <w14:textFill>
                        <w14:solidFill>
                          <w14:schemeClr w14:val="tx1"/>
                        </w14:solidFill>
                      </w14:textFill>
                    </w:rPr>
                    <w:t>21</w:t>
                  </w:r>
                </w:p>
              </w:tc>
              <w:tc>
                <w:tcPr>
                  <w:tcW w:w="796" w:type="dxa"/>
                  <w:noWrap w:val="0"/>
                  <w:vAlign w:val="center"/>
                </w:tcPr>
                <w:p>
                  <w:pPr>
                    <w:pStyle w:val="112"/>
                    <w:spacing w:line="240" w:lineRule="auto"/>
                    <w:ind w:left="-105" w:leftChars="-50" w:right="-105" w:rightChars="-50"/>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eastAsia" w:cs="Times New Roman"/>
                      <w:b w:val="0"/>
                      <w:bCs w:val="0"/>
                      <w:color w:val="000000" w:themeColor="text1"/>
                      <w:kern w:val="2"/>
                      <w:sz w:val="21"/>
                      <w:szCs w:val="21"/>
                      <w:lang w:val="en-US" w:eastAsia="zh-CN"/>
                      <w14:textFill>
                        <w14:solidFill>
                          <w14:schemeClr w14:val="tx1"/>
                        </w14:solidFill>
                      </w14:textFill>
                    </w:rPr>
                    <w:t>64.57</w:t>
                  </w:r>
                </w:p>
              </w:tc>
            </w:tr>
          </w:tbl>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表4-5  大气污染物无组织排放基本情况一览表</w:t>
            </w:r>
          </w:p>
          <w:tbl>
            <w:tblPr>
              <w:tblStyle w:val="24"/>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563"/>
              <w:gridCol w:w="959"/>
              <w:gridCol w:w="1344"/>
              <w:gridCol w:w="1493"/>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3" w:type="pct"/>
                  <w:vMerge w:val="restart"/>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污染源</w:t>
                  </w:r>
                </w:p>
              </w:tc>
              <w:tc>
                <w:tcPr>
                  <w:tcW w:w="967" w:type="pct"/>
                  <w:vMerge w:val="restart"/>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污染工序</w:t>
                  </w:r>
                </w:p>
              </w:tc>
              <w:tc>
                <w:tcPr>
                  <w:tcW w:w="593" w:type="pct"/>
                  <w:vMerge w:val="restart"/>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w:t>
                  </w:r>
                </w:p>
              </w:tc>
              <w:tc>
                <w:tcPr>
                  <w:tcW w:w="832" w:type="pct"/>
                  <w:vMerge w:val="restart"/>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产生量（</w:t>
                  </w:r>
                  <w:r>
                    <w:rPr>
                      <w:rFonts w:hint="default" w:ascii="Times New Roman" w:hAnsi="Times New Roman" w:cs="Times New Roman"/>
                      <w:b/>
                      <w:bCs/>
                      <w:color w:val="000000" w:themeColor="text1"/>
                      <w:szCs w:val="21"/>
                      <w14:textFill>
                        <w14:solidFill>
                          <w14:schemeClr w14:val="tx1"/>
                        </w14:solidFill>
                      </w14:textFill>
                    </w:rPr>
                    <w:t>t/a）</w:t>
                  </w:r>
                </w:p>
              </w:tc>
              <w:tc>
                <w:tcPr>
                  <w:tcW w:w="924" w:type="pct"/>
                  <w:vMerge w:val="restart"/>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治理措施</w:t>
                  </w:r>
                </w:p>
              </w:tc>
              <w:tc>
                <w:tcPr>
                  <w:tcW w:w="1108" w:type="pct"/>
                  <w:vMerge w:val="restart"/>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排放量（</w:t>
                  </w:r>
                  <w:r>
                    <w:rPr>
                      <w:rFonts w:hint="default" w:ascii="Times New Roman" w:hAnsi="Times New Roman" w:cs="Times New Roman"/>
                      <w:b/>
                      <w:bCs/>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3"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967"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593"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832"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924"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108"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3"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967"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593"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832"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924"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1108"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3" w:type="pct"/>
                  <w:vMerge w:val="restart"/>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生产车间</w:t>
                  </w:r>
                </w:p>
              </w:tc>
              <w:tc>
                <w:tcPr>
                  <w:tcW w:w="967" w:type="pct"/>
                  <w:noWrap w:val="0"/>
                  <w:vAlign w:val="center"/>
                </w:tcPr>
                <w:p>
                  <w:pPr>
                    <w:pStyle w:val="11"/>
                    <w:tabs>
                      <w:tab w:val="left" w:pos="0"/>
                    </w:tabs>
                    <w:spacing w:line="360" w:lineRule="exact"/>
                    <w:jc w:val="center"/>
                    <w:rPr>
                      <w:rFonts w:hint="eastAsia"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物料搅拌</w:t>
                  </w:r>
                </w:p>
                <w:p>
                  <w:pPr>
                    <w:pStyle w:val="11"/>
                    <w:tabs>
                      <w:tab w:val="left" w:pos="0"/>
                    </w:tabs>
                    <w:spacing w:line="36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物料输送储存</w:t>
                  </w:r>
                </w:p>
              </w:tc>
              <w:tc>
                <w:tcPr>
                  <w:tcW w:w="593" w:type="pct"/>
                  <w:noWrap w:val="0"/>
                  <w:vAlign w:val="center"/>
                </w:tcPr>
                <w:p>
                  <w:pPr>
                    <w:pStyle w:val="112"/>
                    <w:spacing w:line="240" w:lineRule="auto"/>
                    <w:ind w:left="-105" w:leftChars="-50" w:right="-105" w:rightChars="-5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14:textFill>
                        <w14:solidFill>
                          <w14:schemeClr w14:val="tx1"/>
                        </w14:solidFill>
                      </w14:textFill>
                    </w:rPr>
                    <w:t>颗粒物</w:t>
                  </w:r>
                </w:p>
              </w:tc>
              <w:tc>
                <w:tcPr>
                  <w:tcW w:w="832" w:type="pct"/>
                  <w:noWrap w:val="0"/>
                  <w:vAlign w:val="center"/>
                </w:tcPr>
                <w:p>
                  <w:pPr>
                    <w:pStyle w:val="11"/>
                    <w:tabs>
                      <w:tab w:val="left" w:pos="0"/>
                    </w:tabs>
                    <w:spacing w:line="36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83.79</w:t>
                  </w:r>
                </w:p>
              </w:tc>
              <w:tc>
                <w:tcPr>
                  <w:tcW w:w="924" w:type="pct"/>
                  <w:noWrap w:val="0"/>
                  <w:vAlign w:val="center"/>
                </w:tcPr>
                <w:p>
                  <w:pPr>
                    <w:pStyle w:val="11"/>
                    <w:tabs>
                      <w:tab w:val="left" w:pos="0"/>
                    </w:tabs>
                    <w:spacing w:line="360" w:lineRule="exac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脉冲除尘器</w:t>
                  </w:r>
                </w:p>
              </w:tc>
              <w:tc>
                <w:tcPr>
                  <w:tcW w:w="1108" w:type="pct"/>
                  <w:noWrap w:val="0"/>
                  <w:vAlign w:val="center"/>
                </w:tcPr>
                <w:p>
                  <w:pPr>
                    <w:pStyle w:val="11"/>
                    <w:tabs>
                      <w:tab w:val="left" w:pos="0"/>
                    </w:tabs>
                    <w:spacing w:line="36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3" w:type="pct"/>
                  <w:vMerge w:val="continue"/>
                  <w:noWrap w:val="0"/>
                  <w:vAlign w:val="center"/>
                </w:tcPr>
                <w:p>
                  <w:pPr>
                    <w:pStyle w:val="11"/>
                    <w:tabs>
                      <w:tab w:val="left" w:pos="0"/>
                    </w:tabs>
                    <w:spacing w:line="360" w:lineRule="exact"/>
                    <w:jc w:val="center"/>
                    <w:rPr>
                      <w:rFonts w:hint="default" w:ascii="Times New Roman" w:hAnsi="Times New Roman" w:cs="Times New Roman"/>
                      <w:b/>
                      <w:color w:val="000000" w:themeColor="text1"/>
                      <w:szCs w:val="21"/>
                      <w14:textFill>
                        <w14:solidFill>
                          <w14:schemeClr w14:val="tx1"/>
                        </w14:solidFill>
                      </w14:textFill>
                    </w:rPr>
                  </w:pPr>
                </w:p>
              </w:tc>
              <w:tc>
                <w:tcPr>
                  <w:tcW w:w="967" w:type="pct"/>
                  <w:noWrap w:val="0"/>
                  <w:vAlign w:val="center"/>
                </w:tcPr>
                <w:p>
                  <w:pPr>
                    <w:pStyle w:val="11"/>
                    <w:tabs>
                      <w:tab w:val="left" w:pos="0"/>
                    </w:tabs>
                    <w:spacing w:line="360" w:lineRule="exact"/>
                    <w:jc w:val="center"/>
                    <w:rPr>
                      <w:rFonts w:hint="eastAsia"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物料搅拌</w:t>
                  </w:r>
                </w:p>
                <w:p>
                  <w:pPr>
                    <w:pStyle w:val="11"/>
                    <w:tabs>
                      <w:tab w:val="left" w:pos="0"/>
                    </w:tabs>
                    <w:spacing w:line="36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物料混合搅拌</w:t>
                  </w:r>
                </w:p>
              </w:tc>
              <w:tc>
                <w:tcPr>
                  <w:tcW w:w="593" w:type="pct"/>
                  <w:noWrap w:val="0"/>
                  <w:vAlign w:val="center"/>
                </w:tcPr>
                <w:p>
                  <w:pPr>
                    <w:pStyle w:val="112"/>
                    <w:spacing w:line="240" w:lineRule="auto"/>
                    <w:ind w:left="-105" w:leftChars="-50" w:right="-105" w:rightChars="-5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14:textFill>
                        <w14:solidFill>
                          <w14:schemeClr w14:val="tx1"/>
                        </w14:solidFill>
                      </w14:textFill>
                    </w:rPr>
                    <w:t>颗粒物</w:t>
                  </w:r>
                </w:p>
              </w:tc>
              <w:tc>
                <w:tcPr>
                  <w:tcW w:w="832" w:type="pct"/>
                  <w:noWrap w:val="0"/>
                  <w:vAlign w:val="center"/>
                </w:tcPr>
                <w:p>
                  <w:pPr>
                    <w:pStyle w:val="11"/>
                    <w:tabs>
                      <w:tab w:val="left" w:pos="0"/>
                    </w:tabs>
                    <w:spacing w:line="36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230.64</w:t>
                  </w:r>
                </w:p>
              </w:tc>
              <w:tc>
                <w:tcPr>
                  <w:tcW w:w="924" w:type="pct"/>
                  <w:noWrap w:val="0"/>
                  <w:vAlign w:val="center"/>
                </w:tcPr>
                <w:p>
                  <w:pPr>
                    <w:pStyle w:val="11"/>
                    <w:tabs>
                      <w:tab w:val="left" w:pos="0"/>
                    </w:tabs>
                    <w:spacing w:line="360" w:lineRule="exac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布袋除尘器</w:t>
                  </w:r>
                </w:p>
              </w:tc>
              <w:tc>
                <w:tcPr>
                  <w:tcW w:w="1108" w:type="pct"/>
                  <w:noWrap w:val="0"/>
                  <w:vAlign w:val="center"/>
                </w:tcPr>
                <w:p>
                  <w:pPr>
                    <w:pStyle w:val="11"/>
                    <w:tabs>
                      <w:tab w:val="left" w:pos="0"/>
                    </w:tabs>
                    <w:spacing w:line="36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73" w:type="pct"/>
                  <w:vMerge w:val="continue"/>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p>
              </w:tc>
              <w:tc>
                <w:tcPr>
                  <w:tcW w:w="967" w:type="pct"/>
                  <w:noWrap w:val="0"/>
                  <w:vAlign w:val="center"/>
                </w:tcPr>
                <w:p>
                  <w:pPr>
                    <w:pStyle w:val="11"/>
                    <w:tabs>
                      <w:tab w:val="left" w:pos="0"/>
                    </w:tabs>
                    <w:spacing w:line="360" w:lineRule="exact"/>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物料堆存</w:t>
                  </w:r>
                </w:p>
              </w:tc>
              <w:tc>
                <w:tcPr>
                  <w:tcW w:w="593" w:type="pct"/>
                  <w:noWrap w:val="0"/>
                  <w:vAlign w:val="center"/>
                </w:tcPr>
                <w:p>
                  <w:pPr>
                    <w:pStyle w:val="112"/>
                    <w:spacing w:line="240" w:lineRule="auto"/>
                    <w:ind w:left="-105" w:leftChars="-50" w:right="-105" w:rightChars="-5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颗粒物</w:t>
                  </w:r>
                </w:p>
              </w:tc>
              <w:tc>
                <w:tcPr>
                  <w:tcW w:w="832" w:type="pct"/>
                  <w:noWrap w:val="0"/>
                  <w:vAlign w:val="center"/>
                </w:tcPr>
                <w:p>
                  <w:pPr>
                    <w:pStyle w:val="112"/>
                    <w:spacing w:line="240" w:lineRule="auto"/>
                    <w:ind w:left="-105" w:leftChars="-50" w:right="-105" w:rightChars="-5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14:textFill>
                        <w14:solidFill>
                          <w14:schemeClr w14:val="tx1"/>
                        </w14:solidFill>
                      </w14:textFill>
                    </w:rPr>
                    <w:t>6.93</w:t>
                  </w:r>
                </w:p>
              </w:tc>
              <w:tc>
                <w:tcPr>
                  <w:tcW w:w="924" w:type="pct"/>
                  <w:noWrap w:val="0"/>
                  <w:vAlign w:val="center"/>
                </w:tcPr>
                <w:p>
                  <w:pPr>
                    <w:pStyle w:val="112"/>
                    <w:spacing w:line="240" w:lineRule="auto"/>
                    <w:ind w:left="-105" w:leftChars="-50" w:right="-105" w:rightChars="-5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洒水降尘</w:t>
                  </w:r>
                </w:p>
              </w:tc>
              <w:tc>
                <w:tcPr>
                  <w:tcW w:w="1108" w:type="pct"/>
                  <w:noWrap w:val="0"/>
                  <w:vAlign w:val="center"/>
                </w:tcPr>
                <w:p>
                  <w:pPr>
                    <w:pStyle w:val="112"/>
                    <w:spacing w:line="240" w:lineRule="auto"/>
                    <w:ind w:left="-105" w:leftChars="-50" w:right="-105" w:rightChars="-5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14:textFill>
                        <w14:solidFill>
                          <w14:schemeClr w14:val="tx1"/>
                        </w14:solidFill>
                      </w14:textFill>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73" w:type="pct"/>
                  <w:vMerge w:val="continue"/>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p>
              </w:tc>
              <w:tc>
                <w:tcPr>
                  <w:tcW w:w="967" w:type="pct"/>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焊接</w:t>
                  </w:r>
                </w:p>
              </w:tc>
              <w:tc>
                <w:tcPr>
                  <w:tcW w:w="593" w:type="pct"/>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颗粒物</w:t>
                  </w:r>
                </w:p>
              </w:tc>
              <w:tc>
                <w:tcPr>
                  <w:tcW w:w="832" w:type="pct"/>
                  <w:noWrap w:val="0"/>
                  <w:vAlign w:val="center"/>
                </w:tcPr>
                <w:p>
                  <w:pPr>
                    <w:pStyle w:val="112"/>
                    <w:spacing w:line="240" w:lineRule="auto"/>
                    <w:ind w:left="-105" w:leftChars="-50" w:right="-105" w:rightChars="-50"/>
                    <w:rPr>
                      <w:rFonts w:hint="default" w:ascii="Times New Roman" w:hAnsi="Times New Roman" w:eastAsia="宋体" w:cs="Times New Roman"/>
                      <w:color w:val="000000" w:themeColor="text1"/>
                      <w:kern w:val="2"/>
                      <w:sz w:val="21"/>
                      <w:szCs w:val="21"/>
                      <w:lang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w:t>
                  </w:r>
                </w:p>
              </w:tc>
              <w:tc>
                <w:tcPr>
                  <w:tcW w:w="924" w:type="pct"/>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可移动式焊接烟尘净化器</w:t>
                  </w:r>
                </w:p>
              </w:tc>
              <w:tc>
                <w:tcPr>
                  <w:tcW w:w="1108" w:type="pct"/>
                  <w:noWrap w:val="0"/>
                  <w:vAlign w:val="center"/>
                </w:tcPr>
                <w:p>
                  <w:pPr>
                    <w:pStyle w:val="112"/>
                    <w:spacing w:line="240" w:lineRule="auto"/>
                    <w:ind w:left="-105" w:leftChars="-50" w:right="-105" w:rightChars="-50"/>
                    <w:rPr>
                      <w:rFonts w:hint="default" w:ascii="Times New Roman" w:hAnsi="Times New Roman" w:eastAsia="宋体" w:cs="Times New Roman"/>
                      <w:color w:val="000000" w:themeColor="text1"/>
                      <w:kern w:val="2"/>
                      <w:sz w:val="21"/>
                      <w:szCs w:val="21"/>
                      <w:lang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540" w:type="pct"/>
                  <w:gridSpan w:val="2"/>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合计</w:t>
                  </w:r>
                </w:p>
              </w:tc>
              <w:tc>
                <w:tcPr>
                  <w:tcW w:w="593" w:type="pct"/>
                  <w:noWrap w:val="0"/>
                  <w:vAlign w:val="center"/>
                </w:tcPr>
                <w:p>
                  <w:pPr>
                    <w:pStyle w:val="112"/>
                    <w:spacing w:line="240" w:lineRule="auto"/>
                    <w:ind w:left="-105" w:leftChars="-50" w:right="-105" w:rightChars="-5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颗粒物</w:t>
                  </w:r>
                </w:p>
              </w:tc>
              <w:tc>
                <w:tcPr>
                  <w:tcW w:w="832" w:type="pct"/>
                  <w:noWrap w:val="0"/>
                  <w:vAlign w:val="center"/>
                </w:tcPr>
                <w:p>
                  <w:pPr>
                    <w:pStyle w:val="112"/>
                    <w:spacing w:line="240" w:lineRule="auto"/>
                    <w:ind w:left="-105" w:leftChars="-50" w:right="-105" w:rightChars="-5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14:textFill>
                        <w14:solidFill>
                          <w14:schemeClr w14:val="tx1"/>
                        </w14:solidFill>
                      </w14:textFill>
                    </w:rPr>
                    <w:t>321.36</w:t>
                  </w:r>
                </w:p>
              </w:tc>
              <w:tc>
                <w:tcPr>
                  <w:tcW w:w="924" w:type="pct"/>
                  <w:noWrap w:val="0"/>
                  <w:vAlign w:val="center"/>
                </w:tcPr>
                <w:p>
                  <w:pPr>
                    <w:pStyle w:val="112"/>
                    <w:spacing w:line="240" w:lineRule="auto"/>
                    <w:ind w:left="-105" w:leftChars="-50" w:right="-105" w:rightChars="-5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w:t>
                  </w:r>
                </w:p>
              </w:tc>
              <w:tc>
                <w:tcPr>
                  <w:tcW w:w="1108" w:type="pct"/>
                  <w:noWrap w:val="0"/>
                  <w:vAlign w:val="center"/>
                </w:tcPr>
                <w:p>
                  <w:pPr>
                    <w:pStyle w:val="112"/>
                    <w:spacing w:line="240" w:lineRule="auto"/>
                    <w:ind w:left="-105" w:leftChars="-50" w:right="-105" w:rightChars="-5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14:textFill>
                        <w14:solidFill>
                          <w14:schemeClr w14:val="tx1"/>
                        </w14:solidFill>
                      </w14:textFill>
                    </w:rPr>
                    <w:t>1.736</w:t>
                  </w:r>
                </w:p>
              </w:tc>
            </w:tr>
          </w:tbl>
          <w:p>
            <w:pPr>
              <w:spacing w:line="360" w:lineRule="auto"/>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w:t>
            </w:r>
            <w:r>
              <w:rPr>
                <w:rFonts w:hint="default" w:ascii="Times New Roman" w:hAnsi="Times New Roman" w:cs="Times New Roman"/>
                <w:b/>
                <w:color w:val="000000" w:themeColor="text1"/>
                <w:szCs w:val="21"/>
                <w14:textFill>
                  <w14:solidFill>
                    <w14:schemeClr w14:val="tx1"/>
                  </w14:solidFill>
                </w14:textFill>
              </w:rPr>
              <w:t>4-</w:t>
            </w:r>
            <w:r>
              <w:rPr>
                <w:rFonts w:hint="default" w:ascii="Times New Roman" w:hAnsi="Times New Roman" w:cs="Times New Roman"/>
                <w:b/>
                <w:color w:val="000000" w:themeColor="text1"/>
                <w:szCs w:val="21"/>
                <w:lang w:val="en-US" w:eastAsia="zh-CN"/>
                <w14:textFill>
                  <w14:solidFill>
                    <w14:schemeClr w14:val="tx1"/>
                  </w14:solidFill>
                </w14:textFill>
              </w:rPr>
              <w:t>6</w:t>
            </w:r>
            <w:r>
              <w:rPr>
                <w:rFonts w:hint="default" w:ascii="Times New Roman" w:hAnsi="Times New Roman" w:cs="Times New Roman"/>
                <w:b/>
                <w:bCs/>
                <w:color w:val="000000" w:themeColor="text1"/>
                <w:szCs w:val="21"/>
                <w14:textFill>
                  <w14:solidFill>
                    <w14:schemeClr w14:val="tx1"/>
                  </w14:solidFill>
                </w14:textFill>
              </w:rPr>
              <w:tab/>
            </w:r>
            <w:r>
              <w:rPr>
                <w:rFonts w:hint="default" w:ascii="Times New Roman" w:hAnsi="Times New Roman" w:cs="Times New Roman"/>
                <w:b/>
                <w:bCs/>
                <w:color w:val="000000" w:themeColor="text1"/>
                <w:szCs w:val="21"/>
                <w14:textFill>
                  <w14:solidFill>
                    <w14:schemeClr w14:val="tx1"/>
                  </w14:solidFill>
                </w14:textFill>
              </w:rPr>
              <w:t>项目有组织废气排放口基本信息一览表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290"/>
              <w:gridCol w:w="1451"/>
              <w:gridCol w:w="1511"/>
              <w:gridCol w:w="640"/>
              <w:gridCol w:w="859"/>
              <w:gridCol w:w="685"/>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08" w:type="pct"/>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编号</w:t>
                  </w:r>
                </w:p>
              </w:tc>
              <w:tc>
                <w:tcPr>
                  <w:tcW w:w="808" w:type="pct"/>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名称</w:t>
                  </w:r>
                </w:p>
              </w:tc>
              <w:tc>
                <w:tcPr>
                  <w:tcW w:w="1857" w:type="pct"/>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排气筒底部中心坐标</w:t>
                  </w:r>
                </w:p>
                <w:p>
                  <w:pPr>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（经纬度）</w:t>
                  </w:r>
                </w:p>
              </w:tc>
              <w:tc>
                <w:tcPr>
                  <w:tcW w:w="401" w:type="pct"/>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exact"/>
                    <w:ind w:left="-105" w:leftChars="-50" w:right="-105" w:rightChars="-5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排气筒高度/m</w:t>
                  </w:r>
                </w:p>
              </w:tc>
              <w:tc>
                <w:tcPr>
                  <w:tcW w:w="538" w:type="pct"/>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排气筒出口内径/m</w:t>
                  </w:r>
                </w:p>
              </w:tc>
              <w:tc>
                <w:tcPr>
                  <w:tcW w:w="429" w:type="pct"/>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烟气温度/℃</w:t>
                  </w:r>
                </w:p>
              </w:tc>
              <w:tc>
                <w:tcPr>
                  <w:tcW w:w="355" w:type="pct"/>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exact"/>
                    <w:ind w:left="-63" w:leftChars="-30" w:right="-63" w:rightChars="-3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60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default" w:ascii="Times New Roman" w:hAnsi="Times New Roman" w:cs="Times New Roman"/>
                      <w:b/>
                      <w:color w:val="000000" w:themeColor="text1"/>
                      <w:szCs w:val="21"/>
                      <w14:textFill>
                        <w14:solidFill>
                          <w14:schemeClr w14:val="tx1"/>
                        </w14:solidFill>
                      </w14:textFill>
                    </w:rPr>
                  </w:pPr>
                </w:p>
              </w:tc>
              <w:tc>
                <w:tcPr>
                  <w:tcW w:w="80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default" w:ascii="Times New Roman" w:hAnsi="Times New Roman" w:cs="Times New Roman"/>
                      <w:b/>
                      <w:color w:val="000000" w:themeColor="text1"/>
                      <w:szCs w:val="21"/>
                      <w14:textFill>
                        <w14:solidFill>
                          <w14:schemeClr w14:val="tx1"/>
                        </w14:solidFill>
                      </w14:textFill>
                    </w:rPr>
                  </w:pPr>
                </w:p>
              </w:tc>
              <w:tc>
                <w:tcPr>
                  <w:tcW w:w="909" w:type="pct"/>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经度</w:t>
                  </w:r>
                </w:p>
              </w:tc>
              <w:tc>
                <w:tcPr>
                  <w:tcW w:w="947" w:type="pct"/>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纬度</w:t>
                  </w:r>
                </w:p>
              </w:tc>
              <w:tc>
                <w:tcPr>
                  <w:tcW w:w="40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default" w:ascii="Times New Roman" w:hAnsi="Times New Roman" w:cs="Times New Roman"/>
                      <w:b/>
                      <w:color w:val="000000" w:themeColor="text1"/>
                      <w:szCs w:val="21"/>
                      <w14:textFill>
                        <w14:solidFill>
                          <w14:schemeClr w14:val="tx1"/>
                        </w14:solidFill>
                      </w14:textFill>
                    </w:rPr>
                  </w:pPr>
                </w:p>
              </w:tc>
              <w:tc>
                <w:tcPr>
                  <w:tcW w:w="538"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default" w:ascii="Times New Roman" w:hAnsi="Times New Roman" w:cs="Times New Roman"/>
                      <w:b/>
                      <w:color w:val="000000" w:themeColor="text1"/>
                      <w:szCs w:val="21"/>
                      <w14:textFill>
                        <w14:solidFill>
                          <w14:schemeClr w14:val="tx1"/>
                        </w14:solidFill>
                      </w14:textFill>
                    </w:rPr>
                  </w:pPr>
                </w:p>
              </w:tc>
              <w:tc>
                <w:tcPr>
                  <w:tcW w:w="429"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default" w:ascii="Times New Roman" w:hAnsi="Times New Roman" w:cs="Times New Roman"/>
                      <w:b/>
                      <w:color w:val="000000" w:themeColor="text1"/>
                      <w:szCs w:val="21"/>
                      <w14:textFill>
                        <w14:solidFill>
                          <w14:schemeClr w14:val="tx1"/>
                        </w14:solidFill>
                      </w14:textFill>
                    </w:rPr>
                  </w:pPr>
                </w:p>
              </w:tc>
              <w:tc>
                <w:tcPr>
                  <w:tcW w:w="35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08" w:type="pct"/>
                  <w:tcBorders>
                    <w:left w:val="single" w:color="auto" w:sz="4" w:space="0"/>
                    <w:right w:val="single" w:color="auto" w:sz="4" w:space="0"/>
                  </w:tcBorders>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DA00</w:t>
                  </w:r>
                  <w:r>
                    <w:rPr>
                      <w:rFonts w:hint="eastAsia" w:cs="Times New Roman"/>
                      <w:color w:val="000000" w:themeColor="text1"/>
                      <w:szCs w:val="21"/>
                      <w:lang w:val="en-US" w:eastAsia="zh-CN"/>
                      <w14:textFill>
                        <w14:solidFill>
                          <w14:schemeClr w14:val="tx1"/>
                        </w14:solidFill>
                      </w14:textFill>
                    </w:rPr>
                    <w:t>1</w:t>
                  </w:r>
                </w:p>
              </w:tc>
              <w:tc>
                <w:tcPr>
                  <w:tcW w:w="808" w:type="pct"/>
                  <w:tcBorders>
                    <w:left w:val="single" w:color="auto" w:sz="4" w:space="0"/>
                    <w:right w:val="single" w:color="auto" w:sz="4" w:space="0"/>
                  </w:tcBorders>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锅炉</w:t>
                  </w:r>
                  <w:r>
                    <w:rPr>
                      <w:rFonts w:hint="default" w:ascii="Times New Roman" w:hAnsi="Times New Roman" w:cs="Times New Roman"/>
                      <w:color w:val="000000" w:themeColor="text1"/>
                      <w:szCs w:val="21"/>
                      <w14:textFill>
                        <w14:solidFill>
                          <w14:schemeClr w14:val="tx1"/>
                        </w14:solidFill>
                      </w14:textFill>
                    </w:rPr>
                    <w:t>排气筒</w:t>
                  </w:r>
                </w:p>
              </w:tc>
              <w:tc>
                <w:tcPr>
                  <w:tcW w:w="909" w:type="pct"/>
                  <w:tcBorders>
                    <w:left w:val="single" w:color="auto" w:sz="4" w:space="0"/>
                    <w:right w:val="single" w:color="auto" w:sz="4" w:space="0"/>
                  </w:tcBorders>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r>
                    <w:rPr>
                      <w:color w:val="000000" w:themeColor="text1"/>
                      <w:sz w:val="21"/>
                      <w:szCs w:val="21"/>
                      <w14:textFill>
                        <w14:solidFill>
                          <w14:schemeClr w14:val="tx1"/>
                        </w14:solidFill>
                      </w14:textFill>
                    </w:rPr>
                    <w:t xml:space="preserve">E </w:t>
                  </w:r>
                  <w:r>
                    <w:rPr>
                      <w:rFonts w:hint="eastAsia"/>
                      <w:color w:val="000000" w:themeColor="text1"/>
                      <w:sz w:val="21"/>
                      <w:szCs w:val="21"/>
                      <w14:textFill>
                        <w14:solidFill>
                          <w14:schemeClr w14:val="tx1"/>
                        </w14:solidFill>
                      </w14:textFill>
                    </w:rPr>
                    <w:t>8</w:t>
                  </w:r>
                  <w:r>
                    <w:rPr>
                      <w:rFonts w:hint="eastAsia"/>
                      <w:color w:val="000000" w:themeColor="text1"/>
                      <w:sz w:val="21"/>
                      <w:szCs w:val="21"/>
                      <w:lang w:val="en-US" w:eastAsia="zh-CN"/>
                      <w14:textFill>
                        <w14:solidFill>
                          <w14:schemeClr w14:val="tx1"/>
                        </w14:solidFill>
                      </w14:textFill>
                    </w:rPr>
                    <w:t>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56</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0.535</w:t>
                  </w:r>
                  <w:r>
                    <w:rPr>
                      <w:color w:val="000000" w:themeColor="text1"/>
                      <w:sz w:val="21"/>
                      <w:szCs w:val="21"/>
                      <w14:textFill>
                        <w14:solidFill>
                          <w14:schemeClr w14:val="tx1"/>
                        </w14:solidFill>
                      </w14:textFill>
                    </w:rPr>
                    <w:t>″</w:t>
                  </w:r>
                </w:p>
              </w:tc>
              <w:tc>
                <w:tcPr>
                  <w:tcW w:w="947" w:type="pct"/>
                  <w:tcBorders>
                    <w:left w:val="single" w:color="auto" w:sz="4" w:space="0"/>
                    <w:right w:val="single" w:color="auto" w:sz="4" w:space="0"/>
                  </w:tcBorders>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r>
                    <w:rPr>
                      <w:color w:val="000000" w:themeColor="text1"/>
                      <w:sz w:val="21"/>
                      <w:szCs w:val="21"/>
                      <w14:textFill>
                        <w14:solidFill>
                          <w14:schemeClr w14:val="tx1"/>
                        </w14:solidFill>
                      </w14:textFill>
                    </w:rPr>
                    <w:t xml:space="preserve">N </w:t>
                  </w:r>
                  <w:r>
                    <w:rPr>
                      <w:rFonts w:hint="eastAsia"/>
                      <w:color w:val="000000" w:themeColor="text1"/>
                      <w:sz w:val="21"/>
                      <w:szCs w:val="21"/>
                      <w14:textFill>
                        <w14:solidFill>
                          <w14:schemeClr w14:val="tx1"/>
                        </w14:solidFill>
                      </w14:textFill>
                    </w:rPr>
                    <w:t>4</w:t>
                  </w:r>
                  <w:r>
                    <w:rPr>
                      <w:rFonts w:hint="eastAsia"/>
                      <w:color w:val="000000" w:themeColor="text1"/>
                      <w:sz w:val="21"/>
                      <w:szCs w:val="21"/>
                      <w:lang w:val="en-US" w:eastAsia="zh-CN"/>
                      <w14:textFill>
                        <w14:solidFill>
                          <w14:schemeClr w14:val="tx1"/>
                        </w14:solidFill>
                      </w14:textFill>
                    </w:rPr>
                    <w:t>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48.395</w:t>
                  </w:r>
                  <w:r>
                    <w:rPr>
                      <w:color w:val="000000" w:themeColor="text1"/>
                      <w:sz w:val="21"/>
                      <w:szCs w:val="21"/>
                      <w14:textFill>
                        <w14:solidFill>
                          <w14:schemeClr w14:val="tx1"/>
                        </w14:solidFill>
                      </w14:textFill>
                    </w:rPr>
                    <w:t>″</w:t>
                  </w:r>
                </w:p>
              </w:tc>
              <w:tc>
                <w:tcPr>
                  <w:tcW w:w="401" w:type="pct"/>
                  <w:tcBorders>
                    <w:left w:val="single" w:color="auto" w:sz="4" w:space="0"/>
                    <w:right w:val="single" w:color="auto" w:sz="4" w:space="0"/>
                  </w:tcBorders>
                  <w:noWrap w:val="0"/>
                  <w:vAlign w:val="center"/>
                </w:tcPr>
                <w:p>
                  <w:pPr>
                    <w:pStyle w:val="112"/>
                    <w:spacing w:line="240" w:lineRule="auto"/>
                    <w:ind w:left="-105" w:leftChars="-50" w:right="-105" w:rightChars="-50"/>
                    <w:rPr>
                      <w:rFonts w:hint="eastAsia" w:ascii="Times New Roman" w:hAnsi="Times New Roman" w:eastAsia="宋体" w:cs="Times New Roman"/>
                      <w:color w:val="000000" w:themeColor="text1"/>
                      <w:kern w:val="2"/>
                      <w:sz w:val="21"/>
                      <w:szCs w:val="21"/>
                      <w:lang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8</w:t>
                  </w:r>
                </w:p>
              </w:tc>
              <w:tc>
                <w:tcPr>
                  <w:tcW w:w="538" w:type="pct"/>
                  <w:tcBorders>
                    <w:left w:val="single" w:color="auto" w:sz="4" w:space="0"/>
                    <w:right w:val="single" w:color="auto" w:sz="4" w:space="0"/>
                  </w:tcBorders>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0.3</w:t>
                  </w:r>
                </w:p>
              </w:tc>
              <w:tc>
                <w:tcPr>
                  <w:tcW w:w="429" w:type="pct"/>
                  <w:tcBorders>
                    <w:left w:val="single" w:color="auto" w:sz="4" w:space="0"/>
                    <w:right w:val="single" w:color="auto" w:sz="4" w:space="0"/>
                  </w:tcBorders>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25</w:t>
                  </w:r>
                </w:p>
              </w:tc>
              <w:tc>
                <w:tcPr>
                  <w:tcW w:w="355" w:type="pct"/>
                  <w:tcBorders>
                    <w:left w:val="single" w:color="auto" w:sz="4" w:space="0"/>
                    <w:right w:val="single" w:color="auto" w:sz="4" w:space="0"/>
                  </w:tcBorders>
                  <w:noWrap w:val="0"/>
                  <w:vAlign w:val="center"/>
                </w:tcPr>
                <w:p>
                  <w:pPr>
                    <w:pStyle w:val="112"/>
                    <w:spacing w:line="240" w:lineRule="auto"/>
                    <w:ind w:left="-105" w:leftChars="-50" w:right="-105" w:rightChars="-5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一般排放口</w:t>
                  </w:r>
                </w:p>
              </w:tc>
            </w:tr>
          </w:tbl>
          <w:p>
            <w:pPr>
              <w:keepNext w:val="0"/>
              <w:keepLines w:val="0"/>
              <w:pageBreakBefore w:val="0"/>
              <w:wordWrap/>
              <w:topLinePunct w:val="0"/>
              <w:bidi w:val="0"/>
              <w:spacing w:line="360" w:lineRule="auto"/>
              <w:ind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1.3 非正常工况</w:t>
            </w:r>
          </w:p>
          <w:p>
            <w:pPr>
              <w:widowControl/>
              <w:adjustRightInd w:val="0"/>
              <w:snapToGrid w:val="0"/>
              <w:spacing w:line="360" w:lineRule="auto"/>
              <w:ind w:firstLine="476"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根据《环境影响评价技术导则大气环境》（HJ2.2-2018</w:t>
            </w:r>
            <w:r>
              <w:rPr>
                <w:rFonts w:hint="default" w:ascii="Times New Roman" w:hAnsi="Times New Roman" w:eastAsia="宋体" w:cs="Times New Roman"/>
                <w:color w:val="000000" w:themeColor="text1"/>
                <w:spacing w:val="11"/>
                <w:sz w:val="24"/>
                <w:szCs w:val="24"/>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非正常排放包括设备检修、污染物排放控制措施达不到应有效率、工艺设</w:t>
            </w:r>
            <w:r>
              <w:rPr>
                <w:rFonts w:hint="default" w:ascii="Times New Roman" w:hAnsi="Times New Roman" w:eastAsia="宋体" w:cs="Times New Roman"/>
                <w:color w:val="000000" w:themeColor="text1"/>
                <w:spacing w:val="-2"/>
                <w:sz w:val="24"/>
                <w:szCs w:val="24"/>
                <w14:textFill>
                  <w14:solidFill>
                    <w14:schemeClr w14:val="tx1"/>
                  </w14:solidFill>
                </w14:textFill>
              </w:rPr>
              <w:t>备运转异常等本项</w:t>
            </w:r>
            <w:r>
              <w:rPr>
                <w:rFonts w:hint="default" w:ascii="Times New Roman" w:hAnsi="Times New Roman" w:eastAsia="宋体" w:cs="Times New Roman"/>
                <w:color w:val="000000" w:themeColor="text1"/>
                <w:spacing w:val="-1"/>
                <w:sz w:val="24"/>
                <w:szCs w:val="24"/>
                <w14:textFill>
                  <w14:solidFill>
                    <w14:schemeClr w14:val="tx1"/>
                  </w14:solidFill>
                </w14:textFill>
              </w:rPr>
              <w:t>目非正常工况主要为袋式除尘装置失效。在此情景下，本项目废气污染物产生情况及排放情况，</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本项目非正常工况考虑所有筒仓（装料时，30m</w:t>
            </w:r>
            <w:r>
              <w:rPr>
                <w:rFonts w:hint="default" w:ascii="Times New Roman" w:hAnsi="Times New Roman" w:eastAsia="宋体" w:cs="Times New Roman"/>
                <w:color w:val="000000" w:themeColor="text1"/>
                <w:spacing w:val="-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4"/>
                <w:szCs w:val="24"/>
                <w:lang w:val="en-US" w:eastAsia="zh-CN"/>
                <w14:textFill>
                  <w14:solidFill>
                    <w14:schemeClr w14:val="tx1"/>
                  </w14:solidFill>
                </w14:textFill>
              </w:rPr>
              <w:t>罐车）及搅拌系统除尘器（运行1h）失效考虑，由此计算，除尘器失效时产生的非正常粉尘产排情况见下表。</w:t>
            </w:r>
          </w:p>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表4-</w:t>
            </w:r>
            <w:r>
              <w:rPr>
                <w:rFonts w:hint="eastAsia" w:ascii="Times New Roman" w:hAnsi="Times New Roman" w:eastAsia="宋体" w:cs="Times New Roman"/>
                <w:b/>
                <w:bCs/>
                <w:color w:val="000000" w:themeColor="text1"/>
                <w:lang w:val="en-US" w:eastAsia="zh-CN"/>
                <w14:textFill>
                  <w14:solidFill>
                    <w14:schemeClr w14:val="tx1"/>
                  </w14:solidFill>
                </w14:textFill>
              </w:rPr>
              <w:t>7</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非正常工况污染物排放情况</w:t>
            </w:r>
          </w:p>
          <w:tbl>
            <w:tblPr>
              <w:tblStyle w:val="25"/>
              <w:tblW w:w="7936"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236"/>
              <w:gridCol w:w="1014"/>
              <w:gridCol w:w="985"/>
              <w:gridCol w:w="1246"/>
              <w:gridCol w:w="884"/>
              <w:gridCol w:w="871"/>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655" w:type="dxa"/>
                  <w:tcBorders>
                    <w:tl2br w:val="nil"/>
                    <w:tr2bl w:val="nil"/>
                  </w:tcBorders>
                  <w:noWrap w:val="0"/>
                  <w:vAlign w:val="center"/>
                </w:tcPr>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序号</w:t>
                  </w:r>
                </w:p>
              </w:tc>
              <w:tc>
                <w:tcPr>
                  <w:tcW w:w="1236" w:type="dxa"/>
                  <w:tcBorders>
                    <w:tl2br w:val="nil"/>
                    <w:tr2bl w:val="nil"/>
                  </w:tcBorders>
                  <w:noWrap w:val="0"/>
                  <w:vAlign w:val="center"/>
                </w:tcPr>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污染源</w:t>
                  </w:r>
                </w:p>
              </w:tc>
              <w:tc>
                <w:tcPr>
                  <w:tcW w:w="1014" w:type="dxa"/>
                  <w:tcBorders>
                    <w:tl2br w:val="nil"/>
                    <w:tr2bl w:val="nil"/>
                  </w:tcBorders>
                  <w:noWrap w:val="0"/>
                  <w:vAlign w:val="center"/>
                </w:tcPr>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非正常原因</w:t>
                  </w:r>
                </w:p>
              </w:tc>
              <w:tc>
                <w:tcPr>
                  <w:tcW w:w="985" w:type="dxa"/>
                  <w:tcBorders>
                    <w:tl2br w:val="nil"/>
                    <w:tr2bl w:val="nil"/>
                  </w:tcBorders>
                  <w:noWrap w:val="0"/>
                  <w:vAlign w:val="center"/>
                </w:tcPr>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污染物</w:t>
                  </w:r>
                </w:p>
              </w:tc>
              <w:tc>
                <w:tcPr>
                  <w:tcW w:w="1246" w:type="dxa"/>
                  <w:tcBorders>
                    <w:tl2br w:val="nil"/>
                    <w:tr2bl w:val="nil"/>
                  </w:tcBorders>
                  <w:noWrap w:val="0"/>
                  <w:vAlign w:val="center"/>
                </w:tcPr>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非正常排放速率（kg/h）</w:t>
                  </w:r>
                </w:p>
              </w:tc>
              <w:tc>
                <w:tcPr>
                  <w:tcW w:w="884" w:type="dxa"/>
                  <w:tcBorders>
                    <w:tl2br w:val="nil"/>
                    <w:tr2bl w:val="nil"/>
                  </w:tcBorders>
                  <w:noWrap w:val="0"/>
                  <w:vAlign w:val="center"/>
                </w:tcPr>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单次持续时间</w:t>
                  </w:r>
                </w:p>
              </w:tc>
              <w:tc>
                <w:tcPr>
                  <w:tcW w:w="871" w:type="dxa"/>
                  <w:tcBorders>
                    <w:tl2br w:val="nil"/>
                    <w:tr2bl w:val="nil"/>
                  </w:tcBorders>
                  <w:noWrap w:val="0"/>
                  <w:vAlign w:val="center"/>
                </w:tcPr>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年发生频次</w:t>
                  </w:r>
                </w:p>
              </w:tc>
              <w:tc>
                <w:tcPr>
                  <w:tcW w:w="1045" w:type="dxa"/>
                  <w:tcBorders>
                    <w:tl2br w:val="nil"/>
                    <w:tr2bl w:val="nil"/>
                  </w:tcBorders>
                  <w:noWrap w:val="0"/>
                  <w:vAlign w:val="center"/>
                </w:tcPr>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应对</w:t>
                  </w:r>
                </w:p>
                <w:p>
                  <w:pPr>
                    <w:snapToGrid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655"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c>
                <w:tcPr>
                  <w:tcW w:w="1236"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水泥及粉煤灰筒仓</w:t>
                  </w:r>
                </w:p>
              </w:tc>
              <w:tc>
                <w:tcPr>
                  <w:tcW w:w="1014" w:type="dxa"/>
                  <w:vMerge w:val="restart"/>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除尘器失效</w:t>
                  </w:r>
                </w:p>
              </w:tc>
              <w:tc>
                <w:tcPr>
                  <w:tcW w:w="985" w:type="dxa"/>
                  <w:vMerge w:val="restart"/>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颗粒物</w:t>
                  </w:r>
                </w:p>
              </w:tc>
              <w:tc>
                <w:tcPr>
                  <w:tcW w:w="1246"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11.64</w:t>
                  </w:r>
                </w:p>
              </w:tc>
              <w:tc>
                <w:tcPr>
                  <w:tcW w:w="884"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单筒仓装料2h</w:t>
                  </w:r>
                </w:p>
              </w:tc>
              <w:tc>
                <w:tcPr>
                  <w:tcW w:w="871"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1次</w:t>
                  </w:r>
                </w:p>
              </w:tc>
              <w:tc>
                <w:tcPr>
                  <w:tcW w:w="1045" w:type="dxa"/>
                  <w:vMerge w:val="restart"/>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日常加强除尘器维护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655"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c>
                <w:tcPr>
                  <w:tcW w:w="1236"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搅拌系统</w:t>
                  </w:r>
                </w:p>
              </w:tc>
              <w:tc>
                <w:tcPr>
                  <w:tcW w:w="1014" w:type="dxa"/>
                  <w:vMerge w:val="continue"/>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85" w:type="dxa"/>
                  <w:vMerge w:val="continue"/>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46"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32.03</w:t>
                  </w:r>
                </w:p>
              </w:tc>
              <w:tc>
                <w:tcPr>
                  <w:tcW w:w="884"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1h</w:t>
                  </w:r>
                </w:p>
              </w:tc>
              <w:tc>
                <w:tcPr>
                  <w:tcW w:w="871" w:type="dxa"/>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1次</w:t>
                  </w:r>
                </w:p>
              </w:tc>
              <w:tc>
                <w:tcPr>
                  <w:tcW w:w="1045" w:type="dxa"/>
                  <w:vMerge w:val="continue"/>
                  <w:tcBorders>
                    <w:tl2br w:val="nil"/>
                    <w:tr2bl w:val="nil"/>
                  </w:tcBorders>
                  <w:noWrap w:val="0"/>
                  <w:vAlign w:val="center"/>
                </w:tcPr>
                <w:p>
                  <w:pPr>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bl>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由上表可以看出，非正常工况下颗粒物排放浓度超标，对环境的危害和影响较大，因此需设置污染治理措施以减少非正常工况下污染物对环境的影响程度。除采用先进成熟的工艺技术和设备外，生产中还应加强管理，严格控制规程，提高工人素质，精心操作，防患于未然，将非正常排放控制到最小。一旦发生非正常生产排放，应及时进行检修，并采取相应措施进行污染物集中处理，确保事故状态后，污染物对环境的影响程度降到最低。</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left="116" w:firstLine="480" w:firstLineChars="200"/>
              <w:jc w:val="both"/>
              <w:textAlignment w:val="baseline"/>
              <w:rPr>
                <w:rFonts w:hint="eastAsia" w:ascii="宋体" w:hAnsi="宋体" w:eastAsia="宋体" w:cs="宋体"/>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1.4 环保治理</w:t>
            </w:r>
            <w:r>
              <w:rPr>
                <w:rFonts w:hint="eastAsia" w:ascii="宋体" w:hAnsi="宋体" w:eastAsia="宋体" w:cs="宋体"/>
                <w:bCs/>
                <w:color w:val="000000" w:themeColor="text1"/>
                <w:kern w:val="2"/>
                <w:sz w:val="24"/>
                <w:szCs w:val="24"/>
                <w:lang w:val="en-US" w:eastAsia="zh-CN" w:bidi="ar-SA"/>
                <w14:textFill>
                  <w14:solidFill>
                    <w14:schemeClr w14:val="tx1"/>
                  </w14:solidFill>
                </w14:textFill>
              </w:rPr>
              <w:t>措施可行性分析</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（1）布袋除尘的可行性分析</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本项目对搅拌产生的粉尘采用布袋除尘器处理，处理后</w:t>
            </w:r>
            <w:r>
              <w:rPr>
                <w:rFonts w:hint="eastAsia" w:ascii="Times New Roman" w:hAnsi="Times New Roman" w:cs="Times New Roman"/>
                <w:bCs/>
                <w:color w:val="000000" w:themeColor="text1"/>
                <w:kern w:val="2"/>
                <w:sz w:val="24"/>
                <w:szCs w:val="24"/>
                <w:lang w:val="en-US" w:eastAsia="zh-CN" w:bidi="ar-SA"/>
                <w14:textFill>
                  <w14:solidFill>
                    <w14:schemeClr w14:val="tx1"/>
                  </w14:solidFill>
                </w14:textFill>
              </w:rPr>
              <w:t>无组织</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排放。袋式除尘器工作原理：当含尘气体由进风口进入</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instrText xml:space="preserve"> HYPERLINK "http://www.lvxinnet.com" </w:instrTex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除尘器，</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首先碰到进出风口中间的斜板及挡板，气流便转向流入灰斗，同时气流速度放慢，由于惯性作用，使气体中粗颗粒粉尘直接流入灰斗。起到预先收尘的作用，进入灰斗的气流随后折而向上通过内部装有金属骨架的布袋，粉尘被捕集在布袋的外表面，净化后的气体进入布袋室上部清洁室，汇集到出风口排出。含尘气体通过布袋净化的过程中，随着时间的增加而积附在布袋上的粉尘越来越多，从而增加布袋阻力，致使处理风量逐渐减少。为了使除尘器正常工作，必须经常对布袋进行清灰，清灰时由控制仪顺序触发各控制阀并开启阀，气箱内的压缩空气由喷吹管各孔经文氏管喷射到各相应的布袋内，布袋瞬间急剧膨胀，使积附在布袋表面的粉尘脱落</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begin"/>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instrText xml:space="preserve"> HYPERLINK "http://www.lvxinnet.com" </w:instrTex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，布袋得</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fldChar w:fldCharType="end"/>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到再生。清下粉尘落入灰斗，经排灰系统排出机体，处理效率可达到99.7% ，处理措施可行。</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（2）低氮燃烧的可行性分析</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低氨燃烧器技术的原理：燃气锅炉生成NO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的途径主要有3种：热力型、燃料型、快速型，主要是热力型NO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，在外在条件不变的情况下，炉膛温度、燃料和空气的混合程序决定了NO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排放值的高低。①炉膛温度：炉膛温度越高，NO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生成量越多。炉内实际燃烧过程中，炉内的火焰温度分布是不均匀的。通常离燃烧器出口一定距离处的温度是最高的，在其前后的温度都较低。因此炉内存在局部高温区，该区的温度比炉内平均水平高很多。显然，它对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生成量有很大的影响，温度越高，NO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生成量越多。因此在炉膛中，为了限制 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的生成，除了降低炉内平均温度外，还必须设法使炉内温度均匀化，避免局部高温。</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②燃料与空气的混合程度：燃气在炉内的燃烧过程，属于扩散燃烧，即一面混合、一面燃烧。因此NO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生成量不仅与过剩空气系数有关，而且在同样的空气系数条件下，还与混合特性有关。在合适的过剩系数的条件下，如混合均匀，则NO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生成量将降低，反之则增大。</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烟气外循环技术：从烟道上省煤器出口，引一路烟气回流管到鼓风机进风口，中间安装有电动烟道调节碟阀，出烟口到鼓风机进风口之间设计预留风道空间，由于有部分烟气回流到燃烧器，鼓风机风道应重新设计。</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本项目低氮燃烧器采取多种融合技术及烟气外循环技术，当燃料为天然气时，采用烟气外循环技术时，降低NO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排放措施非常明显有效。</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本项目锅炉烟气经8m 高排气筒排放，根据计算结果本项目颗粒物、SO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 xml:space="preserve">2 </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、NOx排放浓度满足《锅炉大气污染物排放标准》 （GB13271-2014）中表2标准（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14:textFill>
                  <w14:solidFill>
                    <w14:schemeClr w14:val="tx1"/>
                  </w14:solidFill>
                </w14:textFill>
              </w:rPr>
              <w:t>20mg/m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二氧化硫：</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、氮氧化物：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200</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）。且本项目采用低氮燃烧技术符合《排污许可证申请与核发技术规范 锅炉》（HJ1030.1-2019）中可行技术的相关要求，因此，本项目采用低氨燃烧器技术是可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行的。</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1.5 监测计划</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根据《排污单位自行监测技术指南总则》（HJ819-2017）中最低监测频次要求，本项目污染源属于非主要污染源，排放口类型为一般排放口。监测计划、排放口基本情况见表 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14:textFill>
                  <w14:solidFill>
                    <w14:schemeClr w14:val="tx1"/>
                  </w14:solidFill>
                </w14:textFill>
              </w:rPr>
              <w:t>。</w:t>
            </w:r>
          </w:p>
          <w:p>
            <w:pPr>
              <w:snapToGrid w:val="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 4-8 大气监测计划</w:t>
            </w:r>
          </w:p>
          <w:tbl>
            <w:tblPr>
              <w:tblStyle w:val="24"/>
              <w:tblW w:w="79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442"/>
              <w:gridCol w:w="3119"/>
              <w:gridCol w:w="16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88" w:type="dxa"/>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2442" w:type="dxa"/>
                  <w:noWrap w:val="0"/>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测点位置</w:t>
                  </w:r>
                </w:p>
              </w:tc>
              <w:tc>
                <w:tcPr>
                  <w:tcW w:w="3119" w:type="dxa"/>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监测项目</w:t>
                  </w:r>
                </w:p>
              </w:tc>
              <w:tc>
                <w:tcPr>
                  <w:tcW w:w="1636" w:type="dxa"/>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88" w:type="dxa"/>
                  <w:vMerge w:val="restart"/>
                  <w:noWrap w:val="0"/>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w:t>
                  </w:r>
                </w:p>
              </w:tc>
              <w:tc>
                <w:tcPr>
                  <w:tcW w:w="2442" w:type="dxa"/>
                  <w:noWrap w:val="0"/>
                  <w:vAlign w:val="center"/>
                </w:tcPr>
                <w:p>
                  <w:pPr>
                    <w:jc w:val="center"/>
                    <w:rPr>
                      <w:rFonts w:hint="eastAsia"/>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DA00</w:t>
                  </w:r>
                  <w:r>
                    <w:rPr>
                      <w:rFonts w:hint="eastAsia"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锅炉</w:t>
                  </w:r>
                  <w:r>
                    <w:rPr>
                      <w:rFonts w:hint="default" w:ascii="Times New Roman" w:hAnsi="Times New Roman" w:cs="Times New Roman"/>
                      <w:color w:val="000000" w:themeColor="text1"/>
                      <w:szCs w:val="21"/>
                      <w14:textFill>
                        <w14:solidFill>
                          <w14:schemeClr w14:val="tx1"/>
                        </w14:solidFill>
                      </w14:textFill>
                    </w:rPr>
                    <w:t>排气筒</w:t>
                  </w:r>
                </w:p>
              </w:tc>
              <w:tc>
                <w:tcPr>
                  <w:tcW w:w="3119" w:type="dxa"/>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二氧化硫、氮氧化物</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烟气黑度</w:t>
                  </w:r>
                </w:p>
              </w:tc>
              <w:tc>
                <w:tcPr>
                  <w:tcW w:w="1636" w:type="dxa"/>
                  <w:noWrap w:val="0"/>
                  <w:vAlign w:val="center"/>
                </w:tcPr>
                <w:p>
                  <w:pPr>
                    <w:jc w:val="center"/>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1次/</w:t>
                  </w:r>
                  <w:r>
                    <w:rPr>
                      <w:rFonts w:hint="eastAsia"/>
                      <w:color w:val="000000" w:themeColor="text1"/>
                      <w:szCs w:val="21"/>
                      <w:lang w:val="en-US" w:eastAsia="zh-CN"/>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88" w:type="dxa"/>
                  <w:vMerge w:val="continue"/>
                  <w:noWrap w:val="0"/>
                  <w:vAlign w:val="center"/>
                </w:tcPr>
                <w:p>
                  <w:pPr>
                    <w:jc w:val="center"/>
                    <w:rPr>
                      <w:color w:val="000000" w:themeColor="text1"/>
                      <w:szCs w:val="21"/>
                      <w14:textFill>
                        <w14:solidFill>
                          <w14:schemeClr w14:val="tx1"/>
                        </w14:solidFill>
                      </w14:textFill>
                    </w:rPr>
                  </w:pPr>
                </w:p>
              </w:tc>
              <w:tc>
                <w:tcPr>
                  <w:tcW w:w="2442" w:type="dxa"/>
                  <w:noWrap w:val="0"/>
                  <w:vAlign w:val="center"/>
                </w:tcPr>
                <w:p>
                  <w:pPr>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厂界</w:t>
                  </w:r>
                  <w:r>
                    <w:rPr>
                      <w:rFonts w:hint="eastAsia"/>
                      <w:color w:val="000000" w:themeColor="text1"/>
                      <w:szCs w:val="21"/>
                      <w14:textFill>
                        <w14:solidFill>
                          <w14:schemeClr w14:val="tx1"/>
                        </w14:solidFill>
                      </w14:textFill>
                    </w:rPr>
                    <w:t>无组织</w:t>
                  </w:r>
                </w:p>
              </w:tc>
              <w:tc>
                <w:tcPr>
                  <w:tcW w:w="3119" w:type="dxa"/>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636" w:type="dxa"/>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r>
                    <w:rPr>
                      <w:rFonts w:hint="eastAsia"/>
                      <w:color w:val="000000" w:themeColor="text1"/>
                      <w:szCs w:val="21"/>
                      <w14:textFill>
                        <w14:solidFill>
                          <w14:schemeClr w14:val="tx1"/>
                        </w14:solidFill>
                      </w14:textFill>
                    </w:rPr>
                    <w:t>年</w:t>
                  </w:r>
                </w:p>
              </w:tc>
            </w:tr>
          </w:tbl>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1.6 环境影响分析</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本项目厂界外500米范围内无自然保护区、风景名胜区、文化区，不存在环境空气保护目标。</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水泥、矿粉为筒仓储藏，各筒仓均配套脉冲除尘器，</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处理后排放，</w:t>
            </w:r>
            <w:r>
              <w:rPr>
                <w:rFonts w:hint="eastAsia" w:ascii="Times New Roman" w:hAnsi="Times New Roman" w:eastAsia="宋体" w:cs="Times New Roman"/>
                <w:color w:val="000000" w:themeColor="text1"/>
                <w:sz w:val="24"/>
                <w:szCs w:val="24"/>
                <w14:textFill>
                  <w14:solidFill>
                    <w14:schemeClr w14:val="tx1"/>
                  </w14:solidFill>
                </w14:textFill>
              </w:rPr>
              <w:t>在出料口混合搅拌机排气孔处设置布袋除尘器对粉尘进行处置，处理后的</w:t>
            </w:r>
            <w:r>
              <w:rPr>
                <w:rFonts w:hint="eastAsia" w:ascii="Times New Roman" w:hAnsi="Times New Roman" w:cs="Times New Roman"/>
                <w:color w:val="000000" w:themeColor="text1"/>
                <w:sz w:val="24"/>
                <w:szCs w:val="24"/>
                <w:lang w:val="en-US" w:eastAsia="zh-CN"/>
                <w14:textFill>
                  <w14:solidFill>
                    <w14:schemeClr w14:val="tx1"/>
                  </w14:solidFill>
                </w14:textFill>
              </w:rPr>
              <w:t>无组织排放</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原料</w:t>
            </w:r>
            <w:r>
              <w:rPr>
                <w:rFonts w:hint="eastAsia" w:ascii="Times New Roman" w:hAnsi="Times New Roman" w:eastAsia="宋体" w:cs="Times New Roman"/>
                <w:color w:val="000000" w:themeColor="text1"/>
                <w:sz w:val="24"/>
                <w:szCs w:val="24"/>
                <w14:textFill>
                  <w14:solidFill>
                    <w14:schemeClr w14:val="tx1"/>
                  </w14:solidFill>
                </w14:textFill>
              </w:rPr>
              <w:t>堆场封闭厂房，厂区道路硬化、控制车速、密封运输物料等措施后，能够有效降低粉尘逸散，</w:t>
            </w:r>
            <w:r>
              <w:rPr>
                <w:rFonts w:hint="eastAsia"/>
                <w:color w:val="000000" w:themeColor="text1"/>
                <w:kern w:val="0"/>
                <w:sz w:val="24"/>
                <w14:textFill>
                  <w14:solidFill>
                    <w14:schemeClr w14:val="tx1"/>
                  </w14:solidFill>
                </w14:textFill>
              </w:rPr>
              <w:t>焊接烟尘经移动式焊烟净化器处理后车间内无组织排放，</w:t>
            </w:r>
            <w:r>
              <w:rPr>
                <w:rFonts w:hint="eastAsia" w:ascii="Times New Roman" w:hAnsi="Times New Roman" w:eastAsia="宋体" w:cs="Times New Roman"/>
                <w:color w:val="000000" w:themeColor="text1"/>
                <w:sz w:val="24"/>
                <w:szCs w:val="24"/>
                <w14:textFill>
                  <w14:solidFill>
                    <w14:schemeClr w14:val="tx1"/>
                  </w14:solidFill>
                </w14:textFill>
              </w:rPr>
              <w:t>厂界无组织粉尘满足《水泥工业大气污染物排放标准》（GB4915-2013）表 3 大气污染物无组织排放限值。</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锅炉采用低氮燃烧器经8m高排气筒排放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，废气中颗粒物、二氧化硫、氮氧化物、烟气林格曼黑度满足《锅炉大气污染物排放标准》（GB13271-2014）</w:t>
            </w:r>
            <w:r>
              <w:rPr>
                <w:rFonts w:hint="default" w:ascii="Times New Roman" w:hAnsi="Times New Roman" w:eastAsia="宋体" w:cs="Times New Roman"/>
                <w:color w:val="000000" w:themeColor="text1"/>
                <w:sz w:val="24"/>
                <w:szCs w:val="24"/>
                <w14:textFill>
                  <w14:solidFill>
                    <w14:schemeClr w14:val="tx1"/>
                  </w14:solidFill>
                </w14:textFill>
              </w:rPr>
              <w:t>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新建锅炉大气污染物排放浓度限值中燃气锅炉标准要求</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综上所述，本项目运营期对周围大气环境影响不大。</w:t>
            </w:r>
          </w:p>
          <w:p>
            <w:pPr>
              <w:keepNext w:val="0"/>
              <w:keepLines w:val="0"/>
              <w:pageBreakBefore w:val="0"/>
              <w:wordWrap/>
              <w:overflowPunct/>
              <w:topLinePunct w:val="0"/>
              <w:autoSpaceDE w:val="0"/>
              <w:autoSpaceDN w:val="0"/>
              <w:bidi w:val="0"/>
              <w:adjustRightInd w:val="0"/>
              <w:spacing w:line="360" w:lineRule="auto"/>
              <w:ind w:firstLine="482" w:firstLineChars="200"/>
              <w:rPr>
                <w:rFonts w:hint="eastAsia" w:ascii="宋体" w:hAnsi="宋体" w:eastAsia="宋体" w:cs="宋体"/>
                <w:b/>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14:textFill>
                  <w14:solidFill>
                    <w14:schemeClr w14:val="tx1"/>
                  </w14:solidFill>
                </w14:textFill>
              </w:rPr>
              <w:t>2、废水</w:t>
            </w:r>
          </w:p>
          <w:p>
            <w:pPr>
              <w:keepNext w:val="0"/>
              <w:keepLines w:val="0"/>
              <w:pageBreakBefore w:val="0"/>
              <w:wordWrap/>
              <w:overflowPunct/>
              <w:topLinePunct w:val="0"/>
              <w:bidi w:val="0"/>
              <w:adjustRightInd w:val="0"/>
              <w:snapToGrid w:val="0"/>
              <w:spacing w:line="360" w:lineRule="auto"/>
              <w:ind w:firstLine="482"/>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2.1废水处理措施</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本项目产生的废水主要为生活污水。</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（1）生产废水</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生产废水经沉淀后循环使用，不外排。</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（2）生活污水</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color w:val="000000" w:themeColor="text1"/>
                <w:spacing w:val="-6"/>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本项目生活污水通过</w:t>
            </w:r>
            <w:r>
              <w:rPr>
                <w:rFonts w:hint="eastAsia" w:ascii="宋体" w:hAnsi="宋体" w:eastAsia="宋体" w:cs="宋体"/>
                <w:color w:val="000000" w:themeColor="text1"/>
                <w:kern w:val="0"/>
                <w:sz w:val="24"/>
                <w:lang w:val="en-US" w:eastAsia="zh-CN"/>
                <w14:textFill>
                  <w14:solidFill>
                    <w14:schemeClr w14:val="tx1"/>
                  </w14:solidFill>
                </w14:textFill>
              </w:rPr>
              <w:t>化粪池预处理后经</w:t>
            </w:r>
            <w:r>
              <w:rPr>
                <w:rFonts w:hint="eastAsia" w:ascii="宋体" w:hAnsi="宋体" w:eastAsia="宋体" w:cs="宋体"/>
                <w:color w:val="000000" w:themeColor="text1"/>
                <w:kern w:val="0"/>
                <w:sz w:val="24"/>
                <w14:textFill>
                  <w14:solidFill>
                    <w14:schemeClr w14:val="tx1"/>
                  </w14:solidFill>
                </w14:textFill>
              </w:rPr>
              <w:t>排水管网排至</w:t>
            </w:r>
            <w:r>
              <w:rPr>
                <w:rFonts w:hint="eastAsia" w:ascii="宋体" w:hAnsi="宋体" w:eastAsia="宋体" w:cs="宋体"/>
                <w:color w:val="000000" w:themeColor="text1"/>
                <w:kern w:val="0"/>
                <w:sz w:val="24"/>
                <w:lang w:val="en-US" w:eastAsia="zh-CN"/>
                <w14:textFill>
                  <w14:solidFill>
                    <w14:schemeClr w14:val="tx1"/>
                  </w14:solidFill>
                </w14:textFill>
              </w:rPr>
              <w:t>园区</w:t>
            </w:r>
            <w:r>
              <w:rPr>
                <w:rFonts w:hint="eastAsia" w:ascii="宋体" w:hAnsi="宋体" w:eastAsia="宋体" w:cs="宋体"/>
                <w:color w:val="000000" w:themeColor="text1"/>
                <w:kern w:val="0"/>
                <w:sz w:val="24"/>
                <w14:textFill>
                  <w14:solidFill>
                    <w14:schemeClr w14:val="tx1"/>
                  </w14:solidFill>
                </w14:textFill>
              </w:rPr>
              <w:t>污水厂处理。</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2.2废水排放情况</w:t>
            </w:r>
          </w:p>
          <w:p>
            <w:pPr>
              <w:pStyle w:val="10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根据水量平衡分析，</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本项目排水量为</w:t>
            </w:r>
            <w:r>
              <w:rPr>
                <w:rFonts w:hint="default" w:ascii="Times New Roman" w:hAnsi="Times New Roman" w:cs="Times New Roman"/>
                <w:color w:val="000000" w:themeColor="text1"/>
                <w:sz w:val="24"/>
                <w:szCs w:val="24"/>
                <w:lang w:val="en-US" w:eastAsia="zh-CN"/>
                <w14:textFill>
                  <w14:solidFill>
                    <w14:schemeClr w14:val="tx1"/>
                  </w14:solidFill>
                </w14:textFill>
              </w:rPr>
              <w:t>10.8</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pacing w:val="-8"/>
                <w:sz w:val="24"/>
                <w:szCs w:val="24"/>
                <w:lang w:val="en-US" w:eastAsia="zh-CN"/>
                <w14:textFill>
                  <w14:solidFill>
                    <w14:schemeClr w14:val="tx1"/>
                  </w14:solidFill>
                </w14:textFill>
              </w:rPr>
              <w:t>3240</w:t>
            </w:r>
            <w:r>
              <w:rPr>
                <w:rFonts w:hint="default" w:ascii="Times New Roman" w:hAnsi="Times New Roman" w:cs="Times New Roman"/>
                <w:color w:val="000000" w:themeColor="text1"/>
                <w:spacing w:val="-8"/>
                <w:sz w:val="24"/>
                <w:szCs w:val="24"/>
                <w14:textFill>
                  <w14:solidFill>
                    <w14:schemeClr w14:val="tx1"/>
                  </w14:solidFill>
                </w14:textFill>
              </w:rPr>
              <w:t>m</w:t>
            </w:r>
            <w:r>
              <w:rPr>
                <w:rFonts w:hint="default" w:ascii="Times New Roman" w:hAnsi="Times New Roman" w:cs="Times New Roman"/>
                <w:color w:val="000000" w:themeColor="text1"/>
                <w:spacing w:val="-8"/>
                <w:sz w:val="24"/>
                <w:szCs w:val="24"/>
                <w:vertAlign w:val="superscript"/>
                <w14:textFill>
                  <w14:solidFill>
                    <w14:schemeClr w14:val="tx1"/>
                  </w14:solidFill>
                </w14:textFill>
              </w:rPr>
              <w:t>3</w:t>
            </w:r>
            <w:r>
              <w:rPr>
                <w:rFonts w:hint="default" w:ascii="Times New Roman" w:hAnsi="Times New Roman" w:cs="Times New Roman"/>
                <w:color w:val="000000" w:themeColor="text1"/>
                <w:spacing w:val="-8"/>
                <w:sz w:val="24"/>
                <w:szCs w:val="24"/>
                <w14:textFill>
                  <w14:solidFill>
                    <w14:schemeClr w14:val="tx1"/>
                  </w14:solidFill>
                </w14:textFill>
              </w:rPr>
              <w:t xml:space="preserve">/a </w:t>
            </w:r>
            <w:r>
              <w:rPr>
                <w:rFonts w:hint="default" w:ascii="Times New Roman" w:hAnsi="Times New Roman" w:cs="Times New Roman"/>
                <w:color w:val="000000" w:themeColor="text1"/>
                <w:sz w:val="24"/>
                <w:szCs w:val="24"/>
                <w14:textFill>
                  <w14:solidFill>
                    <w14:schemeClr w14:val="tx1"/>
                  </w14:solidFill>
                </w14:textFill>
              </w:rPr>
              <w:t>。生活污水</w:t>
            </w:r>
            <w:r>
              <w:rPr>
                <w:rFonts w:hint="eastAsia"/>
                <w:color w:val="000000" w:themeColor="text1"/>
                <w:sz w:val="24"/>
                <w:szCs w:val="24"/>
                <w14:textFill>
                  <w14:solidFill>
                    <w14:schemeClr w14:val="tx1"/>
                  </w14:solidFill>
                </w14:textFill>
              </w:rPr>
              <w:t>排入</w:t>
            </w:r>
            <w:r>
              <w:rPr>
                <w:rFonts w:hint="eastAsia"/>
                <w:color w:val="000000" w:themeColor="text1"/>
                <w:sz w:val="24"/>
                <w:szCs w:val="24"/>
                <w:lang w:val="en-US" w:eastAsia="zh-CN"/>
                <w14:textFill>
                  <w14:solidFill>
                    <w14:schemeClr w14:val="tx1"/>
                  </w14:solidFill>
                </w14:textFill>
              </w:rPr>
              <w:t>园区</w:t>
            </w:r>
            <w:r>
              <w:rPr>
                <w:rFonts w:hint="eastAsia"/>
                <w:color w:val="000000" w:themeColor="text1"/>
                <w:sz w:val="24"/>
                <w:szCs w:val="24"/>
                <w14:textFill>
                  <w14:solidFill>
                    <w14:schemeClr w14:val="tx1"/>
                  </w14:solidFill>
                </w14:textFill>
              </w:rPr>
              <w:t>排水管网</w:t>
            </w:r>
            <w:r>
              <w:rPr>
                <w:rFonts w:hint="eastAsia"/>
                <w:color w:val="000000" w:themeColor="text1"/>
                <w:sz w:val="24"/>
                <w:szCs w:val="24"/>
                <w:lang w:val="en-US" w:eastAsia="zh-CN"/>
                <w14:textFill>
                  <w14:solidFill>
                    <w14:schemeClr w14:val="tx1"/>
                  </w14:solidFill>
                </w14:textFill>
              </w:rPr>
              <w:t>进入园区污水处理厂处理</w:t>
            </w:r>
            <w:r>
              <w:rPr>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本项目废水产排情况见表4-</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4"/>
                <w14:textFill>
                  <w14:solidFill>
                    <w14:schemeClr w14:val="tx1"/>
                  </w14:solidFill>
                </w14:textFill>
              </w:rPr>
              <w:t>。</w:t>
            </w:r>
          </w:p>
          <w:p>
            <w:pPr>
              <w:pStyle w:val="19"/>
              <w:spacing w:after="0" w:line="240" w:lineRule="auto"/>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表4-9   水污染物产排情况</w:t>
            </w:r>
          </w:p>
          <w:tbl>
            <w:tblPr>
              <w:tblStyle w:val="24"/>
              <w:tblW w:w="50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776"/>
              <w:gridCol w:w="1944"/>
              <w:gridCol w:w="1681"/>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39"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w:t>
                  </w:r>
                </w:p>
              </w:tc>
              <w:tc>
                <w:tcPr>
                  <w:tcW w:w="1106"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进口浓度</w:t>
                  </w:r>
                </w:p>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211"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w:t>
                  </w:r>
                </w:p>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m</w:t>
                  </w:r>
                  <w:r>
                    <w:rPr>
                      <w:rFonts w:hint="default" w:ascii="Times New Roman" w:hAnsi="Times New Roman" w:cs="Times New Roman"/>
                      <w:color w:val="000000" w:themeColor="text1"/>
                      <w:spacing w:val="-8"/>
                      <w:sz w:val="21"/>
                      <w:szCs w:val="21"/>
                      <w:vertAlign w:val="superscript"/>
                      <w14:textFill>
                        <w14:solidFill>
                          <w14:schemeClr w14:val="tx1"/>
                        </w14:solidFill>
                      </w14:textFill>
                    </w:rPr>
                    <w:t>3</w:t>
                  </w:r>
                  <w:r>
                    <w:rPr>
                      <w:rFonts w:hint="default" w:ascii="Times New Roman" w:hAnsi="Times New Roman" w:cs="Times New Roman"/>
                      <w:color w:val="000000" w:themeColor="text1"/>
                      <w:spacing w:val="-8"/>
                      <w:sz w:val="21"/>
                      <w:szCs w:val="21"/>
                      <w14:textFill>
                        <w14:solidFill>
                          <w14:schemeClr w14:val="tx1"/>
                        </w14:solidFill>
                      </w14:textFill>
                    </w:rPr>
                    <w:t>/a</w:t>
                  </w:r>
                </w:p>
              </w:tc>
              <w:tc>
                <w:tcPr>
                  <w:tcW w:w="1047" w:type="pct"/>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出口浓度</w:t>
                  </w:r>
                </w:p>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095" w:type="pct"/>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排放量</w:t>
                  </w:r>
                </w:p>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m</w:t>
                  </w:r>
                  <w:r>
                    <w:rPr>
                      <w:rFonts w:hint="default" w:ascii="Times New Roman" w:hAnsi="Times New Roman" w:cs="Times New Roman"/>
                      <w:color w:val="000000" w:themeColor="text1"/>
                      <w:spacing w:val="-8"/>
                      <w:sz w:val="21"/>
                      <w:szCs w:val="21"/>
                      <w:vertAlign w:val="superscript"/>
                      <w14:textFill>
                        <w14:solidFill>
                          <w14:schemeClr w14:val="tx1"/>
                        </w14:solidFill>
                      </w14:textFill>
                    </w:rPr>
                    <w:t>3</w:t>
                  </w:r>
                  <w:r>
                    <w:rPr>
                      <w:rFonts w:hint="default" w:ascii="Times New Roman" w:hAnsi="Times New Roman" w:cs="Times New Roman"/>
                      <w:color w:val="000000" w:themeColor="text1"/>
                      <w:spacing w:val="-8"/>
                      <w:sz w:val="2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9"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1106"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c>
                <w:tcPr>
                  <w:tcW w:w="1211" w:type="pct"/>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1.62</w:t>
                  </w:r>
                </w:p>
              </w:tc>
              <w:tc>
                <w:tcPr>
                  <w:tcW w:w="1681" w:type="dxa"/>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c>
                <w:tcPr>
                  <w:tcW w:w="1759"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9"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1106"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1211" w:type="pct"/>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0.97</w:t>
                  </w:r>
                </w:p>
              </w:tc>
              <w:tc>
                <w:tcPr>
                  <w:tcW w:w="1681" w:type="dxa"/>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1759"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9"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1106"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1211" w:type="pct"/>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0.19</w:t>
                  </w:r>
                </w:p>
              </w:tc>
              <w:tc>
                <w:tcPr>
                  <w:tcW w:w="1681" w:type="dxa"/>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1759"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9"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1106" w:type="pct"/>
                  <w:shd w:val="clear" w:color="auto" w:fill="auto"/>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1211" w:type="pct"/>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1.30</w:t>
                  </w:r>
                </w:p>
              </w:tc>
              <w:tc>
                <w:tcPr>
                  <w:tcW w:w="1681" w:type="dxa"/>
                  <w:vAlign w:val="center"/>
                </w:tcPr>
                <w:p>
                  <w:pPr>
                    <w:pStyle w:val="19"/>
                    <w:adjustRightInd w:val="0"/>
                    <w:snapToGri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1759"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1.30</w:t>
                  </w:r>
                </w:p>
              </w:tc>
            </w:tr>
          </w:tbl>
          <w:p>
            <w:pPr>
              <w:adjustRightInd w:val="0"/>
              <w:snapToGrid w:val="0"/>
              <w:spacing w:line="360" w:lineRule="auto"/>
              <w:ind w:firstLine="482"/>
              <w:rPr>
                <w:rFonts w:hint="eastAsia" w:ascii="宋体" w:hAnsi="宋体" w:eastAsia="宋体" w:cs="宋体"/>
                <w:b/>
                <w:color w:val="000000" w:themeColor="text1"/>
                <w:spacing w:val="-6"/>
                <w:sz w:val="24"/>
                <w14:textFill>
                  <w14:solidFill>
                    <w14:schemeClr w14:val="tx1"/>
                  </w14:solidFill>
                </w14:textFill>
              </w:rPr>
            </w:pPr>
            <w:r>
              <w:rPr>
                <w:rFonts w:hint="eastAsia" w:ascii="宋体" w:hAnsi="宋体" w:eastAsia="宋体" w:cs="宋体"/>
                <w:b/>
                <w:color w:val="000000" w:themeColor="text1"/>
                <w:spacing w:val="-6"/>
                <w:sz w:val="24"/>
                <w14:textFill>
                  <w14:solidFill>
                    <w14:schemeClr w14:val="tx1"/>
                  </w14:solidFill>
                </w14:textFill>
              </w:rPr>
              <w:t>2.3排污口情况</w:t>
            </w:r>
          </w:p>
          <w:p>
            <w:pPr>
              <w:adjustRightInd w:val="0"/>
              <w:snapToGrid w:val="0"/>
              <w:spacing w:line="360" w:lineRule="auto"/>
              <w:ind w:firstLine="482"/>
              <w:rPr>
                <w:rFonts w:hint="eastAsia" w:ascii="宋体" w:hAnsi="宋体" w:eastAsia="宋体" w:cs="宋体"/>
                <w:color w:val="000000" w:themeColor="text1"/>
                <w:spacing w:val="-6"/>
                <w:sz w:val="24"/>
                <w14:textFill>
                  <w14:solidFill>
                    <w14:schemeClr w14:val="tx1"/>
                  </w14:solidFill>
                </w14:textFill>
              </w:rPr>
            </w:pPr>
            <w:r>
              <w:rPr>
                <w:rFonts w:hint="eastAsia" w:ascii="宋体" w:hAnsi="宋体" w:eastAsia="宋体" w:cs="宋体"/>
                <w:color w:val="000000" w:themeColor="text1"/>
                <w:spacing w:val="-6"/>
                <w:sz w:val="24"/>
                <w14:textFill>
                  <w14:solidFill>
                    <w14:schemeClr w14:val="tx1"/>
                  </w14:solidFill>
                </w14:textFill>
              </w:rPr>
              <w:t>本项目废水排污口情况见下表。</w:t>
            </w:r>
          </w:p>
          <w:p>
            <w:pPr>
              <w:adjustRightInd w:val="0"/>
              <w:snapToGrid w:val="0"/>
              <w:spacing w:line="360" w:lineRule="auto"/>
              <w:jc w:val="center"/>
              <w:rPr>
                <w:rFonts w:hint="eastAsia" w:ascii="宋体" w:hAnsi="宋体" w:eastAsia="宋体" w:cs="宋体"/>
                <w:b/>
                <w:color w:val="000000" w:themeColor="text1"/>
                <w:spacing w:val="-6"/>
                <w14:textFill>
                  <w14:solidFill>
                    <w14:schemeClr w14:val="tx1"/>
                  </w14:solidFill>
                </w14:textFill>
              </w:rPr>
            </w:pPr>
            <w:r>
              <w:rPr>
                <w:rFonts w:hint="eastAsia" w:ascii="宋体" w:hAnsi="宋体" w:eastAsia="宋体" w:cs="宋体"/>
                <w:b/>
                <w:color w:val="000000" w:themeColor="text1"/>
                <w:spacing w:val="-6"/>
                <w14:textFill>
                  <w14:solidFill>
                    <w14:schemeClr w14:val="tx1"/>
                  </w14:solidFill>
                </w14:textFill>
              </w:rPr>
              <w:t>表4-10  废水排污口情况一览表</w:t>
            </w:r>
          </w:p>
          <w:tbl>
            <w:tblPr>
              <w:tblStyle w:val="25"/>
              <w:tblW w:w="79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683"/>
              <w:gridCol w:w="698"/>
              <w:gridCol w:w="1814"/>
              <w:gridCol w:w="698"/>
              <w:gridCol w:w="2448"/>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trPr>
              <w:tc>
                <w:tcPr>
                  <w:tcW w:w="1017"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编号</w:t>
                  </w:r>
                </w:p>
              </w:tc>
              <w:tc>
                <w:tcPr>
                  <w:tcW w:w="683"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名称</w:t>
                  </w:r>
                </w:p>
              </w:tc>
              <w:tc>
                <w:tcPr>
                  <w:tcW w:w="698"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类型</w:t>
                  </w:r>
                </w:p>
              </w:tc>
              <w:tc>
                <w:tcPr>
                  <w:tcW w:w="1814"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地理坐标</w:t>
                  </w:r>
                </w:p>
              </w:tc>
              <w:tc>
                <w:tcPr>
                  <w:tcW w:w="698"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排放方式</w:t>
                  </w:r>
                </w:p>
              </w:tc>
              <w:tc>
                <w:tcPr>
                  <w:tcW w:w="2448"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排放去向</w:t>
                  </w:r>
                </w:p>
              </w:tc>
              <w:tc>
                <w:tcPr>
                  <w:tcW w:w="623"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17"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DW001</w:t>
                  </w:r>
                </w:p>
              </w:tc>
              <w:tc>
                <w:tcPr>
                  <w:tcW w:w="683"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污水总排口</w:t>
                  </w:r>
                </w:p>
              </w:tc>
              <w:tc>
                <w:tcPr>
                  <w:tcW w:w="698"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主要排放口</w:t>
                  </w:r>
                </w:p>
              </w:tc>
              <w:tc>
                <w:tcPr>
                  <w:tcW w:w="1814"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color w:val="000000" w:themeColor="text1"/>
                      <w:sz w:val="21"/>
                      <w:szCs w:val="21"/>
                      <w14:textFill>
                        <w14:solidFill>
                          <w14:schemeClr w14:val="tx1"/>
                        </w14:solidFill>
                      </w14:textFill>
                    </w:rPr>
                    <w:t xml:space="preserve">N </w:t>
                  </w:r>
                  <w:r>
                    <w:rPr>
                      <w:rFonts w:hint="eastAsia"/>
                      <w:color w:val="000000" w:themeColor="text1"/>
                      <w:sz w:val="21"/>
                      <w:szCs w:val="21"/>
                      <w14:textFill>
                        <w14:solidFill>
                          <w14:schemeClr w14:val="tx1"/>
                        </w14:solidFill>
                      </w14:textFill>
                    </w:rPr>
                    <w:t>4</w:t>
                  </w:r>
                  <w:r>
                    <w:rPr>
                      <w:rFonts w:hint="eastAsia"/>
                      <w:color w:val="000000" w:themeColor="text1"/>
                      <w:sz w:val="21"/>
                      <w:szCs w:val="21"/>
                      <w:lang w:val="en-US" w:eastAsia="zh-CN"/>
                      <w14:textFill>
                        <w14:solidFill>
                          <w14:schemeClr w14:val="tx1"/>
                        </w14:solidFill>
                      </w14:textFill>
                    </w:rPr>
                    <w:t>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48.395</w:t>
                  </w:r>
                  <w:r>
                    <w:rPr>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 xml:space="preserve">E </w:t>
                  </w:r>
                  <w:r>
                    <w:rPr>
                      <w:rFonts w:hint="eastAsia"/>
                      <w:color w:val="000000" w:themeColor="text1"/>
                      <w:sz w:val="21"/>
                      <w:szCs w:val="21"/>
                      <w14:textFill>
                        <w14:solidFill>
                          <w14:schemeClr w14:val="tx1"/>
                        </w14:solidFill>
                      </w14:textFill>
                    </w:rPr>
                    <w:t>8</w:t>
                  </w:r>
                  <w:r>
                    <w:rPr>
                      <w:rFonts w:hint="eastAsia"/>
                      <w:color w:val="000000" w:themeColor="text1"/>
                      <w:sz w:val="21"/>
                      <w:szCs w:val="21"/>
                      <w:lang w:val="en-US" w:eastAsia="zh-CN"/>
                      <w14:textFill>
                        <w14:solidFill>
                          <w14:schemeClr w14:val="tx1"/>
                        </w14:solidFill>
                      </w14:textFill>
                    </w:rPr>
                    <w:t>4</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56</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0.535</w:t>
                  </w:r>
                  <w:r>
                    <w:rPr>
                      <w:color w:val="000000" w:themeColor="text1"/>
                      <w:sz w:val="21"/>
                      <w:szCs w:val="21"/>
                      <w14:textFill>
                        <w14:solidFill>
                          <w14:schemeClr w14:val="tx1"/>
                        </w14:solidFill>
                      </w14:textFill>
                    </w:rPr>
                    <w:t>″</w:t>
                  </w:r>
                </w:p>
              </w:tc>
              <w:tc>
                <w:tcPr>
                  <w:tcW w:w="698"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间接排放</w:t>
                  </w:r>
                </w:p>
              </w:tc>
              <w:tc>
                <w:tcPr>
                  <w:tcW w:w="2448" w:type="dxa"/>
                  <w:vAlign w:val="center"/>
                </w:tcPr>
                <w:p>
                  <w:pPr>
                    <w:adjustRightInd w:val="0"/>
                    <w:snapToGrid w:val="0"/>
                    <w:jc w:val="center"/>
                    <w:rPr>
                      <w:rFonts w:hint="default" w:ascii="Times New Roman" w:hAnsi="Times New Roman" w:eastAsia="宋体" w:cs="Times New Roman"/>
                      <w:color w:val="000000" w:themeColor="text1"/>
                      <w:spacing w:val="-6"/>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6"/>
                      <w:szCs w:val="21"/>
                      <w:lang w:val="en-US" w:eastAsia="zh-CN"/>
                      <w14:textFill>
                        <w14:solidFill>
                          <w14:schemeClr w14:val="tx1"/>
                        </w14:solidFill>
                      </w14:textFill>
                    </w:rPr>
                    <w:t>园区污水处理厂</w:t>
                  </w:r>
                </w:p>
              </w:tc>
              <w:tc>
                <w:tcPr>
                  <w:tcW w:w="623" w:type="dxa"/>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持续排放</w:t>
                  </w:r>
                </w:p>
              </w:tc>
            </w:tr>
          </w:tbl>
          <w:p>
            <w:pPr>
              <w:pStyle w:val="53"/>
              <w:keepNext w:val="0"/>
              <w:keepLines w:val="0"/>
              <w:pageBreakBefore w:val="0"/>
              <w:widowControl w:val="0"/>
              <w:kinsoku/>
              <w:wordWrap/>
              <w:overflowPunct/>
              <w:topLinePunct w:val="0"/>
              <w:bidi w:val="0"/>
              <w:adjustRightInd w:val="0"/>
              <w:spacing w:line="360" w:lineRule="auto"/>
              <w:ind w:firstLine="458" w:firstLineChars="200"/>
              <w:jc w:val="both"/>
              <w:textAlignment w:val="auto"/>
              <w:rPr>
                <w:rFonts w:hint="eastAsia" w:ascii="宋体" w:hAnsi="宋体" w:eastAsia="宋体" w:cs="宋体"/>
                <w:b/>
                <w:color w:val="000000" w:themeColor="text1"/>
                <w:spacing w:val="-6"/>
                <w:sz w:val="24"/>
                <w:lang w:val="en-US" w:eastAsia="zh-CN"/>
                <w14:textFill>
                  <w14:solidFill>
                    <w14:schemeClr w14:val="tx1"/>
                  </w14:solidFill>
                </w14:textFill>
              </w:rPr>
            </w:pPr>
            <w:r>
              <w:rPr>
                <w:rFonts w:hint="eastAsia" w:ascii="宋体" w:hAnsi="宋体" w:eastAsia="宋体" w:cs="宋体"/>
                <w:b/>
                <w:color w:val="000000" w:themeColor="text1"/>
                <w:spacing w:val="-6"/>
                <w:sz w:val="24"/>
                <w14:textFill>
                  <w14:solidFill>
                    <w14:schemeClr w14:val="tx1"/>
                  </w14:solidFill>
                </w14:textFill>
              </w:rPr>
              <w:t>2.4</w:t>
            </w:r>
            <w:r>
              <w:rPr>
                <w:rFonts w:hint="eastAsia" w:ascii="宋体" w:hAnsi="宋体" w:eastAsia="宋体" w:cs="宋体"/>
                <w:b/>
                <w:color w:val="000000" w:themeColor="text1"/>
                <w:spacing w:val="-6"/>
                <w:sz w:val="24"/>
                <w:lang w:val="en-US" w:eastAsia="zh-CN"/>
                <w14:textFill>
                  <w14:solidFill>
                    <w14:schemeClr w14:val="tx1"/>
                  </w14:solidFill>
                </w14:textFill>
              </w:rPr>
              <w:t>废水排放依托可行性</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lang w:bidi="ar"/>
              </w:rPr>
              <w:t>开发区南园区现状已有一座园区污水处理厂，处理规模3万m</w:t>
            </w:r>
            <w:r>
              <w:rPr>
                <w:rFonts w:hint="default" w:ascii="Times New Roman" w:hAnsi="Times New Roman" w:eastAsia="宋体" w:cs="Times New Roman"/>
                <w:kern w:val="0"/>
                <w:sz w:val="24"/>
                <w:szCs w:val="24"/>
                <w:vertAlign w:val="superscript"/>
                <w:lang w:bidi="ar"/>
              </w:rPr>
              <w:t>3</w:t>
            </w:r>
            <w:r>
              <w:rPr>
                <w:rFonts w:hint="default" w:ascii="Times New Roman" w:hAnsi="Times New Roman" w:eastAsia="宋体" w:cs="Times New Roman"/>
                <w:kern w:val="0"/>
                <w:sz w:val="24"/>
                <w:szCs w:val="24"/>
                <w:lang w:bidi="ar"/>
              </w:rPr>
              <w:t xml:space="preserve"> /d，采用的处理工艺是“预处理—生化处理—深度处理”工艺，其中预处理单元采用“混凝沉淀+气浮”工艺，生化单元采用“水解酸化+A</w:t>
            </w:r>
            <w:r>
              <w:rPr>
                <w:rFonts w:hint="default" w:ascii="Times New Roman" w:hAnsi="Times New Roman" w:eastAsia="宋体" w:cs="Times New Roman"/>
                <w:kern w:val="0"/>
                <w:sz w:val="24"/>
                <w:szCs w:val="24"/>
                <w:vertAlign w:val="superscript"/>
                <w:lang w:bidi="ar"/>
              </w:rPr>
              <w:t>2</w:t>
            </w:r>
            <w:r>
              <w:rPr>
                <w:rFonts w:hint="default" w:ascii="Times New Roman" w:hAnsi="Times New Roman" w:eastAsia="宋体" w:cs="Times New Roman"/>
                <w:kern w:val="0"/>
                <w:sz w:val="24"/>
                <w:szCs w:val="24"/>
                <w:lang w:bidi="ar"/>
              </w:rPr>
              <w:t xml:space="preserve"> /O”工艺，深度处理单元采用“臭氧－曝气生物滤池”工艺，污泥处理工艺为浓缩+双隔膜压滤机脱水，然后卫生填埋处理。出水达到《城镇污水处理厂污染物排放标准》（GB18918-2002）一级 A 标准后，通过中水管线排至中水库暂存。</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lang w:bidi="ar"/>
              </w:rPr>
              <w:t>根据兵团第七师胡杨河市生态环境局《关于师市开发区企业执行相关标准的通知》（师市环发【2021】7 号），胡杨河市经开区污水处理厂的纳管标准是：所有企业废水污染物排放限值均应满足行业标准中“间接排放”标准限值要求；暂无行业标准的，应执行《污水综合排放标准》（GB8978-1996）三级标准限值。</w:t>
            </w:r>
          </w:p>
          <w:p>
            <w:pPr>
              <w:widowControl/>
              <w:spacing w:line="360" w:lineRule="auto"/>
              <w:ind w:firstLine="480" w:firstLineChars="200"/>
              <w:jc w:val="left"/>
              <w:rPr>
                <w:rFonts w:hint="default" w:ascii="Times New Roman" w:hAnsi="Times New Roman" w:eastAsia="宋体" w:cs="Times New Roman"/>
                <w:kern w:val="0"/>
                <w:sz w:val="24"/>
                <w:szCs w:val="24"/>
                <w:lang w:bidi="ar"/>
              </w:rPr>
            </w:pPr>
            <w:r>
              <w:rPr>
                <w:rFonts w:hint="default" w:ascii="Times New Roman" w:hAnsi="Times New Roman" w:eastAsia="宋体" w:cs="Times New Roman"/>
                <w:kern w:val="0"/>
                <w:sz w:val="24"/>
                <w:szCs w:val="24"/>
                <w:lang w:bidi="ar"/>
              </w:rPr>
              <w:t>园区共有中水库二期，其中中水库（一期）有效库容为182万m</w:t>
            </w:r>
            <w:r>
              <w:rPr>
                <w:rFonts w:hint="default" w:ascii="Times New Roman" w:hAnsi="Times New Roman" w:eastAsia="宋体" w:cs="Times New Roman"/>
                <w:kern w:val="0"/>
                <w:sz w:val="24"/>
                <w:szCs w:val="24"/>
                <w:vertAlign w:val="superscript"/>
                <w:lang w:bidi="ar"/>
              </w:rPr>
              <w:t>3</w:t>
            </w:r>
            <w:r>
              <w:rPr>
                <w:rFonts w:hint="default" w:ascii="Times New Roman" w:hAnsi="Times New Roman" w:eastAsia="宋体" w:cs="Times New Roman"/>
                <w:kern w:val="0"/>
                <w:sz w:val="24"/>
                <w:szCs w:val="24"/>
                <w:lang w:bidi="ar"/>
              </w:rPr>
              <w:t>，中水库（二期）有效库容为 163万m</w:t>
            </w:r>
            <w:r>
              <w:rPr>
                <w:rFonts w:hint="default" w:ascii="Times New Roman" w:hAnsi="Times New Roman" w:eastAsia="宋体" w:cs="Times New Roman"/>
                <w:kern w:val="0"/>
                <w:sz w:val="24"/>
                <w:szCs w:val="24"/>
                <w:vertAlign w:val="superscript"/>
                <w:lang w:bidi="ar"/>
              </w:rPr>
              <w:t>3</w:t>
            </w:r>
            <w:r>
              <w:rPr>
                <w:rFonts w:hint="default" w:ascii="Times New Roman" w:hAnsi="Times New Roman" w:eastAsia="宋体" w:cs="Times New Roman"/>
                <w:kern w:val="0"/>
                <w:sz w:val="24"/>
                <w:szCs w:val="24"/>
                <w:lang w:bidi="ar"/>
              </w:rPr>
              <w:t>，为在用状态。</w:t>
            </w:r>
          </w:p>
          <w:p>
            <w:pPr>
              <w:widowControl/>
              <w:spacing w:line="360" w:lineRule="auto"/>
              <w:ind w:firstLine="480" w:firstLineChars="200"/>
              <w:jc w:val="left"/>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kern w:val="0"/>
                <w:sz w:val="24"/>
                <w:szCs w:val="24"/>
                <w:lang w:bidi="ar"/>
              </w:rPr>
              <w:t>为解决南园区污水出路，第七师胡杨河经济技术开发区管委会委托开展了南园区中水综合利用项目。目前已建成除盐设施一座，采用预处理+反渗透除盐工艺，反渗透进水水量500m</w:t>
            </w:r>
            <w:r>
              <w:rPr>
                <w:rFonts w:hint="default" w:ascii="Times New Roman" w:hAnsi="Times New Roman" w:eastAsia="宋体" w:cs="Times New Roman"/>
                <w:kern w:val="0"/>
                <w:sz w:val="24"/>
                <w:szCs w:val="24"/>
                <w:vertAlign w:val="superscript"/>
                <w:lang w:bidi="ar"/>
              </w:rPr>
              <w:t>3</w:t>
            </w:r>
            <w:r>
              <w:rPr>
                <w:rFonts w:hint="default" w:ascii="Times New Roman" w:hAnsi="Times New Roman" w:eastAsia="宋体" w:cs="Times New Roman"/>
                <w:kern w:val="0"/>
                <w:sz w:val="24"/>
                <w:szCs w:val="24"/>
                <w:lang w:bidi="ar"/>
              </w:rPr>
              <w:t xml:space="preserve"> /h，出水混合一部分库内存水用于耐盐碱植被灌溉，每日消耗库内存水规模为10000m</w:t>
            </w:r>
            <w:r>
              <w:rPr>
                <w:rFonts w:hint="default" w:ascii="Times New Roman" w:hAnsi="Times New Roman" w:eastAsia="宋体" w:cs="Times New Roman"/>
                <w:kern w:val="0"/>
                <w:sz w:val="24"/>
                <w:szCs w:val="24"/>
                <w:vertAlign w:val="superscript"/>
                <w:lang w:bidi="ar"/>
              </w:rPr>
              <w:t>3</w:t>
            </w:r>
            <w:r>
              <w:rPr>
                <w:rFonts w:hint="default" w:ascii="Times New Roman" w:hAnsi="Times New Roman" w:eastAsia="宋体" w:cs="Times New Roman"/>
                <w:kern w:val="0"/>
                <w:sz w:val="24"/>
                <w:szCs w:val="24"/>
                <w:lang w:bidi="ar"/>
              </w:rPr>
              <w:t>；种植耐盐碱植被5000亩，配套建设约9km 绿化用水主干管。</w:t>
            </w:r>
            <w:r>
              <w:rPr>
                <w:rFonts w:hint="default" w:ascii="Times New Roman" w:hAnsi="Times New Roman" w:eastAsia="宋体" w:cs="Times New Roman"/>
                <w:sz w:val="24"/>
                <w:szCs w:val="24"/>
              </w:rPr>
              <w:t>胡杨河经济技术开发区污水处理厂接纳污水水质标准为行业预处理标准或《污水综合排放标准》（GB8978-1996）三级标准，一类污染物必须满足企业车间排放要求，才可排入园区污水管道送入污水处理厂。</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sz w:val="24"/>
                <w:szCs w:val="24"/>
              </w:rPr>
              <w:t>根据调查，园区污水处理厂出水稳定达标。目前园区排水管网已铺设至项目厂区。</w:t>
            </w:r>
            <w:r>
              <w:rPr>
                <w:rFonts w:hint="default" w:ascii="Times New Roman" w:hAnsi="Times New Roman" w:eastAsia="宋体" w:cs="Times New Roman"/>
                <w:bCs/>
                <w:color w:val="000000" w:themeColor="text1"/>
                <w:sz w:val="24"/>
                <w:szCs w:val="24"/>
                <w14:textFill>
                  <w14:solidFill>
                    <w14:schemeClr w14:val="tx1"/>
                  </w14:solidFill>
                </w14:textFill>
              </w:rPr>
              <w:t>本项目生活污水产生量</w:t>
            </w:r>
            <w:r>
              <w:rPr>
                <w:rFonts w:hint="default" w:ascii="Times New Roman" w:hAnsi="Times New Roman" w:eastAsia="宋体" w:cs="Times New Roman"/>
                <w:bCs/>
                <w:color w:val="000000" w:themeColor="text1"/>
                <w:sz w:val="24"/>
                <w14:textFill>
                  <w14:solidFill>
                    <w14:schemeClr w14:val="tx1"/>
                  </w14:solidFill>
                </w14:textFill>
              </w:rPr>
              <w:t>约为</w:t>
            </w:r>
            <w:r>
              <w:rPr>
                <w:rFonts w:hint="default" w:ascii="Times New Roman" w:hAnsi="Times New Roman" w:cs="Times New Roman"/>
                <w:color w:val="000000" w:themeColor="text1"/>
                <w:sz w:val="24"/>
                <w:szCs w:val="24"/>
                <w:lang w:val="en-US" w:eastAsia="zh-CN"/>
                <w14:textFill>
                  <w14:solidFill>
                    <w14:schemeClr w14:val="tx1"/>
                  </w14:solidFill>
                </w14:textFill>
              </w:rPr>
              <w:t>10.8</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pacing w:val="-8"/>
                <w:sz w:val="24"/>
                <w:szCs w:val="24"/>
                <w:lang w:val="en-US" w:eastAsia="zh-CN"/>
                <w14:textFill>
                  <w14:solidFill>
                    <w14:schemeClr w14:val="tx1"/>
                  </w14:solidFill>
                </w14:textFill>
              </w:rPr>
              <w:t>3240</w:t>
            </w:r>
            <w:r>
              <w:rPr>
                <w:rFonts w:hint="default" w:ascii="Times New Roman" w:hAnsi="Times New Roman" w:cs="Times New Roman"/>
                <w:color w:val="000000" w:themeColor="text1"/>
                <w:spacing w:val="-8"/>
                <w:sz w:val="24"/>
                <w:szCs w:val="24"/>
                <w14:textFill>
                  <w14:solidFill>
                    <w14:schemeClr w14:val="tx1"/>
                  </w14:solidFill>
                </w14:textFill>
              </w:rPr>
              <w:t>m</w:t>
            </w:r>
            <w:r>
              <w:rPr>
                <w:rFonts w:hint="default" w:ascii="Times New Roman" w:hAnsi="Times New Roman" w:cs="Times New Roman"/>
                <w:color w:val="000000" w:themeColor="text1"/>
                <w:spacing w:val="-8"/>
                <w:sz w:val="24"/>
                <w:szCs w:val="24"/>
                <w:vertAlign w:val="superscript"/>
                <w14:textFill>
                  <w14:solidFill>
                    <w14:schemeClr w14:val="tx1"/>
                  </w14:solidFill>
                </w14:textFill>
              </w:rPr>
              <w:t>3</w:t>
            </w:r>
            <w:r>
              <w:rPr>
                <w:rFonts w:hint="default" w:ascii="Times New Roman" w:hAnsi="Times New Roman" w:cs="Times New Roman"/>
                <w:color w:val="000000" w:themeColor="text1"/>
                <w:spacing w:val="-8"/>
                <w:sz w:val="24"/>
                <w:szCs w:val="24"/>
                <w14:textFill>
                  <w14:solidFill>
                    <w14:schemeClr w14:val="tx1"/>
                  </w14:solidFill>
                </w14:textFill>
              </w:rPr>
              <w:t xml:space="preserve">/a </w:t>
            </w:r>
            <w:r>
              <w:rPr>
                <w:rFonts w:hint="default" w:ascii="Times New Roman" w:hAnsi="Times New Roman" w:eastAsia="宋体" w:cs="Times New Roman"/>
                <w:bCs/>
                <w:color w:val="000000" w:themeColor="text1"/>
                <w:sz w:val="24"/>
                <w14:textFill>
                  <w14:solidFill>
                    <w14:schemeClr w14:val="tx1"/>
                  </w14:solidFill>
                </w14:textFill>
              </w:rPr>
              <w:t>，相对于污水处理厂的处理能力所占比较很小，可满足本项目需求。</w:t>
            </w:r>
          </w:p>
          <w:p>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14:textFill>
                  <w14:solidFill>
                    <w14:schemeClr w14:val="tx1"/>
                  </w14:solidFill>
                </w14:textFill>
              </w:rPr>
              <w:t>2.</w:t>
            </w:r>
            <w:r>
              <w:rPr>
                <w:rFonts w:hint="eastAsia" w:ascii="宋体" w:hAnsi="宋体" w:eastAsia="宋体" w:cs="宋体"/>
                <w:b/>
                <w:color w:val="000000" w:themeColor="text1"/>
                <w:kern w:val="0"/>
                <w:sz w:val="24"/>
                <w:lang w:val="en-US" w:eastAsia="zh-CN"/>
                <w14:textFill>
                  <w14:solidFill>
                    <w14:schemeClr w14:val="tx1"/>
                  </w14:solidFill>
                </w14:textFill>
              </w:rPr>
              <w:t>5</w:t>
            </w:r>
            <w:r>
              <w:rPr>
                <w:rFonts w:hint="eastAsia" w:ascii="宋体" w:hAnsi="宋体" w:eastAsia="宋体" w:cs="宋体"/>
                <w:b/>
                <w:color w:val="000000" w:themeColor="text1"/>
                <w:kern w:val="0"/>
                <w:sz w:val="24"/>
                <w14:textFill>
                  <w14:solidFill>
                    <w14:schemeClr w14:val="tx1"/>
                  </w14:solidFill>
                </w14:textFill>
              </w:rPr>
              <w:t>监测计划</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本项目的</w:t>
            </w:r>
            <w:r>
              <w:rPr>
                <w:rFonts w:hint="default" w:ascii="Times New Roman" w:hAnsi="Times New Roman" w:eastAsia="宋体" w:cs="Times New Roman"/>
                <w:bCs/>
                <w:color w:val="000000" w:themeColor="text1"/>
                <w:sz w:val="24"/>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14:textFill>
                  <w14:solidFill>
                    <w14:schemeClr w14:val="tx1"/>
                  </w14:solidFill>
                </w14:textFill>
              </w:rPr>
              <w:t>废水不外排，</w:t>
            </w:r>
            <w:r>
              <w:rPr>
                <w:rFonts w:hint="default" w:ascii="Times New Roman" w:hAnsi="Times New Roman" w:eastAsia="宋体" w:cs="Times New Roman"/>
                <w:bCs/>
                <w:color w:val="000000" w:themeColor="text1"/>
                <w:sz w:val="24"/>
                <w:lang w:val="en-US" w:eastAsia="zh-CN"/>
                <w14:textFill>
                  <w14:solidFill>
                    <w14:schemeClr w14:val="tx1"/>
                  </w14:solidFill>
                </w14:textFill>
              </w:rPr>
              <w:t>生活废水排入市政污水管网后进入园区污水处理厂处理</w:t>
            </w:r>
            <w:r>
              <w:rPr>
                <w:rFonts w:hint="default" w:ascii="Times New Roman" w:hAnsi="Times New Roman" w:eastAsia="宋体" w:cs="Times New Roman"/>
                <w:bCs/>
                <w:color w:val="000000" w:themeColor="text1"/>
                <w:sz w:val="24"/>
                <w14:textFill>
                  <w14:solidFill>
                    <w14:schemeClr w14:val="tx1"/>
                  </w14:solidFill>
                </w14:textFill>
              </w:rPr>
              <w:t>，排放类型为间接排放，不设置废水监测计划。</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14:textFill>
                  <w14:solidFill>
                    <w14:schemeClr w14:val="tx1"/>
                  </w14:solidFill>
                </w14:textFill>
              </w:rPr>
              <w:t>3、噪声</w:t>
            </w:r>
          </w:p>
          <w:p>
            <w:pPr>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3.1噪声源强</w:t>
            </w:r>
          </w:p>
          <w:p>
            <w:pPr>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000000" w:themeColor="text1"/>
                <w:kern w:val="24"/>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本项目运营期噪声主要为</w:t>
            </w:r>
            <w:r>
              <w:rPr>
                <w:rFonts w:hint="default" w:ascii="Times New Roman" w:hAnsi="Times New Roman" w:eastAsia="宋体" w:cs="Times New Roman"/>
                <w:bCs/>
                <w:color w:val="000000" w:themeColor="text1"/>
                <w:sz w:val="24"/>
                <w:lang w:val="en-US" w:eastAsia="zh-CN"/>
                <w14:textFill>
                  <w14:solidFill>
                    <w14:schemeClr w14:val="tx1"/>
                  </w14:solidFill>
                </w14:textFill>
              </w:rPr>
              <w:t>拌合机、离心机、喂料生产线、装载机、锅炉</w:t>
            </w:r>
            <w:r>
              <w:rPr>
                <w:rFonts w:hint="default" w:ascii="Times New Roman" w:hAnsi="Times New Roman" w:eastAsia="宋体" w:cs="Times New Roman"/>
                <w:bCs/>
                <w:color w:val="000000" w:themeColor="text1"/>
                <w:sz w:val="24"/>
                <w14:textFill>
                  <w14:solidFill>
                    <w14:schemeClr w14:val="tx1"/>
                  </w14:solidFill>
                </w14:textFill>
              </w:rPr>
              <w:t>等设备</w:t>
            </w:r>
            <w:r>
              <w:rPr>
                <w:rFonts w:hint="default" w:ascii="Times New Roman" w:hAnsi="Times New Roman" w:eastAsia="宋体" w:cs="Times New Roman"/>
                <w:color w:val="000000" w:themeColor="text1"/>
                <w:sz w:val="24"/>
                <w14:textFill>
                  <w14:solidFill>
                    <w14:schemeClr w14:val="tx1"/>
                  </w14:solidFill>
                </w14:textFill>
              </w:rPr>
              <w:t>产生的噪声，24h持续排放。</w:t>
            </w:r>
            <w:r>
              <w:rPr>
                <w:rFonts w:hint="default" w:ascii="Times New Roman" w:hAnsi="Times New Roman" w:eastAsia="宋体" w:cs="Times New Roman"/>
                <w:bCs/>
                <w:color w:val="000000" w:themeColor="text1"/>
                <w:sz w:val="24"/>
                <w14:textFill>
                  <w14:solidFill>
                    <w14:schemeClr w14:val="tx1"/>
                  </w14:solidFill>
                </w14:textFill>
              </w:rPr>
              <w:t>根据类比调查，噪声级一般在</w:t>
            </w:r>
            <w:r>
              <w:rPr>
                <w:rFonts w:hint="default" w:ascii="Times New Roman" w:hAnsi="Times New Roman" w:eastAsia="宋体" w:cs="Times New Roman"/>
                <w:color w:val="000000" w:themeColor="text1"/>
                <w:sz w:val="24"/>
                <w14:textFill>
                  <w14:solidFill>
                    <w14:schemeClr w14:val="tx1"/>
                  </w14:solidFill>
                </w14:textFill>
              </w:rPr>
              <w:t>75~</w:t>
            </w:r>
            <w:r>
              <w:rPr>
                <w:rFonts w:hint="default" w:ascii="Times New Roman" w:hAnsi="Times New Roman" w:eastAsia="宋体" w:cs="Times New Roman"/>
                <w:color w:val="000000" w:themeColor="text1"/>
                <w:sz w:val="24"/>
                <w:lang w:val="en-US" w:eastAsia="zh-CN"/>
                <w14:textFill>
                  <w14:solidFill>
                    <w14:schemeClr w14:val="tx1"/>
                  </w14:solidFill>
                </w14:textFill>
              </w:rPr>
              <w:t>90</w:t>
            </w:r>
            <w:r>
              <w:rPr>
                <w:rFonts w:hint="default" w:ascii="Times New Roman" w:hAnsi="Times New Roman" w:eastAsia="宋体" w:cs="Times New Roman"/>
                <w:color w:val="000000" w:themeColor="text1"/>
                <w:sz w:val="24"/>
                <w14:textFill>
                  <w14:solidFill>
                    <w14:schemeClr w14:val="tx1"/>
                  </w14:solidFill>
                </w14:textFill>
              </w:rPr>
              <w:t>dB（A）</w:t>
            </w:r>
            <w:r>
              <w:rPr>
                <w:rFonts w:hint="default" w:ascii="Times New Roman" w:hAnsi="Times New Roman" w:eastAsia="宋体" w:cs="Times New Roman"/>
                <w:bCs/>
                <w:color w:val="000000" w:themeColor="text1"/>
                <w:sz w:val="24"/>
                <w14:textFill>
                  <w14:solidFill>
                    <w14:schemeClr w14:val="tx1"/>
                  </w14:solidFill>
                </w14:textFill>
              </w:rPr>
              <w:t>之间，通过</w:t>
            </w:r>
            <w:r>
              <w:rPr>
                <w:rFonts w:hint="default" w:ascii="Times New Roman" w:hAnsi="Times New Roman" w:eastAsia="宋体" w:cs="Times New Roman"/>
                <w:color w:val="000000" w:themeColor="text1"/>
                <w:kern w:val="24"/>
                <w:sz w:val="24"/>
                <w14:textFill>
                  <w14:solidFill>
                    <w14:schemeClr w14:val="tx1"/>
                  </w14:solidFill>
                </w14:textFill>
              </w:rPr>
              <w:t>选用低噪声设备，隔声、减振安装后能够有效降低噪声影响。经模型估算，墙体隔声量约30dB(A)。</w:t>
            </w:r>
          </w:p>
          <w:p>
            <w:pPr>
              <w:pStyle w:val="87"/>
              <w:spacing w:line="400" w:lineRule="exact"/>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表4-1</w:t>
            </w:r>
            <w:r>
              <w:rPr>
                <w:rFonts w:hint="default" w:ascii="Times New Roman" w:hAnsi="Times New Roman" w:eastAsia="宋体" w:cs="Times New Roman"/>
                <w:b/>
                <w:color w:val="000000" w:themeColor="text1"/>
                <w:lang w:val="en-US" w:eastAsia="zh-CN"/>
                <w14:textFill>
                  <w14:solidFill>
                    <w14:schemeClr w14:val="tx1"/>
                  </w14:solidFill>
                </w14:textFill>
              </w:rPr>
              <w:t>1</w:t>
            </w:r>
            <w:r>
              <w:rPr>
                <w:rFonts w:hint="default" w:ascii="Times New Roman" w:hAnsi="Times New Roman" w:eastAsia="宋体" w:cs="Times New Roman"/>
                <w:b/>
                <w:color w:val="000000" w:themeColor="text1"/>
                <w14:textFill>
                  <w14:solidFill>
                    <w14:schemeClr w14:val="tx1"/>
                  </w14:solidFill>
                </w14:textFill>
              </w:rPr>
              <w:t xml:space="preserve">  噪声污染源强一览表</w:t>
            </w:r>
          </w:p>
          <w:tbl>
            <w:tblPr>
              <w:tblStyle w:val="24"/>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105"/>
              <w:gridCol w:w="1709"/>
              <w:gridCol w:w="772"/>
              <w:gridCol w:w="1228"/>
              <w:gridCol w:w="1031"/>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restart"/>
                  <w:shd w:val="clear" w:color="auto" w:fill="auto"/>
                  <w:vAlign w:val="center"/>
                </w:tcPr>
                <w:p>
                  <w:pPr>
                    <w:spacing w:line="26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序号</w:t>
                  </w:r>
                </w:p>
              </w:tc>
              <w:tc>
                <w:tcPr>
                  <w:tcW w:w="714" w:type="pct"/>
                  <w:vMerge w:val="restart"/>
                  <w:shd w:val="clear" w:color="auto" w:fill="auto"/>
                  <w:vAlign w:val="center"/>
                </w:tcPr>
                <w:p>
                  <w:pPr>
                    <w:spacing w:line="26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噪声源</w:t>
                  </w:r>
                </w:p>
              </w:tc>
              <w:tc>
                <w:tcPr>
                  <w:tcW w:w="1105" w:type="pct"/>
                  <w:vMerge w:val="restart"/>
                  <w:shd w:val="clear" w:color="auto" w:fill="auto"/>
                  <w:vAlign w:val="center"/>
                </w:tcPr>
                <w:p>
                  <w:pPr>
                    <w:spacing w:line="26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单台/套源强</w:t>
                  </w:r>
                </w:p>
                <w:p>
                  <w:pPr>
                    <w:spacing w:line="26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(dB(A))</w:t>
                  </w:r>
                </w:p>
              </w:tc>
              <w:tc>
                <w:tcPr>
                  <w:tcW w:w="499" w:type="pct"/>
                  <w:vMerge w:val="restart"/>
                  <w:shd w:val="clear" w:color="auto" w:fill="auto"/>
                  <w:vAlign w:val="center"/>
                </w:tcPr>
                <w:p>
                  <w:pPr>
                    <w:spacing w:line="26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数量</w:t>
                  </w:r>
                </w:p>
                <w:p>
                  <w:pPr>
                    <w:spacing w:line="26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(台/套)</w:t>
                  </w:r>
                </w:p>
              </w:tc>
              <w:tc>
                <w:tcPr>
                  <w:tcW w:w="2363" w:type="pct"/>
                  <w:gridSpan w:val="3"/>
                  <w:shd w:val="clear" w:color="auto" w:fill="auto"/>
                  <w:vAlign w:val="center"/>
                </w:tcPr>
                <w:p>
                  <w:pPr>
                    <w:spacing w:line="26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声级值（dB(A)）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shd w:val="clear" w:color="auto" w:fill="auto"/>
                  <w:vAlign w:val="center"/>
                </w:tcPr>
                <w:p>
                  <w:pPr>
                    <w:rPr>
                      <w:rFonts w:hint="default" w:ascii="Times New Roman" w:hAnsi="Times New Roman" w:eastAsia="宋体" w:cs="Times New Roman"/>
                      <w:color w:val="000000" w:themeColor="text1"/>
                      <w:szCs w:val="21"/>
                      <w14:textFill>
                        <w14:solidFill>
                          <w14:schemeClr w14:val="tx1"/>
                        </w14:solidFill>
                      </w14:textFill>
                    </w:rPr>
                  </w:pPr>
                </w:p>
              </w:tc>
              <w:tc>
                <w:tcPr>
                  <w:tcW w:w="714" w:type="pct"/>
                  <w:vMerge w:val="continue"/>
                  <w:shd w:val="clear" w:color="auto" w:fill="auto"/>
                  <w:vAlign w:val="center"/>
                </w:tcPr>
                <w:p>
                  <w:pPr>
                    <w:rPr>
                      <w:rFonts w:hint="default" w:ascii="Times New Roman" w:hAnsi="Times New Roman" w:eastAsia="宋体" w:cs="Times New Roman"/>
                      <w:color w:val="000000" w:themeColor="text1"/>
                      <w:szCs w:val="21"/>
                      <w14:textFill>
                        <w14:solidFill>
                          <w14:schemeClr w14:val="tx1"/>
                        </w14:solidFill>
                      </w14:textFill>
                    </w:rPr>
                  </w:pPr>
                </w:p>
              </w:tc>
              <w:tc>
                <w:tcPr>
                  <w:tcW w:w="1105" w:type="pct"/>
                  <w:vMerge w:val="continue"/>
                  <w:shd w:val="clear" w:color="auto" w:fill="auto"/>
                  <w:vAlign w:val="center"/>
                </w:tcPr>
                <w:p>
                  <w:pPr>
                    <w:rPr>
                      <w:rFonts w:hint="default" w:ascii="Times New Roman" w:hAnsi="Times New Roman" w:eastAsia="宋体" w:cs="Times New Roman"/>
                      <w:color w:val="000000" w:themeColor="text1"/>
                      <w:szCs w:val="21"/>
                      <w14:textFill>
                        <w14:solidFill>
                          <w14:schemeClr w14:val="tx1"/>
                        </w14:solidFill>
                      </w14:textFill>
                    </w:rPr>
                  </w:pPr>
                </w:p>
              </w:tc>
              <w:tc>
                <w:tcPr>
                  <w:tcW w:w="499" w:type="pct"/>
                  <w:vMerge w:val="continue"/>
                  <w:shd w:val="clear" w:color="auto" w:fill="auto"/>
                  <w:vAlign w:val="center"/>
                </w:tcPr>
                <w:p>
                  <w:pPr>
                    <w:rPr>
                      <w:rFonts w:hint="default" w:ascii="Times New Roman" w:hAnsi="Times New Roman" w:eastAsia="宋体" w:cs="Times New Roman"/>
                      <w:color w:val="000000" w:themeColor="text1"/>
                      <w:szCs w:val="21"/>
                      <w14:textFill>
                        <w14:solidFill>
                          <w14:schemeClr w14:val="tx1"/>
                        </w14:solidFill>
                      </w14:textFill>
                    </w:rPr>
                  </w:pPr>
                </w:p>
              </w:tc>
              <w:tc>
                <w:tcPr>
                  <w:tcW w:w="794" w:type="pct"/>
                  <w:shd w:val="clear" w:color="auto" w:fill="auto"/>
                  <w:vAlign w:val="center"/>
                </w:tcPr>
                <w:p>
                  <w:pPr>
                    <w:spacing w:line="26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降噪前(dB(A))</w:t>
                  </w:r>
                </w:p>
              </w:tc>
              <w:tc>
                <w:tcPr>
                  <w:tcW w:w="666" w:type="pct"/>
                  <w:shd w:val="clear" w:color="auto" w:fill="auto"/>
                  <w:vAlign w:val="center"/>
                </w:tcPr>
                <w:p>
                  <w:pPr>
                    <w:spacing w:line="260" w:lineRule="exact"/>
                    <w:jc w:val="center"/>
                    <w:rPr>
                      <w:rFonts w:hint="default" w:ascii="Times New Roman" w:hAnsi="Times New Roman" w:eastAsia="宋体" w:cs="Times New Roman"/>
                      <w:b/>
                      <w:color w:val="000000" w:themeColor="text1"/>
                      <w:szCs w:val="21"/>
                      <w:lang w:bidi="ar"/>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降噪</w:t>
                  </w:r>
                </w:p>
                <w:p>
                  <w:pPr>
                    <w:spacing w:line="26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措施</w:t>
                  </w:r>
                </w:p>
              </w:tc>
              <w:tc>
                <w:tcPr>
                  <w:tcW w:w="902" w:type="pct"/>
                  <w:shd w:val="clear" w:color="auto" w:fill="auto"/>
                  <w:vAlign w:val="center"/>
                </w:tcPr>
                <w:p>
                  <w:pPr>
                    <w:spacing w:line="260" w:lineRule="exac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降噪后(dB(A))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1</w:t>
                  </w:r>
                </w:p>
              </w:tc>
              <w:tc>
                <w:tcPr>
                  <w:tcW w:w="714" w:type="pct"/>
                  <w:shd w:val="clear" w:color="auto" w:fill="auto"/>
                  <w:vAlign w:val="center"/>
                </w:tcPr>
                <w:p>
                  <w:pPr>
                    <w:pStyle w:val="100"/>
                    <w:spacing w:line="240" w:lineRule="atLeast"/>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拌合机</w:t>
                  </w:r>
                </w:p>
              </w:tc>
              <w:tc>
                <w:tcPr>
                  <w:tcW w:w="1105" w:type="pct"/>
                  <w:shd w:val="clear" w:color="auto" w:fill="auto"/>
                  <w:vAlign w:val="center"/>
                </w:tcPr>
                <w:p>
                  <w:pPr>
                    <w:pStyle w:val="100"/>
                    <w:spacing w:line="240" w:lineRule="atLeast"/>
                    <w:jc w:val="cente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90</w:t>
                  </w:r>
                </w:p>
              </w:tc>
              <w:tc>
                <w:tcPr>
                  <w:tcW w:w="499"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79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90</w:t>
                  </w:r>
                </w:p>
              </w:tc>
              <w:tc>
                <w:tcPr>
                  <w:tcW w:w="666" w:type="pct"/>
                  <w:vMerge w:val="restart"/>
                  <w:shd w:val="clear" w:color="auto" w:fill="auto"/>
                  <w:vAlign w:val="center"/>
                </w:tcPr>
                <w:p>
                  <w:pPr>
                    <w:pStyle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选用低噪声设备、</w:t>
                  </w:r>
                  <w:r>
                    <w:rPr>
                      <w:rFonts w:hint="default" w:ascii="Times New Roman" w:hAnsi="Times New Roman" w:eastAsia="宋体" w:cs="Times New Roman"/>
                      <w:color w:val="000000" w:themeColor="text1"/>
                      <w:sz w:val="21"/>
                      <w:szCs w:val="21"/>
                      <w:lang w:bidi="ar"/>
                      <w14:textFill>
                        <w14:solidFill>
                          <w14:schemeClr w14:val="tx1"/>
                        </w14:solidFill>
                      </w14:textFill>
                    </w:rPr>
                    <w:t>基础减振、厂房隔声、合理</w:t>
                  </w:r>
                  <w:r>
                    <w:rPr>
                      <w:rFonts w:hint="default" w:ascii="Times New Roman" w:hAnsi="Times New Roman" w:eastAsia="宋体" w:cs="Times New Roman"/>
                      <w:color w:val="000000" w:themeColor="text1"/>
                      <w:sz w:val="21"/>
                      <w:szCs w:val="21"/>
                      <w14:textFill>
                        <w14:solidFill>
                          <w14:schemeClr w14:val="tx1"/>
                        </w14:solidFill>
                      </w14:textFill>
                    </w:rPr>
                    <w:t>布局、绿化等</w:t>
                  </w:r>
                </w:p>
              </w:tc>
              <w:tc>
                <w:tcPr>
                  <w:tcW w:w="902"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17"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2</w:t>
                  </w:r>
                </w:p>
              </w:tc>
              <w:tc>
                <w:tcPr>
                  <w:tcW w:w="714" w:type="pct"/>
                  <w:shd w:val="clear" w:color="auto" w:fill="auto"/>
                  <w:vAlign w:val="center"/>
                </w:tcPr>
                <w:p>
                  <w:pPr>
                    <w:pStyle w:val="100"/>
                    <w:spacing w:line="240" w:lineRule="atLeast"/>
                    <w:jc w:val="cente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离心机</w:t>
                  </w:r>
                </w:p>
              </w:tc>
              <w:tc>
                <w:tcPr>
                  <w:tcW w:w="1105" w:type="pct"/>
                  <w:shd w:val="clear" w:color="auto" w:fill="auto"/>
                  <w:vAlign w:val="center"/>
                </w:tcPr>
                <w:p>
                  <w:pPr>
                    <w:pStyle w:val="100"/>
                    <w:spacing w:line="240" w:lineRule="atLeast"/>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80</w:t>
                  </w:r>
                </w:p>
              </w:tc>
              <w:tc>
                <w:tcPr>
                  <w:tcW w:w="499"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w:t>
                  </w:r>
                </w:p>
              </w:tc>
              <w:tc>
                <w:tcPr>
                  <w:tcW w:w="794"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83</w:t>
                  </w:r>
                </w:p>
              </w:tc>
              <w:tc>
                <w:tcPr>
                  <w:tcW w:w="666" w:type="pct"/>
                  <w:vMerge w:val="continue"/>
                  <w:shd w:val="clear" w:color="auto" w:fill="auto"/>
                  <w:vAlign w:val="center"/>
                </w:tcPr>
                <w:p>
                  <w:pPr>
                    <w:rPr>
                      <w:rFonts w:hint="default" w:ascii="Times New Roman" w:hAnsi="Times New Roman" w:eastAsia="宋体" w:cs="Times New Roman"/>
                      <w:color w:val="000000" w:themeColor="text1"/>
                      <w:szCs w:val="21"/>
                      <w14:textFill>
                        <w14:solidFill>
                          <w14:schemeClr w14:val="tx1"/>
                        </w14:solidFill>
                      </w14:textFill>
                    </w:rPr>
                  </w:pPr>
                </w:p>
              </w:tc>
              <w:tc>
                <w:tcPr>
                  <w:tcW w:w="902" w:type="pct"/>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17"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3</w:t>
                  </w:r>
                </w:p>
              </w:tc>
              <w:tc>
                <w:tcPr>
                  <w:tcW w:w="714" w:type="pct"/>
                  <w:shd w:val="clear" w:color="auto" w:fill="auto"/>
                  <w:vAlign w:val="center"/>
                </w:tcPr>
                <w:p>
                  <w:pPr>
                    <w:pStyle w:val="100"/>
                    <w:spacing w:line="240" w:lineRule="atLeast"/>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锅炉</w:t>
                  </w:r>
                </w:p>
              </w:tc>
              <w:tc>
                <w:tcPr>
                  <w:tcW w:w="1105" w:type="pct"/>
                  <w:shd w:val="clear" w:color="auto" w:fill="auto"/>
                  <w:vAlign w:val="center"/>
                </w:tcPr>
                <w:p>
                  <w:pPr>
                    <w:pStyle w:val="100"/>
                    <w:spacing w:line="240" w:lineRule="atLeast"/>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75</w:t>
                  </w:r>
                </w:p>
              </w:tc>
              <w:tc>
                <w:tcPr>
                  <w:tcW w:w="499"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794"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75</w:t>
                  </w:r>
                </w:p>
              </w:tc>
              <w:tc>
                <w:tcPr>
                  <w:tcW w:w="666" w:type="pct"/>
                  <w:vMerge w:val="continue"/>
                  <w:shd w:val="clear" w:color="auto" w:fill="auto"/>
                  <w:vAlign w:val="center"/>
                </w:tcPr>
                <w:p>
                  <w:pPr>
                    <w:rPr>
                      <w:rFonts w:hint="default" w:ascii="Times New Roman" w:hAnsi="Times New Roman" w:eastAsia="宋体" w:cs="Times New Roman"/>
                      <w:color w:val="000000" w:themeColor="text1"/>
                      <w:szCs w:val="21"/>
                      <w14:textFill>
                        <w14:solidFill>
                          <w14:schemeClr w14:val="tx1"/>
                        </w14:solidFill>
                      </w14:textFill>
                    </w:rPr>
                  </w:pPr>
                </w:p>
              </w:tc>
              <w:tc>
                <w:tcPr>
                  <w:tcW w:w="902"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17"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4</w:t>
                  </w:r>
                </w:p>
              </w:tc>
              <w:tc>
                <w:tcPr>
                  <w:tcW w:w="714" w:type="pct"/>
                  <w:shd w:val="clear" w:color="auto" w:fill="auto"/>
                  <w:vAlign w:val="center"/>
                </w:tcPr>
                <w:p>
                  <w:pPr>
                    <w:pStyle w:val="100"/>
                    <w:spacing w:line="240" w:lineRule="atLeast"/>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喂料生产线</w:t>
                  </w:r>
                </w:p>
              </w:tc>
              <w:tc>
                <w:tcPr>
                  <w:tcW w:w="1105" w:type="pct"/>
                  <w:shd w:val="clear" w:color="auto" w:fill="auto"/>
                  <w:vAlign w:val="center"/>
                </w:tcPr>
                <w:p>
                  <w:pPr>
                    <w:pStyle w:val="100"/>
                    <w:spacing w:line="240" w:lineRule="atLeast"/>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80</w:t>
                  </w:r>
                </w:p>
              </w:tc>
              <w:tc>
                <w:tcPr>
                  <w:tcW w:w="499"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p>
              </w:tc>
              <w:tc>
                <w:tcPr>
                  <w:tcW w:w="794"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83</w:t>
                  </w:r>
                </w:p>
              </w:tc>
              <w:tc>
                <w:tcPr>
                  <w:tcW w:w="666" w:type="pct"/>
                  <w:vMerge w:val="continue"/>
                  <w:shd w:val="clear" w:color="auto" w:fill="auto"/>
                  <w:vAlign w:val="center"/>
                </w:tcPr>
                <w:p>
                  <w:pPr>
                    <w:rPr>
                      <w:rFonts w:hint="default" w:ascii="Times New Roman" w:hAnsi="Times New Roman" w:eastAsia="宋体" w:cs="Times New Roman"/>
                      <w:color w:val="000000" w:themeColor="text1"/>
                      <w:szCs w:val="21"/>
                      <w14:textFill>
                        <w14:solidFill>
                          <w14:schemeClr w14:val="tx1"/>
                        </w14:solidFill>
                      </w14:textFill>
                    </w:rPr>
                  </w:pPr>
                </w:p>
              </w:tc>
              <w:tc>
                <w:tcPr>
                  <w:tcW w:w="902" w:type="pct"/>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17"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Cs w:val="21"/>
                      <w:lang w:val="en-US" w:eastAsia="zh-CN" w:bidi="ar"/>
                      <w14:textFill>
                        <w14:solidFill>
                          <w14:schemeClr w14:val="tx1"/>
                        </w14:solidFill>
                      </w14:textFill>
                    </w:rPr>
                    <w:t>5</w:t>
                  </w:r>
                </w:p>
              </w:tc>
              <w:tc>
                <w:tcPr>
                  <w:tcW w:w="714" w:type="pct"/>
                  <w:shd w:val="clear" w:color="auto" w:fill="auto"/>
                  <w:vAlign w:val="center"/>
                </w:tcPr>
                <w:p>
                  <w:pPr>
                    <w:pStyle w:val="100"/>
                    <w:spacing w:line="240" w:lineRule="atLeast"/>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装载机</w:t>
                  </w:r>
                </w:p>
              </w:tc>
              <w:tc>
                <w:tcPr>
                  <w:tcW w:w="1105" w:type="pct"/>
                  <w:shd w:val="clear" w:color="auto" w:fill="auto"/>
                  <w:vAlign w:val="center"/>
                </w:tcPr>
                <w:p>
                  <w:pPr>
                    <w:pStyle w:val="100"/>
                    <w:spacing w:line="240" w:lineRule="atLeast"/>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80</w:t>
                  </w:r>
                </w:p>
              </w:tc>
              <w:tc>
                <w:tcPr>
                  <w:tcW w:w="499" w:type="pct"/>
                  <w:shd w:val="clear" w:color="auto" w:fill="auto"/>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c>
                <w:tcPr>
                  <w:tcW w:w="79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80</w:t>
                  </w:r>
                </w:p>
              </w:tc>
              <w:tc>
                <w:tcPr>
                  <w:tcW w:w="666" w:type="pct"/>
                  <w:vMerge w:val="continue"/>
                  <w:shd w:val="clear" w:color="auto" w:fill="auto"/>
                  <w:vAlign w:val="center"/>
                </w:tcPr>
                <w:p>
                  <w:pPr>
                    <w:rPr>
                      <w:rFonts w:hint="default" w:ascii="Times New Roman" w:hAnsi="Times New Roman" w:eastAsia="宋体" w:cs="Times New Roman"/>
                      <w:color w:val="000000" w:themeColor="text1"/>
                      <w:szCs w:val="21"/>
                      <w14:textFill>
                        <w14:solidFill>
                          <w14:schemeClr w14:val="tx1"/>
                        </w14:solidFill>
                      </w14:textFill>
                    </w:rPr>
                  </w:pPr>
                </w:p>
              </w:tc>
              <w:tc>
                <w:tcPr>
                  <w:tcW w:w="902"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w:t>
                  </w:r>
                </w:p>
              </w:tc>
            </w:tr>
          </w:tbl>
          <w:p>
            <w:pPr>
              <w:spacing w:line="360" w:lineRule="auto"/>
              <w:ind w:firstLine="471"/>
              <w:rPr>
                <w:rFonts w:hint="default" w:ascii="Times New Roman" w:hAnsi="Times New Roman" w:eastAsia="宋体" w:cs="Times New Roman"/>
                <w:snapToGrid w:val="0"/>
                <w:color w:val="000000" w:themeColor="text1"/>
                <w:spacing w:val="-2"/>
                <w:kern w:val="0"/>
                <w:sz w:val="24"/>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4"/>
                <w14:textFill>
                  <w14:solidFill>
                    <w14:schemeClr w14:val="tx1"/>
                  </w14:solidFill>
                </w14:textFill>
              </w:rPr>
              <w:t>3.2噪声预测</w:t>
            </w:r>
          </w:p>
          <w:p>
            <w:pPr>
              <w:spacing w:line="360" w:lineRule="auto"/>
              <w:ind w:firstLine="471"/>
              <w:rPr>
                <w:rFonts w:hint="default" w:ascii="Times New Roman" w:hAnsi="Times New Roman" w:eastAsia="宋体" w:cs="Times New Roman"/>
                <w:snapToGrid w:val="0"/>
                <w:color w:val="000000" w:themeColor="text1"/>
                <w:spacing w:val="-2"/>
                <w:kern w:val="0"/>
                <w:sz w:val="24"/>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4"/>
                <w14:textFill>
                  <w14:solidFill>
                    <w14:schemeClr w14:val="tx1"/>
                  </w14:solidFill>
                </w14:textFill>
              </w:rPr>
              <w:t>根据拟建项目设备声源的特征和周围声学环境的特点，项目设备声源为室内声源，穿透墙体结构向户外扩散，依据《环境影响评价技术导则 声环境》（HJ2.4-2021）附录A、附录B中数学模型进行计算预测。</w:t>
            </w:r>
          </w:p>
          <w:p>
            <w:pPr>
              <w:spacing w:line="360" w:lineRule="auto"/>
              <w:ind w:firstLine="471"/>
              <w:rPr>
                <w:rFonts w:hint="default" w:ascii="Times New Roman" w:hAnsi="Times New Roman" w:eastAsia="宋体" w:cs="Times New Roman"/>
                <w:bCs/>
                <w:snapToGrid w:val="0"/>
                <w:color w:val="000000" w:themeColor="text1"/>
                <w:spacing w:val="-2"/>
                <w:kern w:val="0"/>
                <w:sz w:val="24"/>
                <w14:textFill>
                  <w14:solidFill>
                    <w14:schemeClr w14:val="tx1"/>
                  </w14:solidFill>
                </w14:textFill>
              </w:rPr>
            </w:pPr>
            <w:r>
              <w:rPr>
                <w:rFonts w:hint="default" w:ascii="Times New Roman" w:hAnsi="Times New Roman" w:eastAsia="宋体" w:cs="Times New Roman"/>
                <w:bCs/>
                <w:snapToGrid w:val="0"/>
                <w:color w:val="000000" w:themeColor="text1"/>
                <w:spacing w:val="-2"/>
                <w:kern w:val="0"/>
                <w:sz w:val="24"/>
                <w14:textFill>
                  <w14:solidFill>
                    <w14:schemeClr w14:val="tx1"/>
                  </w14:solidFill>
                </w14:textFill>
              </w:rPr>
              <w:t>（1）室内声源等效室外声源声功率级计算方法</w:t>
            </w:r>
          </w:p>
          <w:p>
            <w:pPr>
              <w:spacing w:line="360" w:lineRule="auto"/>
              <w:ind w:firstLine="471"/>
              <w:rPr>
                <w:rFonts w:hint="default" w:ascii="Times New Roman" w:hAnsi="Times New Roman" w:eastAsia="宋体" w:cs="Times New Roman"/>
                <w:snapToGrid w:val="0"/>
                <w:color w:val="000000" w:themeColor="text1"/>
                <w:spacing w:val="-2"/>
                <w:kern w:val="0"/>
                <w:sz w:val="24"/>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4"/>
                <w14:textFill>
                  <w14:solidFill>
                    <w14:schemeClr w14:val="tx1"/>
                  </w14:solidFill>
                </w14:textFill>
              </w:rPr>
              <w:t>室内声源</w:t>
            </w:r>
            <w:r>
              <w:rPr>
                <w:rFonts w:hint="default" w:ascii="Times New Roman" w:hAnsi="Times New Roman" w:eastAsia="宋体" w:cs="Times New Roman"/>
                <w:color w:val="000000" w:themeColor="text1"/>
                <w:spacing w:val="-2"/>
                <w:sz w:val="24"/>
                <w14:textFill>
                  <w14:solidFill>
                    <w14:schemeClr w14:val="tx1"/>
                  </w14:solidFill>
                </w14:textFill>
              </w:rPr>
              <w:t>选用等效室外声源声功率级法进行计算，具体室外L</w:t>
            </w:r>
            <w:r>
              <w:rPr>
                <w:rFonts w:hint="default" w:ascii="Times New Roman" w:hAnsi="Times New Roman" w:eastAsia="宋体" w:cs="Times New Roman"/>
                <w:color w:val="000000" w:themeColor="text1"/>
                <w:spacing w:val="-2"/>
                <w:sz w:val="24"/>
                <w:vertAlign w:val="subscript"/>
                <w14:textFill>
                  <w14:solidFill>
                    <w14:schemeClr w14:val="tx1"/>
                  </w14:solidFill>
                </w14:textFill>
              </w:rPr>
              <w:t>p2</w:t>
            </w:r>
            <w:r>
              <w:rPr>
                <w:rFonts w:hint="default" w:ascii="Times New Roman" w:hAnsi="Times New Roman" w:eastAsia="宋体" w:cs="Times New Roman"/>
                <w:color w:val="000000" w:themeColor="text1"/>
                <w:spacing w:val="-2"/>
                <w:sz w:val="24"/>
                <w14:textFill>
                  <w14:solidFill>
                    <w14:schemeClr w14:val="tx1"/>
                  </w14:solidFill>
                </w14:textFill>
              </w:rPr>
              <w:t xml:space="preserve">按下式计算： </w:t>
            </w:r>
          </w:p>
          <w:p>
            <w:pPr>
              <w:spacing w:line="360" w:lineRule="auto"/>
              <w:ind w:firstLine="480"/>
              <w:jc w:val="center"/>
              <w:rPr>
                <w:rFonts w:hint="default" w:ascii="Times New Roman" w:hAnsi="Times New Roman" w:eastAsia="宋体" w:cs="Times New Roman"/>
                <w:color w:val="000000" w:themeColor="text1"/>
                <w:position w:val="-30"/>
                <w14:textFill>
                  <w14:solidFill>
                    <w14:schemeClr w14:val="tx1"/>
                  </w14:solidFill>
                </w14:textFill>
              </w:rPr>
            </w:pPr>
            <w:r>
              <w:rPr>
                <w:rFonts w:hint="default" w:ascii="Times New Roman" w:hAnsi="Times New Roman" w:eastAsia="宋体" w:cs="Times New Roman"/>
                <w:color w:val="000000" w:themeColor="text1"/>
                <w:position w:val="-14"/>
                <w14:textFill>
                  <w14:solidFill>
                    <w14:schemeClr w14:val="tx1"/>
                  </w14:solidFill>
                </w14:textFill>
              </w:rPr>
              <w:object>
                <v:shape id="_x0000_i1025" o:spt="75" type="#_x0000_t75" style="height:21.45pt;width:100.55pt;" o:ole="t" filled="f" o:preferrelative="t" stroked="f" coordsize="21600,21600">
                  <v:path/>
                  <v:fill on="f" focussize="0,0"/>
                  <v:stroke on="f" joinstyle="miter"/>
                  <v:imagedata r:id="rId13" embosscolor="#FFFFFF" o:title=""/>
                  <o:lock v:ext="edit" aspectratio="t"/>
                  <w10:wrap type="none"/>
                  <w10:anchorlock/>
                </v:shape>
                <o:OLEObject Type="Embed" ProgID="Equation.3" ShapeID="_x0000_i1025" DrawAspect="Content" ObjectID="_1468075725" r:id="rId12">
                  <o:LockedField>false</o:LockedField>
                </o:OLEObject>
              </w:object>
            </w:r>
          </w:p>
          <w:p>
            <w:pPr>
              <w:spacing w:line="360" w:lineRule="auto"/>
              <w:ind w:firstLine="48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14:textFill>
                  <w14:solidFill>
                    <w14:schemeClr w14:val="tx1"/>
                  </w14:solidFill>
                </w14:textFill>
              </w:rPr>
              <w:t>p1</w:t>
            </w:r>
            <w:r>
              <w:rPr>
                <w:rFonts w:hint="default" w:ascii="Times New Roman" w:hAnsi="Times New Roman" w:eastAsia="宋体" w:cs="Times New Roman"/>
                <w:color w:val="000000" w:themeColor="text1"/>
                <w:sz w:val="24"/>
                <w14:textFill>
                  <w14:solidFill>
                    <w14:schemeClr w14:val="tx1"/>
                  </w14:solidFill>
                </w14:textFill>
              </w:rPr>
              <w:t>为室内靠近围护结构处产生的A声级：</w:t>
            </w:r>
          </w:p>
          <w:p>
            <w:pPr>
              <w:spacing w:line="360" w:lineRule="auto"/>
              <w:ind w:firstLine="480" w:firstLineChars="200"/>
              <w:jc w:val="center"/>
              <w:rPr>
                <w:rFonts w:hint="default" w:ascii="Times New Roman" w:hAnsi="Times New Roman" w:eastAsia="宋体" w:cs="Times New Roman"/>
                <w:bCs/>
                <w:color w:val="000000" w:themeColor="text1"/>
                <w:sz w:val="24"/>
                <w14:textFill>
                  <w14:solidFill>
                    <w14:schemeClr w14:val="tx1"/>
                  </w14:solidFill>
                </w14:textFill>
              </w:rPr>
            </w:pPr>
            <m:oMathPara>
              <m:oMath>
                <m:sSub>
                  <m:sSubPr>
                    <m:ctrlPr>
                      <w:rPr>
                        <w:rFonts w:hint="default" w:ascii="Cambria Math" w:hAnsi="Cambria Math" w:eastAsia="宋体" w:cs="Times New Roman"/>
                        <w:bCs/>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L</m:t>
                    </m:r>
                    <m:ctrlPr>
                      <w:rPr>
                        <w:rFonts w:hint="default" w:ascii="Cambria Math" w:hAnsi="Cambria Math" w:eastAsia="宋体" w:cs="Times New Roman"/>
                        <w:bCs/>
                        <w:i/>
                        <w:color w:val="000000" w:themeColor="text1"/>
                        <w:sz w:val="24"/>
                        <w14:textFill>
                          <w14:solidFill>
                            <w14:schemeClr w14:val="tx1"/>
                          </w14:solidFill>
                        </w14:textFill>
                      </w:rPr>
                    </m:ctrlPr>
                  </m:e>
                  <m:sub>
                    <m:r>
                      <m:rPr>
                        <m:sty m:val="p"/>
                      </m:rPr>
                      <w:rPr>
                        <w:rFonts w:hint="default" w:ascii="Cambria Math" w:hAnsi="Cambria Math" w:eastAsia="宋体" w:cs="Times New Roman"/>
                        <w:color w:val="000000" w:themeColor="text1"/>
                        <w:sz w:val="24"/>
                        <w14:textFill>
                          <w14:solidFill>
                            <w14:schemeClr w14:val="tx1"/>
                          </w14:solidFill>
                        </w14:textFill>
                      </w:rPr>
                      <m:t>p1</m:t>
                    </m:r>
                    <m:ctrlPr>
                      <w:rPr>
                        <w:rFonts w:hint="default" w:ascii="Cambria Math" w:hAnsi="Cambria Math" w:eastAsia="宋体" w:cs="Times New Roman"/>
                        <w:bCs/>
                        <w:i/>
                        <w:color w:val="000000" w:themeColor="text1"/>
                        <w:sz w:val="24"/>
                        <w14:textFill>
                          <w14:solidFill>
                            <w14:schemeClr w14:val="tx1"/>
                          </w14:solidFill>
                        </w14:textFill>
                      </w:rPr>
                    </m:ctrlPr>
                  </m:sub>
                </m:sSub>
                <m:r>
                  <m:rPr>
                    <m:sty m:val="p"/>
                  </m:rPr>
                  <w:rPr>
                    <w:rFonts w:hint="default" w:ascii="Cambria Math" w:hAnsi="Cambria Math" w:eastAsia="宋体" w:cs="Times New Roman"/>
                    <w:color w:val="000000" w:themeColor="text1"/>
                    <w:sz w:val="24"/>
                    <w14:textFill>
                      <w14:solidFill>
                        <w14:schemeClr w14:val="tx1"/>
                      </w14:solidFill>
                    </w14:textFill>
                  </w:rPr>
                  <m:t>=</m:t>
                </m:r>
                <m:sSub>
                  <m:sSubPr>
                    <m:ctrlPr>
                      <w:rPr>
                        <w:rFonts w:hint="default" w:ascii="Cambria Math" w:hAnsi="Cambria Math" w:eastAsia="宋体" w:cs="Times New Roman"/>
                        <w:bCs/>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L</m:t>
                    </m:r>
                    <m:ctrlPr>
                      <w:rPr>
                        <w:rFonts w:hint="default" w:ascii="Cambria Math" w:hAnsi="Cambria Math" w:eastAsia="宋体" w:cs="Times New Roman"/>
                        <w:bCs/>
                        <w:i/>
                        <w:color w:val="000000" w:themeColor="text1"/>
                        <w:sz w:val="24"/>
                        <w14:textFill>
                          <w14:solidFill>
                            <w14:schemeClr w14:val="tx1"/>
                          </w14:solidFill>
                        </w14:textFill>
                      </w:rPr>
                    </m:ctrlPr>
                  </m:e>
                  <m:sub>
                    <m:r>
                      <m:rPr>
                        <m:sty m:val="p"/>
                      </m:rPr>
                      <w:rPr>
                        <w:rFonts w:hint="default" w:ascii="Cambria Math" w:hAnsi="Cambria Math" w:eastAsia="宋体" w:cs="Times New Roman"/>
                        <w:color w:val="000000" w:themeColor="text1"/>
                        <w:sz w:val="24"/>
                        <w14:textFill>
                          <w14:solidFill>
                            <w14:schemeClr w14:val="tx1"/>
                          </w14:solidFill>
                        </w14:textFill>
                      </w:rPr>
                      <m:t>w</m:t>
                    </m:r>
                    <m:ctrlPr>
                      <w:rPr>
                        <w:rFonts w:hint="default" w:ascii="Cambria Math" w:hAnsi="Cambria Math" w:eastAsia="宋体" w:cs="Times New Roman"/>
                        <w:bCs/>
                        <w:i/>
                        <w:color w:val="000000" w:themeColor="text1"/>
                        <w:sz w:val="24"/>
                        <w14:textFill>
                          <w14:solidFill>
                            <w14:schemeClr w14:val="tx1"/>
                          </w14:solidFill>
                        </w14:textFill>
                      </w:rPr>
                    </m:ctrlPr>
                  </m:sub>
                </m:sSub>
                <m:r>
                  <m:rPr>
                    <m:sty m:val="p"/>
                  </m:rPr>
                  <w:rPr>
                    <w:rFonts w:hint="default" w:ascii="Cambria Math" w:hAnsi="Cambria Math" w:eastAsia="宋体" w:cs="Times New Roman"/>
                    <w:color w:val="000000" w:themeColor="text1"/>
                    <w:sz w:val="24"/>
                    <w14:textFill>
                      <w14:solidFill>
                        <w14:schemeClr w14:val="tx1"/>
                      </w14:solidFill>
                    </w14:textFill>
                  </w:rPr>
                  <m:t>+10lg</m:t>
                </m:r>
                <m:d>
                  <m:dPr>
                    <m:ctrlPr>
                      <w:rPr>
                        <w:rFonts w:hint="default" w:ascii="Cambria Math" w:hAnsi="Cambria Math" w:eastAsia="宋体" w:cs="Times New Roman"/>
                        <w:bCs/>
                        <w:color w:val="000000" w:themeColor="text1"/>
                        <w:sz w:val="24"/>
                        <w14:textFill>
                          <w14:solidFill>
                            <w14:schemeClr w14:val="tx1"/>
                          </w14:solidFill>
                        </w14:textFill>
                      </w:rPr>
                    </m:ctrlPr>
                  </m:dPr>
                  <m:e>
                    <m:f>
                      <m:fPr>
                        <m:ctrlPr>
                          <w:rPr>
                            <w:rFonts w:hint="default" w:ascii="Cambria Math" w:hAnsi="Cambria Math" w:eastAsia="宋体" w:cs="Times New Roman"/>
                            <w:bCs/>
                            <w:i/>
                            <w:color w:val="000000" w:themeColor="text1"/>
                            <w:sz w:val="24"/>
                            <w14:textFill>
                              <w14:solidFill>
                                <w14:schemeClr w14:val="tx1"/>
                              </w14:solidFill>
                            </w14:textFill>
                          </w:rPr>
                        </m:ctrlPr>
                      </m:fPr>
                      <m:num>
                        <m:r>
                          <m:rPr/>
                          <w:rPr>
                            <w:rFonts w:hint="default" w:ascii="Cambria Math" w:hAnsi="Cambria Math" w:eastAsia="宋体" w:cs="Times New Roman"/>
                            <w:color w:val="000000" w:themeColor="text1"/>
                            <w:sz w:val="24"/>
                            <w14:textFill>
                              <w14:solidFill>
                                <w14:schemeClr w14:val="tx1"/>
                              </w14:solidFill>
                            </w14:textFill>
                          </w:rPr>
                          <m:t>Q</m:t>
                        </m:r>
                        <m:ctrlPr>
                          <w:rPr>
                            <w:rFonts w:hint="default" w:ascii="Cambria Math" w:hAnsi="Cambria Math" w:eastAsia="宋体" w:cs="Times New Roman"/>
                            <w:bCs/>
                            <w:i/>
                            <w:color w:val="000000" w:themeColor="text1"/>
                            <w:sz w:val="24"/>
                            <w14:textFill>
                              <w14:solidFill>
                                <w14:schemeClr w14:val="tx1"/>
                              </w14:solidFill>
                            </w14:textFill>
                          </w:rPr>
                        </m:ctrlPr>
                      </m:num>
                      <m:den>
                        <m:r>
                          <m:rPr/>
                          <w:rPr>
                            <w:rFonts w:hint="default" w:ascii="Cambria Math" w:hAnsi="Cambria Math" w:eastAsia="宋体" w:cs="Times New Roman"/>
                            <w:color w:val="000000" w:themeColor="text1"/>
                            <w:sz w:val="24"/>
                            <w14:textFill>
                              <w14:solidFill>
                                <w14:schemeClr w14:val="tx1"/>
                              </w14:solidFill>
                            </w14:textFill>
                          </w:rPr>
                          <m:t>4π</m:t>
                        </m:r>
                        <m:sSup>
                          <m:sSupPr>
                            <m:ctrlPr>
                              <w:rPr>
                                <w:rFonts w:hint="default" w:ascii="Cambria Math" w:hAnsi="Cambria Math" w:eastAsia="宋体" w:cs="Times New Roman"/>
                                <w:color w:val="000000" w:themeColor="text1"/>
                                <w:sz w:val="24"/>
                                <w14:textFill>
                                  <w14:solidFill>
                                    <w14:schemeClr w14:val="tx1"/>
                                  </w14:solidFill>
                                </w14:textFill>
                              </w:rPr>
                            </m:ctrlPr>
                          </m:sSupPr>
                          <m:e>
                            <m:r>
                              <m:rPr/>
                              <w:rPr>
                                <w:rFonts w:hint="default" w:ascii="Cambria Math" w:hAnsi="Cambria Math" w:eastAsia="宋体" w:cs="Times New Roman"/>
                                <w:color w:val="000000" w:themeColor="text1"/>
                                <w:sz w:val="24"/>
                                <w14:textFill>
                                  <w14:solidFill>
                                    <w14:schemeClr w14:val="tx1"/>
                                  </w14:solidFill>
                                </w14:textFill>
                              </w:rPr>
                              <m:t>r</m:t>
                            </m:r>
                            <m:ctrlPr>
                              <w:rPr>
                                <w:rFonts w:hint="default" w:ascii="Cambria Math" w:hAnsi="Cambria Math" w:eastAsia="宋体" w:cs="Times New Roman"/>
                                <w:color w:val="000000" w:themeColor="text1"/>
                                <w:sz w:val="24"/>
                                <w14:textFill>
                                  <w14:solidFill>
                                    <w14:schemeClr w14:val="tx1"/>
                                  </w14:solidFill>
                                </w14:textFill>
                              </w:rPr>
                            </m:ctrlPr>
                          </m:e>
                          <m:sup>
                            <m:r>
                              <m:rPr/>
                              <w:rPr>
                                <w:rFonts w:hint="default" w:ascii="Cambria Math" w:hAnsi="Cambria Math" w:eastAsia="宋体" w:cs="Times New Roman"/>
                                <w:color w:val="000000" w:themeColor="text1"/>
                                <w:sz w:val="24"/>
                                <w14:textFill>
                                  <w14:solidFill>
                                    <w14:schemeClr w14:val="tx1"/>
                                  </w14:solidFill>
                                </w14:textFill>
                              </w:rPr>
                              <m:t>2</m:t>
                            </m:r>
                            <m:ctrlPr>
                              <w:rPr>
                                <w:rFonts w:hint="default" w:ascii="Cambria Math" w:hAnsi="Cambria Math" w:eastAsia="宋体" w:cs="Times New Roman"/>
                                <w:color w:val="000000" w:themeColor="text1"/>
                                <w:sz w:val="24"/>
                                <w14:textFill>
                                  <w14:solidFill>
                                    <w14:schemeClr w14:val="tx1"/>
                                  </w14:solidFill>
                                </w14:textFill>
                              </w:rPr>
                            </m:ctrlPr>
                          </m:sup>
                        </m:sSup>
                        <m:ctrlPr>
                          <w:rPr>
                            <w:rFonts w:hint="default" w:ascii="Cambria Math" w:hAnsi="Cambria Math" w:eastAsia="宋体" w:cs="Times New Roman"/>
                            <w:bCs/>
                            <w:i/>
                            <w:color w:val="000000" w:themeColor="text1"/>
                            <w:sz w:val="24"/>
                            <w14:textFill>
                              <w14:solidFill>
                                <w14:schemeClr w14:val="tx1"/>
                              </w14:solidFill>
                            </w14:textFill>
                          </w:rPr>
                        </m:ctrlPr>
                      </m:den>
                    </m:f>
                    <m:r>
                      <m:rPr/>
                      <w:rPr>
                        <w:rFonts w:hint="default" w:ascii="Cambria Math" w:hAnsi="Cambria Math" w:eastAsia="宋体" w:cs="Times New Roman"/>
                        <w:color w:val="000000" w:themeColor="text1"/>
                        <w:sz w:val="24"/>
                        <w14:textFill>
                          <w14:solidFill>
                            <w14:schemeClr w14:val="tx1"/>
                          </w14:solidFill>
                        </w14:textFill>
                      </w:rPr>
                      <m:t>+</m:t>
                    </m:r>
                    <m:f>
                      <m:fPr>
                        <m:ctrlPr>
                          <w:rPr>
                            <w:rFonts w:hint="default" w:ascii="Cambria Math" w:hAnsi="Cambria Math" w:eastAsia="宋体" w:cs="Times New Roman"/>
                            <w:bCs/>
                            <w:i/>
                            <w:color w:val="000000" w:themeColor="text1"/>
                            <w:sz w:val="24"/>
                            <w14:textFill>
                              <w14:solidFill>
                                <w14:schemeClr w14:val="tx1"/>
                              </w14:solidFill>
                            </w14:textFill>
                          </w:rPr>
                        </m:ctrlPr>
                      </m:fPr>
                      <m:num>
                        <m:r>
                          <m:rPr/>
                          <w:rPr>
                            <w:rFonts w:hint="default" w:ascii="Cambria Math" w:hAnsi="Cambria Math" w:eastAsia="宋体" w:cs="Times New Roman"/>
                            <w:color w:val="000000" w:themeColor="text1"/>
                            <w:sz w:val="24"/>
                            <w14:textFill>
                              <w14:solidFill>
                                <w14:schemeClr w14:val="tx1"/>
                              </w14:solidFill>
                            </w14:textFill>
                          </w:rPr>
                          <m:t>4</m:t>
                        </m:r>
                        <m:ctrlPr>
                          <w:rPr>
                            <w:rFonts w:hint="default" w:ascii="Cambria Math" w:hAnsi="Cambria Math" w:eastAsia="宋体" w:cs="Times New Roman"/>
                            <w:bCs/>
                            <w:i/>
                            <w:color w:val="000000" w:themeColor="text1"/>
                            <w:sz w:val="24"/>
                            <w14:textFill>
                              <w14:solidFill>
                                <w14:schemeClr w14:val="tx1"/>
                              </w14:solidFill>
                            </w14:textFill>
                          </w:rPr>
                        </m:ctrlPr>
                      </m:num>
                      <m:den>
                        <m:r>
                          <m:rPr/>
                          <w:rPr>
                            <w:rFonts w:hint="default" w:ascii="Cambria Math" w:hAnsi="Cambria Math" w:eastAsia="宋体" w:cs="Times New Roman"/>
                            <w:color w:val="000000" w:themeColor="text1"/>
                            <w:sz w:val="24"/>
                            <w14:textFill>
                              <w14:solidFill>
                                <w14:schemeClr w14:val="tx1"/>
                              </w14:solidFill>
                            </w14:textFill>
                          </w:rPr>
                          <m:t>R</m:t>
                        </m:r>
                        <m:ctrlPr>
                          <w:rPr>
                            <w:rFonts w:hint="default" w:ascii="Cambria Math" w:hAnsi="Cambria Math" w:eastAsia="宋体" w:cs="Times New Roman"/>
                            <w:bCs/>
                            <w:i/>
                            <w:color w:val="000000" w:themeColor="text1"/>
                            <w:sz w:val="24"/>
                            <w14:textFill>
                              <w14:solidFill>
                                <w14:schemeClr w14:val="tx1"/>
                              </w14:solidFill>
                            </w14:textFill>
                          </w:rPr>
                        </m:ctrlPr>
                      </m:den>
                    </m:f>
                    <m:ctrlPr>
                      <w:rPr>
                        <w:rFonts w:hint="default" w:ascii="Cambria Math" w:hAnsi="Cambria Math" w:eastAsia="宋体" w:cs="Times New Roman"/>
                        <w:bCs/>
                        <w:color w:val="000000" w:themeColor="text1"/>
                        <w:sz w:val="24"/>
                        <w14:textFill>
                          <w14:solidFill>
                            <w14:schemeClr w14:val="tx1"/>
                          </w14:solidFill>
                        </w14:textFill>
                      </w:rPr>
                    </m:ctrlPr>
                  </m:e>
                </m:d>
              </m:oMath>
            </m:oMathPara>
          </w:p>
          <w:p>
            <w:pPr>
              <w:spacing w:line="360" w:lineRule="auto"/>
              <w:ind w:firstLine="480" w:firstLineChars="20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L</w:t>
            </w:r>
            <w:r>
              <w:rPr>
                <w:rFonts w:hint="default" w:ascii="Times New Roman" w:hAnsi="Times New Roman" w:eastAsia="宋体" w:cs="Times New Roman"/>
                <w:bCs/>
                <w:color w:val="000000" w:themeColor="text1"/>
                <w:sz w:val="24"/>
                <w:vertAlign w:val="subscript"/>
                <w14:textFill>
                  <w14:solidFill>
                    <w14:schemeClr w14:val="tx1"/>
                  </w14:solidFill>
                </w14:textFill>
              </w:rPr>
              <w:t>w</w:t>
            </w:r>
            <w:r>
              <w:rPr>
                <w:rFonts w:hint="default" w:ascii="Times New Roman" w:hAnsi="Times New Roman" w:eastAsia="宋体" w:cs="Times New Roman"/>
                <w:bCs/>
                <w:color w:val="000000" w:themeColor="text1"/>
                <w:sz w:val="24"/>
                <w14:textFill>
                  <w14:solidFill>
                    <w14:schemeClr w14:val="tx1"/>
                  </w14:solidFill>
                </w14:textFill>
              </w:rPr>
              <w:t>中心位置位于透声面积（S）处的等效声源的倍频带声率级：</w:t>
            </w:r>
          </w:p>
          <w:p>
            <w:pPr>
              <w:spacing w:line="360" w:lineRule="auto"/>
              <w:ind w:firstLine="480" w:firstLineChars="200"/>
              <w:jc w:val="center"/>
              <w:rPr>
                <w:rFonts w:hint="default" w:ascii="Times New Roman" w:hAnsi="Times New Roman" w:eastAsia="宋体" w:cs="Times New Roman"/>
                <w:color w:val="000000" w:themeColor="text1"/>
                <w:sz w:val="24"/>
                <w14:textFill>
                  <w14:solidFill>
                    <w14:schemeClr w14:val="tx1"/>
                  </w14:solidFill>
                </w14:textFill>
              </w:rPr>
            </w:pPr>
            <m:oMathPara>
              <m:oMath>
                <m:sSub>
                  <m:sSubPr>
                    <m:ctrlPr>
                      <w:rPr>
                        <w:rFonts w:hint="default" w:ascii="Cambria Math" w:hAnsi="Cambria Math" w:eastAsia="宋体" w:cs="Times New Roman"/>
                        <w:bCs/>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L</m:t>
                    </m:r>
                    <m:ctrlPr>
                      <w:rPr>
                        <w:rFonts w:hint="default" w:ascii="Cambria Math" w:hAnsi="Cambria Math" w:eastAsia="宋体" w:cs="Times New Roman"/>
                        <w:bCs/>
                        <w:i/>
                        <w:color w:val="000000" w:themeColor="text1"/>
                        <w:sz w:val="24"/>
                        <w14:textFill>
                          <w14:solidFill>
                            <w14:schemeClr w14:val="tx1"/>
                          </w14:solidFill>
                        </w14:textFill>
                      </w:rPr>
                    </m:ctrlPr>
                  </m:e>
                  <m:sub>
                    <m:r>
                      <m:rPr>
                        <m:sty m:val="p"/>
                      </m:rPr>
                      <w:rPr>
                        <w:rFonts w:hint="default" w:ascii="Cambria Math" w:hAnsi="Cambria Math" w:eastAsia="宋体" w:cs="Times New Roman"/>
                        <w:color w:val="000000" w:themeColor="text1"/>
                        <w:sz w:val="24"/>
                        <w14:textFill>
                          <w14:solidFill>
                            <w14:schemeClr w14:val="tx1"/>
                          </w14:solidFill>
                        </w14:textFill>
                      </w:rPr>
                      <m:t>w</m:t>
                    </m:r>
                    <m:ctrlPr>
                      <w:rPr>
                        <w:rFonts w:hint="default" w:ascii="Cambria Math" w:hAnsi="Cambria Math" w:eastAsia="宋体" w:cs="Times New Roman"/>
                        <w:bCs/>
                        <w:i/>
                        <w:color w:val="000000" w:themeColor="text1"/>
                        <w:sz w:val="24"/>
                        <w14:textFill>
                          <w14:solidFill>
                            <w14:schemeClr w14:val="tx1"/>
                          </w14:solidFill>
                        </w14:textFill>
                      </w:rPr>
                    </m:ctrlPr>
                  </m:sub>
                </m:sSub>
                <m:r>
                  <m:rPr>
                    <m:sty m:val="p"/>
                  </m:rPr>
                  <w:rPr>
                    <w:rFonts w:hint="default" w:ascii="Cambria Math" w:hAnsi="Cambria Math" w:eastAsia="宋体" w:cs="Times New Roman"/>
                    <w:color w:val="000000" w:themeColor="text1"/>
                    <w:sz w:val="24"/>
                    <w14:textFill>
                      <w14:solidFill>
                        <w14:schemeClr w14:val="tx1"/>
                      </w14:solidFill>
                    </w14:textFill>
                  </w:rPr>
                  <m:t>=</m:t>
                </m:r>
                <m:sSub>
                  <m:sSubPr>
                    <m:ctrlPr>
                      <w:rPr>
                        <w:rFonts w:hint="default" w:ascii="Cambria Math" w:hAnsi="Cambria Math" w:eastAsia="宋体" w:cs="Times New Roman"/>
                        <w:bCs/>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L</m:t>
                    </m:r>
                    <m:ctrlPr>
                      <w:rPr>
                        <w:rFonts w:hint="default" w:ascii="Cambria Math" w:hAnsi="Cambria Math" w:eastAsia="宋体" w:cs="Times New Roman"/>
                        <w:bCs/>
                        <w:i/>
                        <w:color w:val="000000" w:themeColor="text1"/>
                        <w:sz w:val="24"/>
                        <w14:textFill>
                          <w14:solidFill>
                            <w14:schemeClr w14:val="tx1"/>
                          </w14:solidFill>
                        </w14:textFill>
                      </w:rPr>
                    </m:ctrlPr>
                  </m:e>
                  <m:sub>
                    <m:r>
                      <m:rPr>
                        <m:sty m:val="p"/>
                      </m:rPr>
                      <w:rPr>
                        <w:rFonts w:hint="default" w:ascii="Cambria Math" w:hAnsi="Cambria Math" w:eastAsia="宋体" w:cs="Times New Roman"/>
                        <w:color w:val="000000" w:themeColor="text1"/>
                        <w:sz w:val="24"/>
                        <w14:textFill>
                          <w14:solidFill>
                            <w14:schemeClr w14:val="tx1"/>
                          </w14:solidFill>
                        </w14:textFill>
                      </w:rPr>
                      <m:t>p2</m:t>
                    </m:r>
                    <m:ctrlPr>
                      <w:rPr>
                        <w:rFonts w:hint="default" w:ascii="Cambria Math" w:hAnsi="Cambria Math" w:eastAsia="宋体" w:cs="Times New Roman"/>
                        <w:bCs/>
                        <w:i/>
                        <w:color w:val="000000" w:themeColor="text1"/>
                        <w:sz w:val="24"/>
                        <w14:textFill>
                          <w14:solidFill>
                            <w14:schemeClr w14:val="tx1"/>
                          </w14:solidFill>
                        </w14:textFill>
                      </w:rPr>
                    </m:ctrlPr>
                  </m:sub>
                </m:sSub>
                <m:r>
                  <m:rPr>
                    <m:sty m:val="p"/>
                  </m:rPr>
                  <w:rPr>
                    <w:rFonts w:hint="default" w:ascii="Cambria Math" w:hAnsi="Cambria Math" w:eastAsia="宋体" w:cs="Times New Roman"/>
                    <w:color w:val="000000" w:themeColor="text1"/>
                    <w:sz w:val="24"/>
                    <w14:textFill>
                      <w14:solidFill>
                        <w14:schemeClr w14:val="tx1"/>
                      </w14:solidFill>
                    </w14:textFill>
                  </w:rPr>
                  <m:t>（T）+10lgS</m:t>
                </m:r>
              </m:oMath>
            </m:oMathPara>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式中：TL——隔墙（或窗户）倍频带的隔声量，dB；</w:t>
            </w:r>
          </w:p>
          <w:p>
            <w:pPr>
              <w:spacing w:line="360" w:lineRule="auto"/>
              <w:ind w:firstLine="1200" w:firstLineChars="5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Q——指向性因数，通常对无指向性声源，当声源放在房间中心时，Q=1；当放在一面墙的中心时，Q=2；当放在两面墙夹角处时，Q=4；当放在三面墙夹角处时，Q=8；</w:t>
            </w:r>
          </w:p>
          <w:p>
            <w:pPr>
              <w:spacing w:line="360" w:lineRule="auto"/>
              <w:ind w:firstLine="1200" w:firstLineChars="5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R——房间常数，R=Sα/（1-α），S为房间内表面积，m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，α为平均吸声系数；</w:t>
            </w:r>
          </w:p>
          <w:p>
            <w:pPr>
              <w:spacing w:line="360" w:lineRule="auto"/>
              <w:ind w:firstLine="1200" w:firstLineChars="5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r——声源到靠近围护结构某点处的距离，m。</w:t>
            </w:r>
          </w:p>
          <w:p>
            <w:pPr>
              <w:spacing w:line="360" w:lineRule="auto"/>
              <w:ind w:firstLine="480" w:firstLineChars="20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（2）室外声源在预测点产生的声级计算模型</w:t>
            </w:r>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户外声传播衰减计算总公式：</w:t>
            </w:r>
          </w:p>
          <w:p>
            <w:pPr>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14:textFill>
                  <w14:solidFill>
                    <w14:schemeClr w14:val="tx1"/>
                  </w14:solidFill>
                </w14:textFill>
              </w:rPr>
              <w:t>A（r）</w:t>
            </w: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14:textFill>
                  <w14:solidFill>
                    <w14:schemeClr w14:val="tx1"/>
                  </w14:solidFill>
                </w14:textFill>
              </w:rPr>
              <w:t>A（r0）</w:t>
            </w:r>
            <w:r>
              <w:rPr>
                <w:rFonts w:hint="default" w:ascii="Times New Roman" w:hAnsi="Times New Roman" w:eastAsia="宋体" w:cs="Times New Roman"/>
                <w:color w:val="000000" w:themeColor="text1"/>
                <w:sz w:val="24"/>
                <w14:textFill>
                  <w14:solidFill>
                    <w14:schemeClr w14:val="tx1"/>
                  </w14:solidFill>
                </w14:textFill>
              </w:rPr>
              <w:t>+D</w:t>
            </w:r>
            <w:r>
              <w:rPr>
                <w:rFonts w:hint="default" w:ascii="Times New Roman" w:hAnsi="Times New Roman" w:eastAsia="宋体" w:cs="Times New Roman"/>
                <w:color w:val="000000" w:themeColor="text1"/>
                <w:sz w:val="24"/>
                <w:vertAlign w:val="subscript"/>
                <w14:textFill>
                  <w14:solidFill>
                    <w14:schemeClr w14:val="tx1"/>
                  </w14:solidFill>
                </w14:textFill>
              </w:rPr>
              <w:t>C</w:t>
            </w: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div</w:t>
            </w: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atm</w:t>
            </w: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gr</w:t>
            </w: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bar</w:t>
            </w: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atm</w:t>
            </w: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misc</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式中：L</w:t>
            </w:r>
            <w:r>
              <w:rPr>
                <w:rFonts w:hint="default" w:ascii="Times New Roman" w:hAnsi="Times New Roman" w:eastAsia="宋体" w:cs="Times New Roman"/>
                <w:color w:val="000000" w:themeColor="text1"/>
                <w:sz w:val="24"/>
                <w:vertAlign w:val="subscript"/>
                <w14:textFill>
                  <w14:solidFill>
                    <w14:schemeClr w14:val="tx1"/>
                  </w14:solidFill>
                </w14:textFill>
              </w:rPr>
              <w:t>A（r）</w:t>
            </w:r>
            <w:r>
              <w:rPr>
                <w:rFonts w:hint="default" w:ascii="Times New Roman" w:hAnsi="Times New Roman" w:eastAsia="宋体" w:cs="Times New Roman"/>
                <w:color w:val="000000" w:themeColor="text1"/>
                <w:sz w:val="24"/>
                <w14:textFill>
                  <w14:solidFill>
                    <w14:schemeClr w14:val="tx1"/>
                  </w14:solidFill>
                </w14:textFill>
              </w:rPr>
              <w:t>为距离声源r处的A声级，dB（A）；</w:t>
            </w:r>
          </w:p>
          <w:p>
            <w:pPr>
              <w:spacing w:line="360" w:lineRule="auto"/>
              <w:ind w:firstLine="1132" w:firstLineChars="47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L</w:t>
            </w:r>
            <w:r>
              <w:rPr>
                <w:rFonts w:hint="default" w:ascii="Times New Roman" w:hAnsi="Times New Roman" w:eastAsia="宋体" w:cs="Times New Roman"/>
                <w:color w:val="000000" w:themeColor="text1"/>
                <w:sz w:val="24"/>
                <w:vertAlign w:val="subscript"/>
                <w14:textFill>
                  <w14:solidFill>
                    <w14:schemeClr w14:val="tx1"/>
                  </w14:solidFill>
                </w14:textFill>
              </w:rPr>
              <w:t>A（r0）</w:t>
            </w:r>
            <w:r>
              <w:rPr>
                <w:rFonts w:hint="default" w:ascii="Times New Roman" w:hAnsi="Times New Roman" w:eastAsia="宋体" w:cs="Times New Roman"/>
                <w:color w:val="000000" w:themeColor="text1"/>
                <w:sz w:val="24"/>
                <w14:textFill>
                  <w14:solidFill>
                    <w14:schemeClr w14:val="tx1"/>
                  </w14:solidFill>
                </w14:textFill>
              </w:rPr>
              <w:t>为参考位置距离声源r</w:t>
            </w:r>
            <w:r>
              <w:rPr>
                <w:rFonts w:hint="default" w:ascii="Times New Roman" w:hAnsi="Times New Roman" w:eastAsia="宋体" w:cs="Times New Roman"/>
                <w:color w:val="000000" w:themeColor="text1"/>
                <w:sz w:val="24"/>
                <w:vertAlign w:val="subscript"/>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米处的A声级，dB（A）；</w:t>
            </w:r>
          </w:p>
          <w:p>
            <w:pPr>
              <w:spacing w:line="360" w:lineRule="auto"/>
              <w:ind w:firstLine="1132" w:firstLineChars="47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D</w:t>
            </w:r>
            <w:r>
              <w:rPr>
                <w:rFonts w:hint="default" w:ascii="Times New Roman" w:hAnsi="Times New Roman" w:eastAsia="宋体" w:cs="Times New Roman"/>
                <w:color w:val="000000" w:themeColor="text1"/>
                <w:sz w:val="24"/>
                <w:vertAlign w:val="subscript"/>
                <w14:textFill>
                  <w14:solidFill>
                    <w14:schemeClr w14:val="tx1"/>
                  </w14:solidFill>
                </w14:textFill>
              </w:rPr>
              <w:t>C</w:t>
            </w:r>
            <w:r>
              <w:rPr>
                <w:rFonts w:hint="default" w:ascii="Times New Roman" w:hAnsi="Times New Roman" w:eastAsia="宋体" w:cs="Times New Roman"/>
                <w:color w:val="000000" w:themeColor="text1"/>
                <w:sz w:val="24"/>
                <w14:textFill>
                  <w14:solidFill>
                    <w14:schemeClr w14:val="tx1"/>
                  </w14:solidFill>
                </w14:textFill>
              </w:rPr>
              <w:t>为指向性校正，它描述点声源的等效连续声压级与产生声功率级Lw的全向点声源在规定方向的声级的偏差程度，dB（A）；</w:t>
            </w:r>
          </w:p>
          <w:p>
            <w:pPr>
              <w:spacing w:line="360" w:lineRule="auto"/>
              <w:ind w:firstLine="1132" w:firstLineChars="47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div</w:t>
            </w:r>
            <w:r>
              <w:rPr>
                <w:rFonts w:hint="default" w:ascii="Times New Roman" w:hAnsi="Times New Roman" w:eastAsia="宋体" w:cs="Times New Roman"/>
                <w:color w:val="000000" w:themeColor="text1"/>
                <w:sz w:val="24"/>
                <w14:textFill>
                  <w14:solidFill>
                    <w14:schemeClr w14:val="tx1"/>
                  </w14:solidFill>
                </w14:textFill>
              </w:rPr>
              <w:t>为声波几何发散引起的A声级衰减量，dB（A）；</w:t>
            </w:r>
          </w:p>
          <w:p>
            <w:pPr>
              <w:spacing w:line="360" w:lineRule="auto"/>
              <w:ind w:firstLine="1132" w:firstLineChars="47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atm</w:t>
            </w:r>
            <w:r>
              <w:rPr>
                <w:rFonts w:hint="default" w:ascii="Times New Roman" w:hAnsi="Times New Roman" w:eastAsia="宋体" w:cs="Times New Roman"/>
                <w:color w:val="000000" w:themeColor="text1"/>
                <w:sz w:val="24"/>
                <w14:textFill>
                  <w14:solidFill>
                    <w14:schemeClr w14:val="tx1"/>
                  </w14:solidFill>
                </w14:textFill>
              </w:rPr>
              <w:t>为空气吸收引起的A声级衰减量，dB（A）；</w:t>
            </w:r>
          </w:p>
          <w:p>
            <w:pPr>
              <w:spacing w:line="360" w:lineRule="auto"/>
              <w:ind w:firstLine="1132" w:firstLineChars="47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gr</w:t>
            </w:r>
            <w:r>
              <w:rPr>
                <w:rFonts w:hint="default" w:ascii="Times New Roman" w:hAnsi="Times New Roman" w:eastAsia="宋体" w:cs="Times New Roman"/>
                <w:color w:val="000000" w:themeColor="text1"/>
                <w:sz w:val="24"/>
                <w14:textFill>
                  <w14:solidFill>
                    <w14:schemeClr w14:val="tx1"/>
                  </w14:solidFill>
                </w14:textFill>
              </w:rPr>
              <w:t>为地面效应引起的A 声级衰减量，dB（A）；</w:t>
            </w:r>
          </w:p>
          <w:p>
            <w:pPr>
              <w:spacing w:line="360" w:lineRule="auto"/>
              <w:ind w:firstLine="1132" w:firstLineChars="47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bar</w:t>
            </w:r>
            <w:r>
              <w:rPr>
                <w:rFonts w:hint="default" w:ascii="Times New Roman" w:hAnsi="Times New Roman" w:eastAsia="宋体" w:cs="Times New Roman"/>
                <w:color w:val="000000" w:themeColor="text1"/>
                <w:sz w:val="24"/>
                <w14:textFill>
                  <w14:solidFill>
                    <w14:schemeClr w14:val="tx1"/>
                  </w14:solidFill>
                </w14:textFill>
              </w:rPr>
              <w:t>为声屏障引起的A 声级衰减量，dB（A）；</w:t>
            </w:r>
          </w:p>
          <w:p>
            <w:pPr>
              <w:spacing w:line="360" w:lineRule="auto"/>
              <w:ind w:firstLine="1132" w:firstLineChars="47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A</w:t>
            </w:r>
            <w:r>
              <w:rPr>
                <w:rFonts w:hint="default" w:ascii="Times New Roman" w:hAnsi="Times New Roman" w:eastAsia="宋体" w:cs="Times New Roman"/>
                <w:color w:val="000000" w:themeColor="text1"/>
                <w:sz w:val="24"/>
                <w:vertAlign w:val="subscript"/>
                <w14:textFill>
                  <w14:solidFill>
                    <w14:schemeClr w14:val="tx1"/>
                  </w14:solidFill>
                </w14:textFill>
              </w:rPr>
              <w:t>misc</w:t>
            </w:r>
            <w:r>
              <w:rPr>
                <w:rFonts w:hint="default" w:ascii="Times New Roman" w:hAnsi="Times New Roman" w:eastAsia="宋体" w:cs="Times New Roman"/>
                <w:color w:val="000000" w:themeColor="text1"/>
                <w:sz w:val="24"/>
                <w14:textFill>
                  <w14:solidFill>
                    <w14:schemeClr w14:val="tx1"/>
                  </w14:solidFill>
                </w14:textFill>
              </w:rPr>
              <w:t>为其他多方面效应引起的衰减量，dB（A）。</w:t>
            </w:r>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噪声在传播过程中受到多种因素的干扰，使其产生衰减，根据项目噪声源和环境特征，预测过程中考虑了厂房等建筑物的屏障作用、几何发散引起的衰减、空气吸收和地面吸收引起的衰减。</w:t>
            </w:r>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①几何发散引起的衰减：</w:t>
            </w:r>
          </w:p>
          <w:p>
            <w:pPr>
              <w:adjustRightInd w:val="0"/>
              <w:snapToGrid w:val="0"/>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m:oMathPara>
              <m:oMath>
                <m:sSub>
                  <m:sSubPr>
                    <m:ctrlPr>
                      <w:rPr>
                        <w:rFonts w:hint="default" w:ascii="Cambria Math" w:hAnsi="Cambria Math" w:eastAsia="宋体" w:cs="Times New Roman"/>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A</m:t>
                    </m:r>
                    <m:ctrlPr>
                      <w:rPr>
                        <w:rFonts w:hint="default" w:ascii="Cambria Math" w:hAnsi="Cambria Math" w:eastAsia="宋体" w:cs="Times New Roman"/>
                        <w:color w:val="000000" w:themeColor="text1"/>
                        <w:sz w:val="24"/>
                        <w14:textFill>
                          <w14:solidFill>
                            <w14:schemeClr w14:val="tx1"/>
                          </w14:solidFill>
                        </w14:textFill>
                      </w:rPr>
                    </m:ctrlPr>
                  </m:e>
                  <m:sub>
                    <m:r>
                      <m:rPr>
                        <m:sty m:val="p"/>
                      </m:rPr>
                      <w:rPr>
                        <w:rFonts w:hint="default" w:ascii="Cambria Math" w:hAnsi="Cambria Math" w:eastAsia="宋体" w:cs="Times New Roman"/>
                        <w:color w:val="000000" w:themeColor="text1"/>
                        <w:sz w:val="24"/>
                        <w14:textFill>
                          <w14:solidFill>
                            <w14:schemeClr w14:val="tx1"/>
                          </w14:solidFill>
                        </w14:textFill>
                      </w:rPr>
                      <m:t>div</m:t>
                    </m:r>
                    <m:ctrlPr>
                      <w:rPr>
                        <w:rFonts w:hint="default" w:ascii="Cambria Math" w:hAnsi="Cambria Math" w:eastAsia="宋体" w:cs="Times New Roman"/>
                        <w:color w:val="000000" w:themeColor="text1"/>
                        <w:sz w:val="24"/>
                        <w14:textFill>
                          <w14:solidFill>
                            <w14:schemeClr w14:val="tx1"/>
                          </w14:solidFill>
                        </w14:textFill>
                      </w:rPr>
                    </m:ctrlPr>
                  </m:sub>
                </m:sSub>
                <m:r>
                  <m:rPr/>
                  <w:rPr>
                    <w:rFonts w:hint="default" w:ascii="Cambria Math" w:hAnsi="Cambria Math" w:eastAsia="宋体" w:cs="Times New Roman"/>
                    <w:color w:val="000000" w:themeColor="text1"/>
                    <w:sz w:val="24"/>
                    <w14:textFill>
                      <w14:solidFill>
                        <w14:schemeClr w14:val="tx1"/>
                      </w14:solidFill>
                    </w14:textFill>
                  </w:rPr>
                  <m:t>=20</m:t>
                </m:r>
                <m:func>
                  <m:funcPr>
                    <m:ctrlPr>
                      <w:rPr>
                        <w:rFonts w:hint="default" w:ascii="Cambria Math" w:hAnsi="Cambria Math" w:eastAsia="宋体" w:cs="Times New Roman"/>
                        <w:i/>
                        <w:color w:val="000000" w:themeColor="text1"/>
                        <w:sz w:val="24"/>
                        <w14:textFill>
                          <w14:solidFill>
                            <w14:schemeClr w14:val="tx1"/>
                          </w14:solidFill>
                        </w14:textFill>
                      </w:rPr>
                    </m:ctrlPr>
                  </m:funcPr>
                  <m:fName>
                    <m:r>
                      <m:rPr>
                        <m:sty m:val="p"/>
                      </m:rPr>
                      <w:rPr>
                        <w:rFonts w:hint="default" w:ascii="Cambria Math" w:hAnsi="Cambria Math" w:eastAsia="宋体" w:cs="Times New Roman"/>
                        <w:color w:val="000000" w:themeColor="text1"/>
                        <w:sz w:val="24"/>
                        <w14:textFill>
                          <w14:solidFill>
                            <w14:schemeClr w14:val="tx1"/>
                          </w14:solidFill>
                        </w14:textFill>
                      </w:rPr>
                      <m:t>lg</m:t>
                    </m:r>
                    <m:ctrlPr>
                      <w:rPr>
                        <w:rFonts w:hint="default" w:ascii="Cambria Math" w:hAnsi="Cambria Math" w:eastAsia="宋体" w:cs="Times New Roman"/>
                        <w:i/>
                        <w:color w:val="000000" w:themeColor="text1"/>
                        <w:sz w:val="24"/>
                        <w14:textFill>
                          <w14:solidFill>
                            <w14:schemeClr w14:val="tx1"/>
                          </w14:solidFill>
                        </w14:textFill>
                      </w:rPr>
                    </m:ctrlPr>
                  </m:fName>
                  <m:e>
                    <m:d>
                      <m:dPr>
                        <m:ctrlPr>
                          <w:rPr>
                            <w:rFonts w:hint="default" w:ascii="Cambria Math" w:hAnsi="Cambria Math" w:eastAsia="宋体" w:cs="Times New Roman"/>
                            <w:i/>
                            <w:color w:val="000000" w:themeColor="text1"/>
                            <w:sz w:val="24"/>
                            <w14:textFill>
                              <w14:solidFill>
                                <w14:schemeClr w14:val="tx1"/>
                              </w14:solidFill>
                            </w14:textFill>
                          </w:rPr>
                        </m:ctrlPr>
                      </m:dPr>
                      <m:e>
                        <m:f>
                          <m:fPr>
                            <m:ctrlPr>
                              <w:rPr>
                                <w:rFonts w:hint="default" w:ascii="Cambria Math" w:hAnsi="Cambria Math" w:eastAsia="宋体" w:cs="Times New Roman"/>
                                <w:i/>
                                <w:color w:val="000000" w:themeColor="text1"/>
                                <w:sz w:val="24"/>
                                <w14:textFill>
                                  <w14:solidFill>
                                    <w14:schemeClr w14:val="tx1"/>
                                  </w14:solidFill>
                                </w14:textFill>
                              </w:rPr>
                            </m:ctrlPr>
                          </m:fPr>
                          <m:num>
                            <m:sSub>
                              <m:sSubPr>
                                <m:ctrlPr>
                                  <w:rPr>
                                    <w:rFonts w:hint="default" w:ascii="Cambria Math" w:hAnsi="Cambria Math" w:eastAsia="宋体" w:cs="Times New Roman"/>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r</m:t>
                                </m:r>
                                <m:ctrlPr>
                                  <w:rPr>
                                    <w:rFonts w:hint="default" w:ascii="Cambria Math" w:hAnsi="Cambria Math" w:eastAsia="宋体" w:cs="Times New Roman"/>
                                    <w:i/>
                                    <w:color w:val="000000" w:themeColor="text1"/>
                                    <w:sz w:val="24"/>
                                    <w14:textFill>
                                      <w14:solidFill>
                                        <w14:schemeClr w14:val="tx1"/>
                                      </w14:solidFill>
                                    </w14:textFill>
                                  </w:rPr>
                                </m:ctrlPr>
                              </m:e>
                              <m:sub>
                                <m:r>
                                  <m:rPr/>
                                  <w:rPr>
                                    <w:rFonts w:hint="default" w:ascii="Cambria Math" w:hAnsi="Cambria Math" w:eastAsia="宋体" w:cs="Times New Roman"/>
                                    <w:color w:val="000000" w:themeColor="text1"/>
                                    <w:sz w:val="24"/>
                                    <w14:textFill>
                                      <w14:solidFill>
                                        <w14:schemeClr w14:val="tx1"/>
                                      </w14:solidFill>
                                    </w14:textFill>
                                  </w:rPr>
                                  <m:t>A</m:t>
                                </m:r>
                                <m:ctrlPr>
                                  <w:rPr>
                                    <w:rFonts w:hint="default" w:ascii="Cambria Math" w:hAnsi="Cambria Math" w:eastAsia="宋体" w:cs="Times New Roman"/>
                                    <w:i/>
                                    <w:color w:val="000000" w:themeColor="text1"/>
                                    <w:sz w:val="24"/>
                                    <w14:textFill>
                                      <w14:solidFill>
                                        <w14:schemeClr w14:val="tx1"/>
                                      </w14:solidFill>
                                    </w14:textFill>
                                  </w:rPr>
                                </m:ctrlPr>
                              </m:sub>
                            </m:sSub>
                            <m:ctrlPr>
                              <w:rPr>
                                <w:rFonts w:hint="default" w:ascii="Cambria Math" w:hAnsi="Cambria Math" w:eastAsia="宋体" w:cs="Times New Roman"/>
                                <w:i/>
                                <w:color w:val="000000" w:themeColor="text1"/>
                                <w:sz w:val="24"/>
                                <w14:textFill>
                                  <w14:solidFill>
                                    <w14:schemeClr w14:val="tx1"/>
                                  </w14:solidFill>
                                </w14:textFill>
                              </w:rPr>
                            </m:ctrlPr>
                          </m:num>
                          <m:den>
                            <m:sSub>
                              <m:sSubPr>
                                <m:ctrlPr>
                                  <w:rPr>
                                    <w:rFonts w:hint="default" w:ascii="Cambria Math" w:hAnsi="Cambria Math" w:eastAsia="宋体" w:cs="Times New Roman"/>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r</m:t>
                                </m:r>
                                <m:ctrlPr>
                                  <w:rPr>
                                    <w:rFonts w:hint="default" w:ascii="Cambria Math" w:hAnsi="Cambria Math" w:eastAsia="宋体" w:cs="Times New Roman"/>
                                    <w:i/>
                                    <w:color w:val="000000" w:themeColor="text1"/>
                                    <w:sz w:val="24"/>
                                    <w14:textFill>
                                      <w14:solidFill>
                                        <w14:schemeClr w14:val="tx1"/>
                                      </w14:solidFill>
                                    </w14:textFill>
                                  </w:rPr>
                                </m:ctrlPr>
                              </m:e>
                              <m:sub>
                                <m:r>
                                  <m:rPr/>
                                  <w:rPr>
                                    <w:rFonts w:hint="default" w:ascii="Cambria Math" w:hAnsi="Cambria Math" w:eastAsia="宋体" w:cs="Times New Roman"/>
                                    <w:color w:val="000000" w:themeColor="text1"/>
                                    <w:sz w:val="24"/>
                                    <w14:textFill>
                                      <w14:solidFill>
                                        <w14:schemeClr w14:val="tx1"/>
                                      </w14:solidFill>
                                    </w14:textFill>
                                  </w:rPr>
                                  <m:t>0</m:t>
                                </m:r>
                                <m:ctrlPr>
                                  <w:rPr>
                                    <w:rFonts w:hint="default" w:ascii="Cambria Math" w:hAnsi="Cambria Math" w:eastAsia="宋体" w:cs="Times New Roman"/>
                                    <w:i/>
                                    <w:color w:val="000000" w:themeColor="text1"/>
                                    <w:sz w:val="24"/>
                                    <w14:textFill>
                                      <w14:solidFill>
                                        <w14:schemeClr w14:val="tx1"/>
                                      </w14:solidFill>
                                    </w14:textFill>
                                  </w:rPr>
                                </m:ctrlPr>
                              </m:sub>
                            </m:sSub>
                            <m:ctrlPr>
                              <w:rPr>
                                <w:rFonts w:hint="default" w:ascii="Cambria Math" w:hAnsi="Cambria Math" w:eastAsia="宋体" w:cs="Times New Roman"/>
                                <w:i/>
                                <w:color w:val="000000" w:themeColor="text1"/>
                                <w:sz w:val="24"/>
                                <w14:textFill>
                                  <w14:solidFill>
                                    <w14:schemeClr w14:val="tx1"/>
                                  </w14:solidFill>
                                </w14:textFill>
                              </w:rPr>
                            </m:ctrlPr>
                          </m:den>
                        </m:f>
                        <m:ctrlPr>
                          <w:rPr>
                            <w:rFonts w:hint="default" w:ascii="Cambria Math" w:hAnsi="Cambria Math" w:eastAsia="宋体" w:cs="Times New Roman"/>
                            <w:i/>
                            <w:color w:val="000000" w:themeColor="text1"/>
                            <w:sz w:val="24"/>
                            <w14:textFill>
                              <w14:solidFill>
                                <w14:schemeClr w14:val="tx1"/>
                              </w14:solidFill>
                            </w14:textFill>
                          </w:rPr>
                        </m:ctrlPr>
                      </m:e>
                    </m:d>
                    <m:ctrlPr>
                      <w:rPr>
                        <w:rFonts w:hint="default" w:ascii="Cambria Math" w:hAnsi="Cambria Math" w:eastAsia="宋体" w:cs="Times New Roman"/>
                        <w:i/>
                        <w:color w:val="000000" w:themeColor="text1"/>
                        <w:sz w:val="24"/>
                        <w14:textFill>
                          <w14:solidFill>
                            <w14:schemeClr w14:val="tx1"/>
                          </w14:solidFill>
                        </w14:textFill>
                      </w:rPr>
                    </m:ctrlPr>
                  </m:e>
                </m:func>
              </m:oMath>
            </m:oMathPara>
          </w:p>
          <w:p>
            <w:pPr>
              <w:adjustRightInd w:val="0"/>
              <w:snapToGrid w:val="0"/>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式中：r为预测点距声源的距离，m；</w:t>
            </w:r>
          </w:p>
          <w:p>
            <w:pPr>
              <w:spacing w:line="360" w:lineRule="auto"/>
              <w:ind w:firstLine="1132" w:firstLineChars="47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r</w:t>
            </w:r>
            <w:r>
              <w:rPr>
                <w:rFonts w:hint="default" w:ascii="Times New Roman" w:hAnsi="Times New Roman" w:eastAsia="宋体" w:cs="Times New Roman"/>
                <w:color w:val="000000" w:themeColor="text1"/>
                <w:sz w:val="24"/>
                <w:vertAlign w:val="subscript"/>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为参考位置距离，m；</w:t>
            </w:r>
          </w:p>
          <w:p>
            <w:pPr>
              <w:adjustRightInd w:val="0"/>
              <w:snapToGrid w:val="0"/>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②大气吸收引起的衰减：</w:t>
            </w:r>
          </w:p>
          <w:p>
            <w:pPr>
              <w:adjustRightInd w:val="0"/>
              <w:snapToGrid w:val="0"/>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m:oMathPara>
              <m:oMath>
                <m:sSub>
                  <m:sSubPr>
                    <m:ctrlPr>
                      <w:rPr>
                        <w:rFonts w:hint="default" w:ascii="Cambria Math" w:hAnsi="Cambria Math" w:eastAsia="宋体" w:cs="Times New Roman"/>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A</m:t>
                    </m:r>
                    <m:ctrlPr>
                      <w:rPr>
                        <w:rFonts w:hint="default" w:ascii="Cambria Math" w:hAnsi="Cambria Math" w:eastAsia="宋体" w:cs="Times New Roman"/>
                        <w:color w:val="000000" w:themeColor="text1"/>
                        <w:sz w:val="24"/>
                        <w14:textFill>
                          <w14:solidFill>
                            <w14:schemeClr w14:val="tx1"/>
                          </w14:solidFill>
                        </w14:textFill>
                      </w:rPr>
                    </m:ctrlPr>
                  </m:e>
                  <m:sub>
                    <m:r>
                      <m:rPr>
                        <m:sty m:val="p"/>
                      </m:rPr>
                      <w:rPr>
                        <w:rFonts w:hint="default" w:ascii="Cambria Math" w:hAnsi="Cambria Math" w:eastAsia="宋体" w:cs="Times New Roman"/>
                        <w:color w:val="000000" w:themeColor="text1"/>
                        <w:sz w:val="24"/>
                        <w14:textFill>
                          <w14:solidFill>
                            <w14:schemeClr w14:val="tx1"/>
                          </w14:solidFill>
                        </w14:textFill>
                      </w:rPr>
                      <m:t>atm</m:t>
                    </m:r>
                    <m:ctrlPr>
                      <w:rPr>
                        <w:rFonts w:hint="default" w:ascii="Cambria Math" w:hAnsi="Cambria Math" w:eastAsia="宋体" w:cs="Times New Roman"/>
                        <w:color w:val="000000" w:themeColor="text1"/>
                        <w:sz w:val="24"/>
                        <w14:textFill>
                          <w14:solidFill>
                            <w14:schemeClr w14:val="tx1"/>
                          </w14:solidFill>
                        </w14:textFill>
                      </w:rPr>
                    </m:ctrlPr>
                  </m:sub>
                </m:sSub>
                <m:r>
                  <m:rPr/>
                  <w:rPr>
                    <w:rFonts w:hint="default" w:ascii="Cambria Math" w:hAnsi="Cambria Math" w:eastAsia="宋体" w:cs="Times New Roman"/>
                    <w:color w:val="000000" w:themeColor="text1"/>
                    <w:sz w:val="24"/>
                    <w14:textFill>
                      <w14:solidFill>
                        <w14:schemeClr w14:val="tx1"/>
                      </w14:solidFill>
                    </w14:textFill>
                  </w:rPr>
                  <m:t>=</m:t>
                </m:r>
                <m:f>
                  <m:fPr>
                    <m:ctrlPr>
                      <w:rPr>
                        <w:rFonts w:hint="default" w:ascii="Cambria Math" w:hAnsi="Cambria Math" w:eastAsia="宋体" w:cs="Times New Roman"/>
                        <w:i/>
                        <w:color w:val="000000" w:themeColor="text1"/>
                        <w:sz w:val="24"/>
                        <w14:textFill>
                          <w14:solidFill>
                            <w14:schemeClr w14:val="tx1"/>
                          </w14:solidFill>
                        </w14:textFill>
                      </w:rPr>
                    </m:ctrlPr>
                  </m:fPr>
                  <m:num>
                    <m:r>
                      <m:rPr/>
                      <w:rPr>
                        <w:rFonts w:hint="default" w:ascii="Cambria Math" w:hAnsi="Cambria Math" w:eastAsia="宋体" w:cs="Times New Roman"/>
                        <w:color w:val="000000" w:themeColor="text1"/>
                        <w:sz w:val="24"/>
                        <w14:textFill>
                          <w14:solidFill>
                            <w14:schemeClr w14:val="tx1"/>
                          </w14:solidFill>
                        </w14:textFill>
                      </w:rPr>
                      <m:t>α</m:t>
                    </m:r>
                    <m:d>
                      <m:dPr>
                        <m:ctrlPr>
                          <w:rPr>
                            <w:rFonts w:hint="default" w:ascii="Cambria Math" w:hAnsi="Cambria Math" w:eastAsia="宋体" w:cs="Times New Roman"/>
                            <w:i/>
                            <w:color w:val="000000" w:themeColor="text1"/>
                            <w:sz w:val="24"/>
                            <w14:textFill>
                              <w14:solidFill>
                                <w14:schemeClr w14:val="tx1"/>
                              </w14:solidFill>
                            </w14:textFill>
                          </w:rPr>
                        </m:ctrlPr>
                      </m:dPr>
                      <m:e>
                        <m:r>
                          <m:rPr/>
                          <w:rPr>
                            <w:rFonts w:hint="default" w:ascii="Cambria Math" w:hAnsi="Cambria Math" w:eastAsia="宋体" w:cs="Times New Roman"/>
                            <w:color w:val="000000" w:themeColor="text1"/>
                            <w:sz w:val="24"/>
                            <w14:textFill>
                              <w14:solidFill>
                                <w14:schemeClr w14:val="tx1"/>
                              </w14:solidFill>
                            </w14:textFill>
                          </w:rPr>
                          <m:t>r−</m:t>
                        </m:r>
                        <m:sSub>
                          <m:sSubPr>
                            <m:ctrlPr>
                              <w:rPr>
                                <w:rFonts w:hint="default" w:ascii="Cambria Math" w:hAnsi="Cambria Math" w:eastAsia="宋体" w:cs="Times New Roman"/>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r</m:t>
                            </m:r>
                            <m:ctrlPr>
                              <w:rPr>
                                <w:rFonts w:hint="default" w:ascii="Cambria Math" w:hAnsi="Cambria Math" w:eastAsia="宋体" w:cs="Times New Roman"/>
                                <w:i/>
                                <w:color w:val="000000" w:themeColor="text1"/>
                                <w:sz w:val="24"/>
                                <w14:textFill>
                                  <w14:solidFill>
                                    <w14:schemeClr w14:val="tx1"/>
                                  </w14:solidFill>
                                </w14:textFill>
                              </w:rPr>
                            </m:ctrlPr>
                          </m:e>
                          <m:sub>
                            <m:r>
                              <m:rPr/>
                              <w:rPr>
                                <w:rFonts w:hint="default" w:ascii="Cambria Math" w:hAnsi="Cambria Math" w:eastAsia="宋体" w:cs="Times New Roman"/>
                                <w:color w:val="000000" w:themeColor="text1"/>
                                <w:sz w:val="24"/>
                                <w14:textFill>
                                  <w14:solidFill>
                                    <w14:schemeClr w14:val="tx1"/>
                                  </w14:solidFill>
                                </w14:textFill>
                              </w:rPr>
                              <m:t>0</m:t>
                            </m:r>
                            <m:ctrlPr>
                              <w:rPr>
                                <w:rFonts w:hint="default" w:ascii="Cambria Math" w:hAnsi="Cambria Math" w:eastAsia="宋体" w:cs="Times New Roman"/>
                                <w:i/>
                                <w:color w:val="000000" w:themeColor="text1"/>
                                <w:sz w:val="24"/>
                                <w14:textFill>
                                  <w14:solidFill>
                                    <w14:schemeClr w14:val="tx1"/>
                                  </w14:solidFill>
                                </w14:textFill>
                              </w:rPr>
                            </m:ctrlPr>
                          </m:sub>
                        </m:sSub>
                        <m:ctrlPr>
                          <w:rPr>
                            <w:rFonts w:hint="default" w:ascii="Cambria Math" w:hAnsi="Cambria Math" w:eastAsia="宋体" w:cs="Times New Roman"/>
                            <w:i/>
                            <w:color w:val="000000" w:themeColor="text1"/>
                            <w:sz w:val="24"/>
                            <w14:textFill>
                              <w14:solidFill>
                                <w14:schemeClr w14:val="tx1"/>
                              </w14:solidFill>
                            </w14:textFill>
                          </w:rPr>
                        </m:ctrlPr>
                      </m:e>
                    </m:d>
                    <m:ctrlPr>
                      <w:rPr>
                        <w:rFonts w:hint="default" w:ascii="Cambria Math" w:hAnsi="Cambria Math" w:eastAsia="宋体" w:cs="Times New Roman"/>
                        <w:i/>
                        <w:color w:val="000000" w:themeColor="text1"/>
                        <w:sz w:val="24"/>
                        <w14:textFill>
                          <w14:solidFill>
                            <w14:schemeClr w14:val="tx1"/>
                          </w14:solidFill>
                        </w14:textFill>
                      </w:rPr>
                    </m:ctrlPr>
                  </m:num>
                  <m:den>
                    <m:r>
                      <m:rPr/>
                      <w:rPr>
                        <w:rFonts w:hint="default" w:ascii="Cambria Math" w:hAnsi="Cambria Math" w:eastAsia="宋体" w:cs="Times New Roman"/>
                        <w:color w:val="000000" w:themeColor="text1"/>
                        <w:sz w:val="24"/>
                        <w14:textFill>
                          <w14:solidFill>
                            <w14:schemeClr w14:val="tx1"/>
                          </w14:solidFill>
                        </w14:textFill>
                      </w:rPr>
                      <m:t>100</m:t>
                    </m:r>
                    <m:ctrlPr>
                      <w:rPr>
                        <w:rFonts w:hint="default" w:ascii="Cambria Math" w:hAnsi="Cambria Math" w:eastAsia="宋体" w:cs="Times New Roman"/>
                        <w:i/>
                        <w:color w:val="000000" w:themeColor="text1"/>
                        <w:sz w:val="24"/>
                        <w14:textFill>
                          <w14:solidFill>
                            <w14:schemeClr w14:val="tx1"/>
                          </w14:solidFill>
                        </w14:textFill>
                      </w:rPr>
                    </m:ctrlPr>
                  </m:den>
                </m:f>
              </m:oMath>
            </m:oMathPara>
          </w:p>
          <w:p>
            <w:pPr>
              <w:adjustRightInd w:val="0"/>
              <w:snapToGrid w:val="0"/>
              <w:spacing w:line="360" w:lineRule="auto"/>
              <w:ind w:firstLine="482"/>
              <w:rPr>
                <w:rFonts w:hint="default" w:ascii="Times New Roman" w:hAnsi="Times New Roman" w:eastAsia="宋体" w:cs="Times New Roman"/>
                <w:color w:val="000000" w:themeColor="text1"/>
                <w:spacing w:val="-6"/>
                <w:sz w:val="24"/>
                <w14:textFill>
                  <w14:solidFill>
                    <w14:schemeClr w14:val="tx1"/>
                  </w14:solidFill>
                </w14:textFill>
              </w:rPr>
            </w:pPr>
            <w:r>
              <w:rPr>
                <w:rFonts w:hint="default" w:ascii="Times New Roman" w:hAnsi="Times New Roman" w:eastAsia="宋体" w:cs="Times New Roman"/>
                <w:color w:val="000000" w:themeColor="text1"/>
                <w:spacing w:val="-6"/>
                <w:sz w:val="24"/>
                <w14:textFill>
                  <w14:solidFill>
                    <w14:schemeClr w14:val="tx1"/>
                  </w14:solidFill>
                </w14:textFill>
              </w:rPr>
              <w:t>式中：α与温度、湿度和声波频率有关的大气吸收衰减系数，预测计算中一般根据建设项目所处区域常年平均气温和湿度选择相应的大气吸收衰减系数。</w:t>
            </w:r>
          </w:p>
          <w:p>
            <w:pPr>
              <w:adjustRightInd w:val="0"/>
              <w:snapToGrid w:val="0"/>
              <w:spacing w:line="360" w:lineRule="auto"/>
              <w:ind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③地面效应引起的衰减：</w:t>
            </w:r>
          </w:p>
          <w:p>
            <w:pPr>
              <w:adjustRightInd w:val="0"/>
              <w:snapToGrid w:val="0"/>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m:oMathPara>
              <m:oMath>
                <m:sSub>
                  <m:sSubPr>
                    <m:ctrlPr>
                      <w:rPr>
                        <w:rFonts w:hint="default" w:ascii="Cambria Math" w:hAnsi="Cambria Math" w:eastAsia="宋体" w:cs="Times New Roman"/>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A</m:t>
                    </m:r>
                    <m:ctrlPr>
                      <w:rPr>
                        <w:rFonts w:hint="default" w:ascii="Cambria Math" w:hAnsi="Cambria Math" w:eastAsia="宋体" w:cs="Times New Roman"/>
                        <w:color w:val="000000" w:themeColor="text1"/>
                        <w:sz w:val="24"/>
                        <w14:textFill>
                          <w14:solidFill>
                            <w14:schemeClr w14:val="tx1"/>
                          </w14:solidFill>
                        </w14:textFill>
                      </w:rPr>
                    </m:ctrlPr>
                  </m:e>
                  <m:sub>
                    <m:r>
                      <m:rPr>
                        <m:sty m:val="p"/>
                      </m:rPr>
                      <w:rPr>
                        <w:rFonts w:hint="default" w:ascii="Cambria Math" w:hAnsi="Cambria Math" w:eastAsia="宋体" w:cs="Times New Roman"/>
                        <w:color w:val="000000" w:themeColor="text1"/>
                        <w:sz w:val="24"/>
                        <w14:textFill>
                          <w14:solidFill>
                            <w14:schemeClr w14:val="tx1"/>
                          </w14:solidFill>
                        </w14:textFill>
                      </w:rPr>
                      <m:t>gr</m:t>
                    </m:r>
                    <m:ctrlPr>
                      <w:rPr>
                        <w:rFonts w:hint="default" w:ascii="Cambria Math" w:hAnsi="Cambria Math" w:eastAsia="宋体" w:cs="Times New Roman"/>
                        <w:color w:val="000000" w:themeColor="text1"/>
                        <w:sz w:val="24"/>
                        <w14:textFill>
                          <w14:solidFill>
                            <w14:schemeClr w14:val="tx1"/>
                          </w14:solidFill>
                        </w14:textFill>
                      </w:rPr>
                    </m:ctrlPr>
                  </m:sub>
                </m:sSub>
                <m:r>
                  <m:rPr/>
                  <w:rPr>
                    <w:rFonts w:hint="default" w:ascii="Cambria Math" w:hAnsi="Cambria Math" w:eastAsia="宋体" w:cs="Times New Roman"/>
                    <w:color w:val="000000" w:themeColor="text1"/>
                    <w:sz w:val="24"/>
                    <w14:textFill>
                      <w14:solidFill>
                        <w14:schemeClr w14:val="tx1"/>
                      </w14:solidFill>
                    </w14:textFill>
                  </w:rPr>
                  <m:t>=4.8−</m:t>
                </m:r>
                <m:d>
                  <m:dPr>
                    <m:ctrlPr>
                      <w:rPr>
                        <w:rFonts w:hint="default" w:ascii="Cambria Math" w:hAnsi="Cambria Math" w:eastAsia="宋体" w:cs="Times New Roman"/>
                        <w:i/>
                        <w:color w:val="000000" w:themeColor="text1"/>
                        <w:sz w:val="24"/>
                        <w14:textFill>
                          <w14:solidFill>
                            <w14:schemeClr w14:val="tx1"/>
                          </w14:solidFill>
                        </w14:textFill>
                      </w:rPr>
                    </m:ctrlPr>
                  </m:dPr>
                  <m:e>
                    <m:f>
                      <m:fPr>
                        <m:ctrlPr>
                          <w:rPr>
                            <w:rFonts w:hint="default" w:ascii="Cambria Math" w:hAnsi="Cambria Math" w:eastAsia="宋体" w:cs="Times New Roman"/>
                            <w:i/>
                            <w:color w:val="000000" w:themeColor="text1"/>
                            <w:sz w:val="24"/>
                            <w14:textFill>
                              <w14:solidFill>
                                <w14:schemeClr w14:val="tx1"/>
                              </w14:solidFill>
                            </w14:textFill>
                          </w:rPr>
                        </m:ctrlPr>
                      </m:fPr>
                      <m:num>
                        <m:r>
                          <m:rPr/>
                          <w:rPr>
                            <w:rFonts w:hint="default" w:ascii="Cambria Math" w:hAnsi="Cambria Math" w:eastAsia="宋体" w:cs="Times New Roman"/>
                            <w:color w:val="000000" w:themeColor="text1"/>
                            <w:sz w:val="24"/>
                            <w14:textFill>
                              <w14:solidFill>
                                <w14:schemeClr w14:val="tx1"/>
                              </w14:solidFill>
                            </w14:textFill>
                          </w:rPr>
                          <m:t>2</m:t>
                        </m:r>
                        <m:sSub>
                          <m:sSubPr>
                            <m:ctrlPr>
                              <w:rPr>
                                <w:rFonts w:hint="default" w:ascii="Cambria Math" w:hAnsi="Cambria Math" w:eastAsia="宋体" w:cs="Times New Roman"/>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ℎ</m:t>
                            </m:r>
                            <m:ctrlPr>
                              <w:rPr>
                                <w:rFonts w:hint="default" w:ascii="Cambria Math" w:hAnsi="Cambria Math" w:eastAsia="宋体" w:cs="Times New Roman"/>
                                <w:i/>
                                <w:color w:val="000000" w:themeColor="text1"/>
                                <w:sz w:val="24"/>
                                <w14:textFill>
                                  <w14:solidFill>
                                    <w14:schemeClr w14:val="tx1"/>
                                  </w14:solidFill>
                                </w14:textFill>
                              </w:rPr>
                            </m:ctrlPr>
                          </m:e>
                          <m:sub>
                            <m:r>
                              <m:rPr/>
                              <w:rPr>
                                <w:rFonts w:hint="default" w:ascii="Cambria Math" w:hAnsi="Cambria Math" w:eastAsia="宋体" w:cs="Times New Roman"/>
                                <w:color w:val="000000" w:themeColor="text1"/>
                                <w:sz w:val="24"/>
                                <w14:textFill>
                                  <w14:solidFill>
                                    <w14:schemeClr w14:val="tx1"/>
                                  </w14:solidFill>
                                </w14:textFill>
                              </w:rPr>
                              <m:t>m</m:t>
                            </m:r>
                            <m:ctrlPr>
                              <w:rPr>
                                <w:rFonts w:hint="default" w:ascii="Cambria Math" w:hAnsi="Cambria Math" w:eastAsia="宋体" w:cs="Times New Roman"/>
                                <w:i/>
                                <w:color w:val="000000" w:themeColor="text1"/>
                                <w:sz w:val="24"/>
                                <w14:textFill>
                                  <w14:solidFill>
                                    <w14:schemeClr w14:val="tx1"/>
                                  </w14:solidFill>
                                </w14:textFill>
                              </w:rPr>
                            </m:ctrlPr>
                          </m:sub>
                        </m:sSub>
                        <m:ctrlPr>
                          <w:rPr>
                            <w:rFonts w:hint="default" w:ascii="Cambria Math" w:hAnsi="Cambria Math" w:eastAsia="宋体" w:cs="Times New Roman"/>
                            <w:i/>
                            <w:color w:val="000000" w:themeColor="text1"/>
                            <w:sz w:val="24"/>
                            <w14:textFill>
                              <w14:solidFill>
                                <w14:schemeClr w14:val="tx1"/>
                              </w14:solidFill>
                            </w14:textFill>
                          </w:rPr>
                        </m:ctrlPr>
                      </m:num>
                      <m:den>
                        <m:r>
                          <m:rPr/>
                          <w:rPr>
                            <w:rFonts w:hint="default" w:ascii="Cambria Math" w:hAnsi="Cambria Math" w:eastAsia="宋体" w:cs="Times New Roman"/>
                            <w:color w:val="000000" w:themeColor="text1"/>
                            <w:sz w:val="24"/>
                            <w14:textFill>
                              <w14:solidFill>
                                <w14:schemeClr w14:val="tx1"/>
                              </w14:solidFill>
                            </w14:textFill>
                          </w:rPr>
                          <m:t>r</m:t>
                        </m:r>
                        <m:ctrlPr>
                          <w:rPr>
                            <w:rFonts w:hint="default" w:ascii="Cambria Math" w:hAnsi="Cambria Math" w:eastAsia="宋体" w:cs="Times New Roman"/>
                            <w:i/>
                            <w:color w:val="000000" w:themeColor="text1"/>
                            <w:sz w:val="24"/>
                            <w14:textFill>
                              <w14:solidFill>
                                <w14:schemeClr w14:val="tx1"/>
                              </w14:solidFill>
                            </w14:textFill>
                          </w:rPr>
                        </m:ctrlPr>
                      </m:den>
                    </m:f>
                    <m:ctrlPr>
                      <w:rPr>
                        <w:rFonts w:hint="default" w:ascii="Cambria Math" w:hAnsi="Cambria Math" w:eastAsia="宋体" w:cs="Times New Roman"/>
                        <w:i/>
                        <w:color w:val="000000" w:themeColor="text1"/>
                        <w:sz w:val="24"/>
                        <w14:textFill>
                          <w14:solidFill>
                            <w14:schemeClr w14:val="tx1"/>
                          </w14:solidFill>
                        </w14:textFill>
                      </w:rPr>
                    </m:ctrlPr>
                  </m:e>
                </m:d>
                <m:d>
                  <m:dPr>
                    <m:ctrlPr>
                      <w:rPr>
                        <w:rFonts w:hint="default" w:ascii="Cambria Math" w:hAnsi="Cambria Math" w:eastAsia="宋体" w:cs="Times New Roman"/>
                        <w:i/>
                        <w:color w:val="000000" w:themeColor="text1"/>
                        <w:sz w:val="24"/>
                        <w14:textFill>
                          <w14:solidFill>
                            <w14:schemeClr w14:val="tx1"/>
                          </w14:solidFill>
                        </w14:textFill>
                      </w:rPr>
                    </m:ctrlPr>
                  </m:dPr>
                  <m:e>
                    <m:r>
                      <m:rPr/>
                      <w:rPr>
                        <w:rFonts w:hint="default" w:ascii="Cambria Math" w:hAnsi="Cambria Math" w:eastAsia="宋体" w:cs="Times New Roman"/>
                        <w:color w:val="000000" w:themeColor="text1"/>
                        <w:sz w:val="24"/>
                        <w14:textFill>
                          <w14:solidFill>
                            <w14:schemeClr w14:val="tx1"/>
                          </w14:solidFill>
                        </w14:textFill>
                      </w:rPr>
                      <m:t>17+</m:t>
                    </m:r>
                    <m:f>
                      <m:fPr>
                        <m:ctrlPr>
                          <w:rPr>
                            <w:rFonts w:hint="default" w:ascii="Cambria Math" w:hAnsi="Cambria Math" w:eastAsia="宋体" w:cs="Times New Roman"/>
                            <w:i/>
                            <w:color w:val="000000" w:themeColor="text1"/>
                            <w:sz w:val="24"/>
                            <w14:textFill>
                              <w14:solidFill>
                                <w14:schemeClr w14:val="tx1"/>
                              </w14:solidFill>
                            </w14:textFill>
                          </w:rPr>
                        </m:ctrlPr>
                      </m:fPr>
                      <m:num>
                        <m:r>
                          <m:rPr/>
                          <w:rPr>
                            <w:rFonts w:hint="default" w:ascii="Cambria Math" w:hAnsi="Cambria Math" w:eastAsia="宋体" w:cs="Times New Roman"/>
                            <w:color w:val="000000" w:themeColor="text1"/>
                            <w:sz w:val="24"/>
                            <w14:textFill>
                              <w14:solidFill>
                                <w14:schemeClr w14:val="tx1"/>
                              </w14:solidFill>
                            </w14:textFill>
                          </w:rPr>
                          <m:t>300</m:t>
                        </m:r>
                        <m:ctrlPr>
                          <w:rPr>
                            <w:rFonts w:hint="default" w:ascii="Cambria Math" w:hAnsi="Cambria Math" w:eastAsia="宋体" w:cs="Times New Roman"/>
                            <w:i/>
                            <w:color w:val="000000" w:themeColor="text1"/>
                            <w:sz w:val="24"/>
                            <w14:textFill>
                              <w14:solidFill>
                                <w14:schemeClr w14:val="tx1"/>
                              </w14:solidFill>
                            </w14:textFill>
                          </w:rPr>
                        </m:ctrlPr>
                      </m:num>
                      <m:den>
                        <m:r>
                          <m:rPr/>
                          <w:rPr>
                            <w:rFonts w:hint="default" w:ascii="Cambria Math" w:hAnsi="Cambria Math" w:eastAsia="宋体" w:cs="Times New Roman"/>
                            <w:color w:val="000000" w:themeColor="text1"/>
                            <w:sz w:val="24"/>
                            <w14:textFill>
                              <w14:solidFill>
                                <w14:schemeClr w14:val="tx1"/>
                              </w14:solidFill>
                            </w14:textFill>
                          </w:rPr>
                          <m:t>r</m:t>
                        </m:r>
                        <m:ctrlPr>
                          <w:rPr>
                            <w:rFonts w:hint="default" w:ascii="Cambria Math" w:hAnsi="Cambria Math" w:eastAsia="宋体" w:cs="Times New Roman"/>
                            <w:i/>
                            <w:color w:val="000000" w:themeColor="text1"/>
                            <w:sz w:val="24"/>
                            <w14:textFill>
                              <w14:solidFill>
                                <w14:schemeClr w14:val="tx1"/>
                              </w14:solidFill>
                            </w14:textFill>
                          </w:rPr>
                        </m:ctrlPr>
                      </m:den>
                    </m:f>
                    <m:ctrlPr>
                      <w:rPr>
                        <w:rFonts w:hint="default" w:ascii="Cambria Math" w:hAnsi="Cambria Math" w:eastAsia="宋体" w:cs="Times New Roman"/>
                        <w:i/>
                        <w:color w:val="000000" w:themeColor="text1"/>
                        <w:sz w:val="24"/>
                        <w14:textFill>
                          <w14:solidFill>
                            <w14:schemeClr w14:val="tx1"/>
                          </w14:solidFill>
                        </w14:textFill>
                      </w:rPr>
                    </m:ctrlPr>
                  </m:e>
                </m:d>
              </m:oMath>
            </m:oMathPara>
          </w:p>
          <w:p>
            <w:pPr>
              <w:spacing w:line="360" w:lineRule="auto"/>
              <w:ind w:firstLine="1200" w:firstLineChars="5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式中：r为预测点距声源的距离，m；</w:t>
            </w:r>
          </w:p>
          <w:p>
            <w:pPr>
              <w:spacing w:line="360" w:lineRule="auto"/>
              <w:ind w:firstLine="1200" w:firstLineChars="5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h</w:t>
            </w:r>
            <w:r>
              <w:rPr>
                <w:rFonts w:hint="default" w:ascii="Times New Roman" w:hAnsi="Times New Roman" w:eastAsia="宋体" w:cs="Times New Roman"/>
                <w:color w:val="000000" w:themeColor="text1"/>
                <w:sz w:val="24"/>
                <w:vertAlign w:val="subscript"/>
                <w14:textFill>
                  <w14:solidFill>
                    <w14:schemeClr w14:val="tx1"/>
                  </w14:solidFill>
                </w14:textFill>
              </w:rPr>
              <w:t>m</w:t>
            </w:r>
            <w:r>
              <w:rPr>
                <w:rFonts w:hint="default" w:ascii="Times New Roman" w:hAnsi="Times New Roman" w:eastAsia="宋体" w:cs="Times New Roman"/>
                <w:color w:val="000000" w:themeColor="text1"/>
                <w:sz w:val="24"/>
                <w14:textFill>
                  <w14:solidFill>
                    <w14:schemeClr w14:val="tx1"/>
                  </w14:solidFill>
                </w14:textFill>
              </w:rPr>
              <w:t>为传播路径的平均离地高度，m。</w:t>
            </w:r>
          </w:p>
          <w:p>
            <w:pPr>
              <w:spacing w:line="360" w:lineRule="auto"/>
              <w:ind w:firstLine="480" w:firstLineChars="20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（3）某点总等效声级</w:t>
            </w:r>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多个点源在预测点产生的总等效声级采用以下计算模式：</w:t>
            </w:r>
          </w:p>
          <w:p>
            <w:pPr>
              <w:ind w:firstLine="480" w:firstLineChars="200"/>
              <w:jc w:val="center"/>
              <w:rPr>
                <w:rFonts w:hint="default" w:ascii="Times New Roman" w:hAnsi="Times New Roman" w:eastAsia="宋体" w:cs="Times New Roman"/>
                <w:bCs/>
                <w:color w:val="000000" w:themeColor="text1"/>
                <w:sz w:val="24"/>
                <w14:textFill>
                  <w14:solidFill>
                    <w14:schemeClr w14:val="tx1"/>
                  </w14:solidFill>
                </w14:textFill>
              </w:rPr>
            </w:pPr>
            <m:oMathPara>
              <m:oMath>
                <m:sSub>
                  <m:sSubPr>
                    <m:ctrlPr>
                      <w:rPr>
                        <w:rFonts w:hint="default" w:ascii="Cambria Math" w:hAnsi="Cambria Math" w:eastAsia="宋体" w:cs="Times New Roman"/>
                        <w:bCs/>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L</m:t>
                    </m:r>
                    <m:ctrlPr>
                      <w:rPr>
                        <w:rFonts w:hint="default" w:ascii="Cambria Math" w:hAnsi="Cambria Math" w:eastAsia="宋体" w:cs="Times New Roman"/>
                        <w:bCs/>
                        <w:i/>
                        <w:color w:val="000000" w:themeColor="text1"/>
                        <w:sz w:val="24"/>
                        <w14:textFill>
                          <w14:solidFill>
                            <w14:schemeClr w14:val="tx1"/>
                          </w14:solidFill>
                        </w14:textFill>
                      </w:rPr>
                    </m:ctrlPr>
                  </m:e>
                  <m:sub>
                    <m:r>
                      <m:rPr/>
                      <w:rPr>
                        <w:rFonts w:hint="default" w:ascii="Cambria Math" w:hAnsi="Cambria Math" w:eastAsia="宋体" w:cs="Times New Roman"/>
                        <w:color w:val="000000" w:themeColor="text1"/>
                        <w:sz w:val="24"/>
                        <w14:textFill>
                          <w14:solidFill>
                            <w14:schemeClr w14:val="tx1"/>
                          </w14:solidFill>
                        </w14:textFill>
                      </w:rPr>
                      <m:t>eqg</m:t>
                    </m:r>
                    <m:ctrlPr>
                      <w:rPr>
                        <w:rFonts w:hint="default" w:ascii="Cambria Math" w:hAnsi="Cambria Math" w:eastAsia="宋体" w:cs="Times New Roman"/>
                        <w:bCs/>
                        <w:i/>
                        <w:color w:val="000000" w:themeColor="text1"/>
                        <w:sz w:val="24"/>
                        <w14:textFill>
                          <w14:solidFill>
                            <w14:schemeClr w14:val="tx1"/>
                          </w14:solidFill>
                        </w14:textFill>
                      </w:rPr>
                    </m:ctrlPr>
                  </m:sub>
                </m:sSub>
                <m:r>
                  <m:rPr>
                    <m:sty m:val="p"/>
                  </m:rPr>
                  <w:rPr>
                    <w:rFonts w:hint="default" w:ascii="Cambria Math" w:hAnsi="Cambria Math" w:eastAsia="宋体" w:cs="Times New Roman"/>
                    <w:color w:val="000000" w:themeColor="text1"/>
                    <w:sz w:val="24"/>
                    <w14:textFill>
                      <w14:solidFill>
                        <w14:schemeClr w14:val="tx1"/>
                      </w14:solidFill>
                    </w14:textFill>
                  </w:rPr>
                  <m:t>=10lg</m:t>
                </m:r>
                <m:d>
                  <m:dPr>
                    <m:begChr m:val="["/>
                    <m:endChr m:val="]"/>
                    <m:ctrlPr>
                      <w:rPr>
                        <w:rFonts w:hint="default" w:ascii="Cambria Math" w:hAnsi="Cambria Math" w:eastAsia="宋体" w:cs="Times New Roman"/>
                        <w:color w:val="000000" w:themeColor="text1"/>
                        <w:sz w:val="24"/>
                        <w14:textFill>
                          <w14:solidFill>
                            <w14:schemeClr w14:val="tx1"/>
                          </w14:solidFill>
                        </w14:textFill>
                      </w:rPr>
                    </m:ctrlPr>
                  </m:dPr>
                  <m:e>
                    <m:f>
                      <m:fPr>
                        <m:ctrlPr>
                          <w:rPr>
                            <w:rFonts w:hint="default" w:ascii="Cambria Math" w:hAnsi="Cambria Math" w:eastAsia="宋体" w:cs="Times New Roman"/>
                            <w:bCs/>
                            <w:i/>
                            <w:color w:val="000000" w:themeColor="text1"/>
                            <w:sz w:val="24"/>
                            <w14:textFill>
                              <w14:solidFill>
                                <w14:schemeClr w14:val="tx1"/>
                              </w14:solidFill>
                            </w14:textFill>
                          </w:rPr>
                        </m:ctrlPr>
                      </m:fPr>
                      <m:num>
                        <m:r>
                          <m:rPr/>
                          <w:rPr>
                            <w:rFonts w:hint="default" w:ascii="Cambria Math" w:hAnsi="Cambria Math" w:eastAsia="宋体" w:cs="Times New Roman"/>
                            <w:color w:val="000000" w:themeColor="text1"/>
                            <w:sz w:val="24"/>
                            <w14:textFill>
                              <w14:solidFill>
                                <w14:schemeClr w14:val="tx1"/>
                              </w14:solidFill>
                            </w14:textFill>
                          </w:rPr>
                          <m:t>1</m:t>
                        </m:r>
                        <m:ctrlPr>
                          <w:rPr>
                            <w:rFonts w:hint="default" w:ascii="Cambria Math" w:hAnsi="Cambria Math" w:eastAsia="宋体" w:cs="Times New Roman"/>
                            <w:bCs/>
                            <w:i/>
                            <w:color w:val="000000" w:themeColor="text1"/>
                            <w:sz w:val="24"/>
                            <w14:textFill>
                              <w14:solidFill>
                                <w14:schemeClr w14:val="tx1"/>
                              </w14:solidFill>
                            </w14:textFill>
                          </w:rPr>
                        </m:ctrlPr>
                      </m:num>
                      <m:den>
                        <m:r>
                          <m:rPr/>
                          <w:rPr>
                            <w:rFonts w:hint="default" w:ascii="Cambria Math" w:hAnsi="Cambria Math" w:eastAsia="宋体" w:cs="Times New Roman"/>
                            <w:color w:val="000000" w:themeColor="text1"/>
                            <w:sz w:val="24"/>
                            <w14:textFill>
                              <w14:solidFill>
                                <w14:schemeClr w14:val="tx1"/>
                              </w14:solidFill>
                            </w14:textFill>
                          </w:rPr>
                          <m:t>T</m:t>
                        </m:r>
                        <m:ctrlPr>
                          <w:rPr>
                            <w:rFonts w:hint="default" w:ascii="Cambria Math" w:hAnsi="Cambria Math" w:eastAsia="宋体" w:cs="Times New Roman"/>
                            <w:bCs/>
                            <w:i/>
                            <w:color w:val="000000" w:themeColor="text1"/>
                            <w:sz w:val="24"/>
                            <w14:textFill>
                              <w14:solidFill>
                                <w14:schemeClr w14:val="tx1"/>
                              </w14:solidFill>
                            </w14:textFill>
                          </w:rPr>
                        </m:ctrlPr>
                      </m:den>
                    </m:f>
                    <m:d>
                      <m:dPr>
                        <m:ctrlPr>
                          <w:rPr>
                            <w:rFonts w:hint="default" w:ascii="Cambria Math" w:hAnsi="Cambria Math" w:eastAsia="宋体" w:cs="Times New Roman"/>
                            <w:bCs/>
                            <w:i/>
                            <w:color w:val="000000" w:themeColor="text1"/>
                            <w:sz w:val="24"/>
                            <w14:textFill>
                              <w14:solidFill>
                                <w14:schemeClr w14:val="tx1"/>
                              </w14:solidFill>
                            </w14:textFill>
                          </w:rPr>
                        </m:ctrlPr>
                      </m:dPr>
                      <m:e>
                        <m:nary>
                          <m:naryPr>
                            <m:chr m:val="∑"/>
                            <m:limLoc m:val="undOvr"/>
                            <m:ctrlPr>
                              <w:rPr>
                                <w:rFonts w:hint="default" w:ascii="Cambria Math" w:hAnsi="Cambria Math" w:eastAsia="宋体" w:cs="Times New Roman"/>
                                <w:bCs/>
                                <w:i/>
                                <w:color w:val="000000" w:themeColor="text1"/>
                                <w:sz w:val="24"/>
                                <w14:textFill>
                                  <w14:solidFill>
                                    <w14:schemeClr w14:val="tx1"/>
                                  </w14:solidFill>
                                </w14:textFill>
                              </w:rPr>
                            </m:ctrlPr>
                          </m:naryPr>
                          <m:sub>
                            <m:r>
                              <m:rPr/>
                              <w:rPr>
                                <w:rFonts w:hint="default" w:ascii="Cambria Math" w:hAnsi="Cambria Math" w:eastAsia="宋体" w:cs="Times New Roman"/>
                                <w:color w:val="000000" w:themeColor="text1"/>
                                <w:sz w:val="24"/>
                                <w14:textFill>
                                  <w14:solidFill>
                                    <w14:schemeClr w14:val="tx1"/>
                                  </w14:solidFill>
                                </w14:textFill>
                              </w:rPr>
                              <m:t>i=1</m:t>
                            </m:r>
                            <m:ctrlPr>
                              <w:rPr>
                                <w:rFonts w:hint="default" w:ascii="Cambria Math" w:hAnsi="Cambria Math" w:eastAsia="宋体" w:cs="Times New Roman"/>
                                <w:bCs/>
                                <w:i/>
                                <w:color w:val="000000" w:themeColor="text1"/>
                                <w:sz w:val="24"/>
                                <w14:textFill>
                                  <w14:solidFill>
                                    <w14:schemeClr w14:val="tx1"/>
                                  </w14:solidFill>
                                </w14:textFill>
                              </w:rPr>
                            </m:ctrlPr>
                          </m:sub>
                          <m:sup>
                            <m:r>
                              <m:rPr/>
                              <w:rPr>
                                <w:rFonts w:hint="default" w:ascii="Cambria Math" w:hAnsi="Cambria Math" w:eastAsia="宋体" w:cs="Times New Roman"/>
                                <w:color w:val="000000" w:themeColor="text1"/>
                                <w:sz w:val="24"/>
                                <w14:textFill>
                                  <w14:solidFill>
                                    <w14:schemeClr w14:val="tx1"/>
                                  </w14:solidFill>
                                </w14:textFill>
                              </w:rPr>
                              <m:t>N</m:t>
                            </m:r>
                            <m:ctrlPr>
                              <w:rPr>
                                <w:rFonts w:hint="default" w:ascii="Cambria Math" w:hAnsi="Cambria Math" w:eastAsia="宋体" w:cs="Times New Roman"/>
                                <w:bCs/>
                                <w:i/>
                                <w:color w:val="000000" w:themeColor="text1"/>
                                <w:sz w:val="24"/>
                                <w14:textFill>
                                  <w14:solidFill>
                                    <w14:schemeClr w14:val="tx1"/>
                                  </w14:solidFill>
                                </w14:textFill>
                              </w:rPr>
                            </m:ctrlPr>
                          </m:sup>
                          <m:e>
                            <m:sSub>
                              <m:sSubPr>
                                <m:ctrlPr>
                                  <w:rPr>
                                    <w:rFonts w:hint="default" w:ascii="Cambria Math" w:hAnsi="Cambria Math" w:eastAsia="宋体" w:cs="Times New Roman"/>
                                    <w:bCs/>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t</m:t>
                                </m:r>
                                <m:ctrlPr>
                                  <w:rPr>
                                    <w:rFonts w:hint="default" w:ascii="Cambria Math" w:hAnsi="Cambria Math" w:eastAsia="宋体" w:cs="Times New Roman"/>
                                    <w:bCs/>
                                    <w:i/>
                                    <w:color w:val="000000" w:themeColor="text1"/>
                                    <w:sz w:val="24"/>
                                    <w14:textFill>
                                      <w14:solidFill>
                                        <w14:schemeClr w14:val="tx1"/>
                                      </w14:solidFill>
                                    </w14:textFill>
                                  </w:rPr>
                                </m:ctrlPr>
                              </m:e>
                              <m:sub>
                                <m:r>
                                  <m:rPr/>
                                  <w:rPr>
                                    <w:rFonts w:hint="default" w:ascii="Cambria Math" w:hAnsi="Cambria Math" w:eastAsia="宋体" w:cs="Times New Roman"/>
                                    <w:color w:val="000000" w:themeColor="text1"/>
                                    <w:sz w:val="24"/>
                                    <w14:textFill>
                                      <w14:solidFill>
                                        <w14:schemeClr w14:val="tx1"/>
                                      </w14:solidFill>
                                    </w14:textFill>
                                  </w:rPr>
                                  <m:t>i</m:t>
                                </m:r>
                                <m:ctrlPr>
                                  <w:rPr>
                                    <w:rFonts w:hint="default" w:ascii="Cambria Math" w:hAnsi="Cambria Math" w:eastAsia="宋体" w:cs="Times New Roman"/>
                                    <w:bCs/>
                                    <w:i/>
                                    <w:color w:val="000000" w:themeColor="text1"/>
                                    <w:sz w:val="24"/>
                                    <w14:textFill>
                                      <w14:solidFill>
                                        <w14:schemeClr w14:val="tx1"/>
                                      </w14:solidFill>
                                    </w14:textFill>
                                  </w:rPr>
                                </m:ctrlPr>
                              </m:sub>
                            </m:sSub>
                            <m:ctrlPr>
                              <w:rPr>
                                <w:rFonts w:hint="default" w:ascii="Cambria Math" w:hAnsi="Cambria Math" w:eastAsia="宋体" w:cs="Times New Roman"/>
                                <w:bCs/>
                                <w:i/>
                                <w:color w:val="000000" w:themeColor="text1"/>
                                <w:sz w:val="24"/>
                                <w14:textFill>
                                  <w14:solidFill>
                                    <w14:schemeClr w14:val="tx1"/>
                                  </w14:solidFill>
                                </w14:textFill>
                              </w:rPr>
                            </m:ctrlPr>
                          </m:e>
                        </m:nary>
                        <m:sSup>
                          <m:sSupPr>
                            <m:ctrlPr>
                              <w:rPr>
                                <w:rFonts w:hint="default" w:ascii="Cambria Math" w:hAnsi="Cambria Math" w:eastAsia="宋体" w:cs="Times New Roman"/>
                                <w:bCs/>
                                <w:i/>
                                <w:color w:val="000000" w:themeColor="text1"/>
                                <w:sz w:val="24"/>
                                <w14:textFill>
                                  <w14:solidFill>
                                    <w14:schemeClr w14:val="tx1"/>
                                  </w14:solidFill>
                                </w14:textFill>
                              </w:rPr>
                            </m:ctrlPr>
                          </m:sSupPr>
                          <m:e>
                            <m:r>
                              <m:rPr/>
                              <w:rPr>
                                <w:rFonts w:hint="default" w:ascii="Cambria Math" w:hAnsi="Cambria Math" w:eastAsia="宋体" w:cs="Times New Roman"/>
                                <w:color w:val="000000" w:themeColor="text1"/>
                                <w:sz w:val="24"/>
                                <w14:textFill>
                                  <w14:solidFill>
                                    <w14:schemeClr w14:val="tx1"/>
                                  </w14:solidFill>
                                </w14:textFill>
                              </w:rPr>
                              <m:t>10</m:t>
                            </m:r>
                            <m:ctrlPr>
                              <w:rPr>
                                <w:rFonts w:hint="default" w:ascii="Cambria Math" w:hAnsi="Cambria Math" w:eastAsia="宋体" w:cs="Times New Roman"/>
                                <w:bCs/>
                                <w:i/>
                                <w:color w:val="000000" w:themeColor="text1"/>
                                <w:sz w:val="24"/>
                                <w14:textFill>
                                  <w14:solidFill>
                                    <w14:schemeClr w14:val="tx1"/>
                                  </w14:solidFill>
                                </w14:textFill>
                              </w:rPr>
                            </m:ctrlPr>
                          </m:e>
                          <m:sup>
                            <m:r>
                              <m:rPr/>
                              <w:rPr>
                                <w:rFonts w:hint="default" w:ascii="Cambria Math" w:hAnsi="Cambria Math" w:eastAsia="宋体" w:cs="Times New Roman"/>
                                <w:color w:val="000000" w:themeColor="text1"/>
                                <w:sz w:val="24"/>
                                <w14:textFill>
                                  <w14:solidFill>
                                    <w14:schemeClr w14:val="tx1"/>
                                  </w14:solidFill>
                                </w14:textFill>
                              </w:rPr>
                              <m:t>0.1</m:t>
                            </m:r>
                            <m:sSub>
                              <m:sSubPr>
                                <m:ctrlPr>
                                  <w:rPr>
                                    <w:rFonts w:hint="default" w:ascii="Cambria Math" w:hAnsi="Cambria Math" w:eastAsia="宋体" w:cs="Times New Roman"/>
                                    <w:bCs/>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L</m:t>
                                </m:r>
                                <m:ctrlPr>
                                  <w:rPr>
                                    <w:rFonts w:hint="default" w:ascii="Cambria Math" w:hAnsi="Cambria Math" w:eastAsia="宋体" w:cs="Times New Roman"/>
                                    <w:bCs/>
                                    <w:i/>
                                    <w:color w:val="000000" w:themeColor="text1"/>
                                    <w:sz w:val="24"/>
                                    <w14:textFill>
                                      <w14:solidFill>
                                        <w14:schemeClr w14:val="tx1"/>
                                      </w14:solidFill>
                                    </w14:textFill>
                                  </w:rPr>
                                </m:ctrlPr>
                              </m:e>
                              <m:sub>
                                <m:r>
                                  <m:rPr/>
                                  <w:rPr>
                                    <w:rFonts w:hint="default" w:ascii="Cambria Math" w:hAnsi="Cambria Math" w:eastAsia="宋体" w:cs="Times New Roman"/>
                                    <w:color w:val="000000" w:themeColor="text1"/>
                                    <w:sz w:val="24"/>
                                    <w14:textFill>
                                      <w14:solidFill>
                                        <w14:schemeClr w14:val="tx1"/>
                                      </w14:solidFill>
                                    </w14:textFill>
                                  </w:rPr>
                                  <m:t>Ai</m:t>
                                </m:r>
                                <m:ctrlPr>
                                  <w:rPr>
                                    <w:rFonts w:hint="default" w:ascii="Cambria Math" w:hAnsi="Cambria Math" w:eastAsia="宋体" w:cs="Times New Roman"/>
                                    <w:bCs/>
                                    <w:i/>
                                    <w:color w:val="000000" w:themeColor="text1"/>
                                    <w:sz w:val="24"/>
                                    <w14:textFill>
                                      <w14:solidFill>
                                        <w14:schemeClr w14:val="tx1"/>
                                      </w14:solidFill>
                                    </w14:textFill>
                                  </w:rPr>
                                </m:ctrlPr>
                              </m:sub>
                            </m:sSub>
                            <m:ctrlPr>
                              <w:rPr>
                                <w:rFonts w:hint="default" w:ascii="Cambria Math" w:hAnsi="Cambria Math" w:eastAsia="宋体" w:cs="Times New Roman"/>
                                <w:bCs/>
                                <w:i/>
                                <w:color w:val="000000" w:themeColor="text1"/>
                                <w:sz w:val="24"/>
                                <w14:textFill>
                                  <w14:solidFill>
                                    <w14:schemeClr w14:val="tx1"/>
                                  </w14:solidFill>
                                </w14:textFill>
                              </w:rPr>
                            </m:ctrlPr>
                          </m:sup>
                        </m:sSup>
                        <m:r>
                          <m:rPr/>
                          <w:rPr>
                            <w:rFonts w:hint="default" w:ascii="Cambria Math" w:hAnsi="Cambria Math" w:eastAsia="宋体" w:cs="Times New Roman"/>
                            <w:color w:val="000000" w:themeColor="text1"/>
                            <w:sz w:val="24"/>
                            <w14:textFill>
                              <w14:solidFill>
                                <w14:schemeClr w14:val="tx1"/>
                              </w14:solidFill>
                            </w14:textFill>
                          </w:rPr>
                          <m:t>+</m:t>
                        </m:r>
                        <m:nary>
                          <m:naryPr>
                            <m:chr m:val="∑"/>
                            <m:limLoc m:val="undOvr"/>
                            <m:ctrlPr>
                              <w:rPr>
                                <w:rFonts w:hint="default" w:ascii="Cambria Math" w:hAnsi="Cambria Math" w:eastAsia="宋体" w:cs="Times New Roman"/>
                                <w:bCs/>
                                <w:i/>
                                <w:color w:val="000000" w:themeColor="text1"/>
                                <w:sz w:val="24"/>
                                <w14:textFill>
                                  <w14:solidFill>
                                    <w14:schemeClr w14:val="tx1"/>
                                  </w14:solidFill>
                                </w14:textFill>
                              </w:rPr>
                            </m:ctrlPr>
                          </m:naryPr>
                          <m:sub>
                            <m:r>
                              <m:rPr/>
                              <w:rPr>
                                <w:rFonts w:hint="default" w:ascii="Cambria Math" w:hAnsi="Cambria Math" w:eastAsia="宋体" w:cs="Times New Roman"/>
                                <w:color w:val="000000" w:themeColor="text1"/>
                                <w:sz w:val="24"/>
                                <w14:textFill>
                                  <w14:solidFill>
                                    <w14:schemeClr w14:val="tx1"/>
                                  </w14:solidFill>
                                </w14:textFill>
                              </w:rPr>
                              <m:t>j=1</m:t>
                            </m:r>
                            <m:ctrlPr>
                              <w:rPr>
                                <w:rFonts w:hint="default" w:ascii="Cambria Math" w:hAnsi="Cambria Math" w:eastAsia="宋体" w:cs="Times New Roman"/>
                                <w:bCs/>
                                <w:i/>
                                <w:color w:val="000000" w:themeColor="text1"/>
                                <w:sz w:val="24"/>
                                <w14:textFill>
                                  <w14:solidFill>
                                    <w14:schemeClr w14:val="tx1"/>
                                  </w14:solidFill>
                                </w14:textFill>
                              </w:rPr>
                            </m:ctrlPr>
                          </m:sub>
                          <m:sup>
                            <m:r>
                              <m:rPr/>
                              <w:rPr>
                                <w:rFonts w:hint="default" w:ascii="Cambria Math" w:hAnsi="Cambria Math" w:eastAsia="宋体" w:cs="Times New Roman"/>
                                <w:color w:val="000000" w:themeColor="text1"/>
                                <w:sz w:val="24"/>
                                <w14:textFill>
                                  <w14:solidFill>
                                    <w14:schemeClr w14:val="tx1"/>
                                  </w14:solidFill>
                                </w14:textFill>
                              </w:rPr>
                              <m:t>M</m:t>
                            </m:r>
                            <m:ctrlPr>
                              <w:rPr>
                                <w:rFonts w:hint="default" w:ascii="Cambria Math" w:hAnsi="Cambria Math" w:eastAsia="宋体" w:cs="Times New Roman"/>
                                <w:bCs/>
                                <w:i/>
                                <w:color w:val="000000" w:themeColor="text1"/>
                                <w:sz w:val="24"/>
                                <w14:textFill>
                                  <w14:solidFill>
                                    <w14:schemeClr w14:val="tx1"/>
                                  </w14:solidFill>
                                </w14:textFill>
                              </w:rPr>
                            </m:ctrlPr>
                          </m:sup>
                          <m:e>
                            <m:sSub>
                              <m:sSubPr>
                                <m:ctrlPr>
                                  <w:rPr>
                                    <w:rFonts w:hint="default" w:ascii="Cambria Math" w:hAnsi="Cambria Math" w:eastAsia="宋体" w:cs="Times New Roman"/>
                                    <w:bCs/>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t</m:t>
                                </m:r>
                                <m:ctrlPr>
                                  <w:rPr>
                                    <w:rFonts w:hint="default" w:ascii="Cambria Math" w:hAnsi="Cambria Math" w:eastAsia="宋体" w:cs="Times New Roman"/>
                                    <w:bCs/>
                                    <w:i/>
                                    <w:color w:val="000000" w:themeColor="text1"/>
                                    <w:sz w:val="24"/>
                                    <w14:textFill>
                                      <w14:solidFill>
                                        <w14:schemeClr w14:val="tx1"/>
                                      </w14:solidFill>
                                    </w14:textFill>
                                  </w:rPr>
                                </m:ctrlPr>
                              </m:e>
                              <m:sub>
                                <m:r>
                                  <m:rPr/>
                                  <w:rPr>
                                    <w:rFonts w:hint="default" w:ascii="Cambria Math" w:hAnsi="Cambria Math" w:eastAsia="宋体" w:cs="Times New Roman"/>
                                    <w:color w:val="000000" w:themeColor="text1"/>
                                    <w:sz w:val="24"/>
                                    <w14:textFill>
                                      <w14:solidFill>
                                        <w14:schemeClr w14:val="tx1"/>
                                      </w14:solidFill>
                                    </w14:textFill>
                                  </w:rPr>
                                  <m:t>j</m:t>
                                </m:r>
                                <m:ctrlPr>
                                  <w:rPr>
                                    <w:rFonts w:hint="default" w:ascii="Cambria Math" w:hAnsi="Cambria Math" w:eastAsia="宋体" w:cs="Times New Roman"/>
                                    <w:bCs/>
                                    <w:i/>
                                    <w:color w:val="000000" w:themeColor="text1"/>
                                    <w:sz w:val="24"/>
                                    <w14:textFill>
                                      <w14:solidFill>
                                        <w14:schemeClr w14:val="tx1"/>
                                      </w14:solidFill>
                                    </w14:textFill>
                                  </w:rPr>
                                </m:ctrlPr>
                              </m:sub>
                            </m:sSub>
                            <m:ctrlPr>
                              <w:rPr>
                                <w:rFonts w:hint="default" w:ascii="Cambria Math" w:hAnsi="Cambria Math" w:eastAsia="宋体" w:cs="Times New Roman"/>
                                <w:bCs/>
                                <w:i/>
                                <w:color w:val="000000" w:themeColor="text1"/>
                                <w:sz w:val="24"/>
                                <w14:textFill>
                                  <w14:solidFill>
                                    <w14:schemeClr w14:val="tx1"/>
                                  </w14:solidFill>
                                </w14:textFill>
                              </w:rPr>
                            </m:ctrlPr>
                          </m:e>
                        </m:nary>
                        <m:sSup>
                          <m:sSupPr>
                            <m:ctrlPr>
                              <w:rPr>
                                <w:rFonts w:hint="default" w:ascii="Cambria Math" w:hAnsi="Cambria Math" w:eastAsia="宋体" w:cs="Times New Roman"/>
                                <w:bCs/>
                                <w:i/>
                                <w:color w:val="000000" w:themeColor="text1"/>
                                <w:sz w:val="24"/>
                                <w14:textFill>
                                  <w14:solidFill>
                                    <w14:schemeClr w14:val="tx1"/>
                                  </w14:solidFill>
                                </w14:textFill>
                              </w:rPr>
                            </m:ctrlPr>
                          </m:sSupPr>
                          <m:e>
                            <m:r>
                              <m:rPr/>
                              <w:rPr>
                                <w:rFonts w:hint="default" w:ascii="Cambria Math" w:hAnsi="Cambria Math" w:eastAsia="宋体" w:cs="Times New Roman"/>
                                <w:color w:val="000000" w:themeColor="text1"/>
                                <w:sz w:val="24"/>
                                <w14:textFill>
                                  <w14:solidFill>
                                    <w14:schemeClr w14:val="tx1"/>
                                  </w14:solidFill>
                                </w14:textFill>
                              </w:rPr>
                              <m:t>10</m:t>
                            </m:r>
                            <m:ctrlPr>
                              <w:rPr>
                                <w:rFonts w:hint="default" w:ascii="Cambria Math" w:hAnsi="Cambria Math" w:eastAsia="宋体" w:cs="Times New Roman"/>
                                <w:bCs/>
                                <w:i/>
                                <w:color w:val="000000" w:themeColor="text1"/>
                                <w:sz w:val="24"/>
                                <w14:textFill>
                                  <w14:solidFill>
                                    <w14:schemeClr w14:val="tx1"/>
                                  </w14:solidFill>
                                </w14:textFill>
                              </w:rPr>
                            </m:ctrlPr>
                          </m:e>
                          <m:sup>
                            <m:r>
                              <m:rPr/>
                              <w:rPr>
                                <w:rFonts w:hint="default" w:ascii="Cambria Math" w:hAnsi="Cambria Math" w:eastAsia="宋体" w:cs="Times New Roman"/>
                                <w:color w:val="000000" w:themeColor="text1"/>
                                <w:sz w:val="24"/>
                                <w14:textFill>
                                  <w14:solidFill>
                                    <w14:schemeClr w14:val="tx1"/>
                                  </w14:solidFill>
                                </w14:textFill>
                              </w:rPr>
                              <m:t>0.1</m:t>
                            </m:r>
                            <m:sSub>
                              <m:sSubPr>
                                <m:ctrlPr>
                                  <w:rPr>
                                    <w:rFonts w:hint="default" w:ascii="Cambria Math" w:hAnsi="Cambria Math" w:eastAsia="宋体" w:cs="Times New Roman"/>
                                    <w:bCs/>
                                    <w:i/>
                                    <w:color w:val="000000" w:themeColor="text1"/>
                                    <w:sz w:val="24"/>
                                    <w14:textFill>
                                      <w14:solidFill>
                                        <w14:schemeClr w14:val="tx1"/>
                                      </w14:solidFill>
                                    </w14:textFill>
                                  </w:rPr>
                                </m:ctrlPr>
                              </m:sSubPr>
                              <m:e>
                                <m:r>
                                  <m:rPr/>
                                  <w:rPr>
                                    <w:rFonts w:hint="default" w:ascii="Cambria Math" w:hAnsi="Cambria Math" w:eastAsia="宋体" w:cs="Times New Roman"/>
                                    <w:color w:val="000000" w:themeColor="text1"/>
                                    <w:sz w:val="24"/>
                                    <w14:textFill>
                                      <w14:solidFill>
                                        <w14:schemeClr w14:val="tx1"/>
                                      </w14:solidFill>
                                    </w14:textFill>
                                  </w:rPr>
                                  <m:t>L</m:t>
                                </m:r>
                                <m:ctrlPr>
                                  <w:rPr>
                                    <w:rFonts w:hint="default" w:ascii="Cambria Math" w:hAnsi="Cambria Math" w:eastAsia="宋体" w:cs="Times New Roman"/>
                                    <w:bCs/>
                                    <w:i/>
                                    <w:color w:val="000000" w:themeColor="text1"/>
                                    <w:sz w:val="24"/>
                                    <w14:textFill>
                                      <w14:solidFill>
                                        <w14:schemeClr w14:val="tx1"/>
                                      </w14:solidFill>
                                    </w14:textFill>
                                  </w:rPr>
                                </m:ctrlPr>
                              </m:e>
                              <m:sub>
                                <m:r>
                                  <m:rPr/>
                                  <w:rPr>
                                    <w:rFonts w:hint="default" w:ascii="Cambria Math" w:hAnsi="Cambria Math" w:eastAsia="宋体" w:cs="Times New Roman"/>
                                    <w:color w:val="000000" w:themeColor="text1"/>
                                    <w:sz w:val="24"/>
                                    <w14:textFill>
                                      <w14:solidFill>
                                        <w14:schemeClr w14:val="tx1"/>
                                      </w14:solidFill>
                                    </w14:textFill>
                                  </w:rPr>
                                  <m:t>Aj</m:t>
                                </m:r>
                                <m:ctrlPr>
                                  <w:rPr>
                                    <w:rFonts w:hint="default" w:ascii="Cambria Math" w:hAnsi="Cambria Math" w:eastAsia="宋体" w:cs="Times New Roman"/>
                                    <w:bCs/>
                                    <w:i/>
                                    <w:color w:val="000000" w:themeColor="text1"/>
                                    <w:sz w:val="24"/>
                                    <w14:textFill>
                                      <w14:solidFill>
                                        <w14:schemeClr w14:val="tx1"/>
                                      </w14:solidFill>
                                    </w14:textFill>
                                  </w:rPr>
                                </m:ctrlPr>
                              </m:sub>
                            </m:sSub>
                            <m:ctrlPr>
                              <w:rPr>
                                <w:rFonts w:hint="default" w:ascii="Cambria Math" w:hAnsi="Cambria Math" w:eastAsia="宋体" w:cs="Times New Roman"/>
                                <w:bCs/>
                                <w:i/>
                                <w:color w:val="000000" w:themeColor="text1"/>
                                <w:sz w:val="24"/>
                                <w14:textFill>
                                  <w14:solidFill>
                                    <w14:schemeClr w14:val="tx1"/>
                                  </w14:solidFill>
                                </w14:textFill>
                              </w:rPr>
                            </m:ctrlPr>
                          </m:sup>
                        </m:sSup>
                        <m:ctrlPr>
                          <w:rPr>
                            <w:rFonts w:hint="default" w:ascii="Cambria Math" w:hAnsi="Cambria Math" w:eastAsia="宋体" w:cs="Times New Roman"/>
                            <w:bCs/>
                            <w:i/>
                            <w:color w:val="000000" w:themeColor="text1"/>
                            <w:sz w:val="24"/>
                            <w14:textFill>
                              <w14:solidFill>
                                <w14:schemeClr w14:val="tx1"/>
                              </w14:solidFill>
                            </w14:textFill>
                          </w:rPr>
                        </m:ctrlPr>
                      </m:e>
                    </m:d>
                    <m:ctrlPr>
                      <w:rPr>
                        <w:rFonts w:hint="default" w:ascii="Cambria Math" w:hAnsi="Cambria Math" w:eastAsia="宋体" w:cs="Times New Roman"/>
                        <w:color w:val="000000" w:themeColor="text1"/>
                        <w:sz w:val="24"/>
                        <w14:textFill>
                          <w14:solidFill>
                            <w14:schemeClr w14:val="tx1"/>
                          </w14:solidFill>
                        </w14:textFill>
                      </w:rPr>
                    </m:ctrlPr>
                  </m:e>
                </m:d>
              </m:oMath>
            </m:oMathPara>
          </w:p>
          <w:p>
            <w:pPr>
              <w:pStyle w:val="62"/>
              <w:spacing w:line="360" w:lineRule="auto"/>
              <w:ind w:firstLine="420" w:firstLineChars="20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w:t>
            </w:r>
            <w:r>
              <w:rPr>
                <w:rFonts w:hint="default" w:ascii="Times New Roman" w:hAnsi="Times New Roman" w:eastAsia="宋体" w:cs="Times New Roman"/>
                <w:i/>
                <w:color w:val="000000" w:themeColor="text1"/>
                <w14:textFill>
                  <w14:solidFill>
                    <w14:schemeClr w14:val="tx1"/>
                  </w14:solidFill>
                </w14:textFill>
              </w:rPr>
              <w:t>Leqg</w:t>
            </w:r>
            <w:r>
              <w:rPr>
                <w:rFonts w:hint="default" w:ascii="Times New Roman" w:hAnsi="Times New Roman" w:eastAsia="宋体" w:cs="Times New Roman"/>
                <w:bCs/>
                <w:color w:val="000000" w:themeColor="text1"/>
                <w:sz w:val="24"/>
                <w14:textFill>
                  <w14:solidFill>
                    <w14:schemeClr w14:val="tx1"/>
                  </w14:solidFill>
                </w14:textFill>
              </w:rPr>
              <w:t>——建设项目声源在预测点的等效声级贡献值，</w:t>
            </w:r>
            <w:r>
              <w:rPr>
                <w:rFonts w:hint="default" w:ascii="Times New Roman" w:hAnsi="Times New Roman" w:eastAsia="宋体" w:cs="Times New Roman"/>
                <w:color w:val="000000" w:themeColor="text1"/>
                <w:sz w:val="24"/>
                <w:szCs w:val="24"/>
                <w14:textFill>
                  <w14:solidFill>
                    <w14:schemeClr w14:val="tx1"/>
                  </w14:solidFill>
                </w14:textFill>
              </w:rPr>
              <w:t>dB(A)；</w:t>
            </w:r>
          </w:p>
          <w:p>
            <w:pPr>
              <w:pStyle w:val="62"/>
              <w:spacing w:line="360" w:lineRule="auto"/>
              <w:ind w:firstLine="1080" w:firstLineChars="45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i/>
                <w:color w:val="000000" w:themeColor="text1"/>
                <w:sz w:val="24"/>
                <w14:textFill>
                  <w14:solidFill>
                    <w14:schemeClr w14:val="tx1"/>
                  </w14:solidFill>
                </w14:textFill>
              </w:rPr>
              <w:t>T</w:t>
            </w:r>
            <w:r>
              <w:rPr>
                <w:rFonts w:hint="default" w:ascii="Times New Roman" w:hAnsi="Times New Roman" w:eastAsia="宋体" w:cs="Times New Roman"/>
                <w:bCs/>
                <w:color w:val="000000" w:themeColor="text1"/>
                <w:sz w:val="24"/>
                <w14:textFill>
                  <w14:solidFill>
                    <w14:schemeClr w14:val="tx1"/>
                  </w14:solidFill>
                </w14:textFill>
              </w:rPr>
              <w:t>——预测计算的时间段，s；</w:t>
            </w:r>
          </w:p>
          <w:p>
            <w:pPr>
              <w:pStyle w:val="62"/>
              <w:spacing w:line="360" w:lineRule="auto"/>
              <w:ind w:firstLine="1080" w:firstLineChars="45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i/>
                <w:color w:val="000000" w:themeColor="text1"/>
                <w:sz w:val="24"/>
                <w14:textFill>
                  <w14:solidFill>
                    <w14:schemeClr w14:val="tx1"/>
                  </w14:solidFill>
                </w14:textFill>
              </w:rPr>
              <w:t>N</w:t>
            </w:r>
            <w:r>
              <w:rPr>
                <w:rFonts w:hint="default" w:ascii="Times New Roman" w:hAnsi="Times New Roman" w:eastAsia="宋体" w:cs="Times New Roman"/>
                <w:bCs/>
                <w:color w:val="000000" w:themeColor="text1"/>
                <w:sz w:val="24"/>
                <w14:textFill>
                  <w14:solidFill>
                    <w14:schemeClr w14:val="tx1"/>
                  </w14:solidFill>
                </w14:textFill>
              </w:rPr>
              <w:t>——室外声源个数；</w:t>
            </w:r>
          </w:p>
          <w:p>
            <w:pPr>
              <w:pStyle w:val="62"/>
              <w:spacing w:line="360" w:lineRule="auto"/>
              <w:ind w:firstLine="1080" w:firstLineChars="45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i/>
                <w:color w:val="000000" w:themeColor="text1"/>
                <w:sz w:val="24"/>
                <w14:textFill>
                  <w14:solidFill>
                    <w14:schemeClr w14:val="tx1"/>
                  </w14:solidFill>
                </w14:textFill>
              </w:rPr>
              <w:t>t</w:t>
            </w:r>
            <w:r>
              <w:rPr>
                <w:rFonts w:hint="default" w:ascii="Times New Roman" w:hAnsi="Times New Roman" w:eastAsia="宋体" w:cs="Times New Roman"/>
                <w:bCs/>
                <w:i/>
                <w:color w:val="000000" w:themeColor="text1"/>
                <w:sz w:val="24"/>
                <w:vertAlign w:val="subscript"/>
                <w14:textFill>
                  <w14:solidFill>
                    <w14:schemeClr w14:val="tx1"/>
                  </w14:solidFill>
                </w14:textFill>
              </w:rPr>
              <w:t>i</w:t>
            </w:r>
            <w:r>
              <w:rPr>
                <w:rFonts w:hint="default" w:ascii="Times New Roman" w:hAnsi="Times New Roman" w:eastAsia="宋体" w:cs="Times New Roman"/>
                <w:bCs/>
                <w:color w:val="000000" w:themeColor="text1"/>
                <w:sz w:val="24"/>
                <w14:textFill>
                  <w14:solidFill>
                    <w14:schemeClr w14:val="tx1"/>
                  </w14:solidFill>
                </w14:textFill>
              </w:rPr>
              <w:t>——在</w:t>
            </w:r>
            <w:r>
              <w:rPr>
                <w:rFonts w:hint="default" w:ascii="Times New Roman" w:hAnsi="Times New Roman" w:eastAsia="宋体" w:cs="Times New Roman"/>
                <w:bCs/>
                <w:i/>
                <w:color w:val="000000" w:themeColor="text1"/>
                <w:sz w:val="24"/>
                <w14:textFill>
                  <w14:solidFill>
                    <w14:schemeClr w14:val="tx1"/>
                  </w14:solidFill>
                </w14:textFill>
              </w:rPr>
              <w:t>T</w:t>
            </w:r>
            <w:r>
              <w:rPr>
                <w:rFonts w:hint="default" w:ascii="Times New Roman" w:hAnsi="Times New Roman" w:eastAsia="宋体" w:cs="Times New Roman"/>
                <w:bCs/>
                <w:color w:val="000000" w:themeColor="text1"/>
                <w:sz w:val="24"/>
                <w14:textFill>
                  <w14:solidFill>
                    <w14:schemeClr w14:val="tx1"/>
                  </w14:solidFill>
                </w14:textFill>
              </w:rPr>
              <w:t>时段内</w:t>
            </w:r>
            <w:r>
              <w:rPr>
                <w:rFonts w:hint="default" w:ascii="Times New Roman" w:hAnsi="Times New Roman" w:eastAsia="宋体" w:cs="Times New Roman"/>
                <w:bCs/>
                <w:i/>
                <w:color w:val="000000" w:themeColor="text1"/>
                <w:sz w:val="24"/>
                <w14:textFill>
                  <w14:solidFill>
                    <w14:schemeClr w14:val="tx1"/>
                  </w14:solidFill>
                </w14:textFill>
              </w:rPr>
              <w:t>i</w:t>
            </w:r>
            <w:r>
              <w:rPr>
                <w:rFonts w:hint="default" w:ascii="Times New Roman" w:hAnsi="Times New Roman" w:eastAsia="宋体" w:cs="Times New Roman"/>
                <w:bCs/>
                <w:color w:val="000000" w:themeColor="text1"/>
                <w:sz w:val="24"/>
                <w14:textFill>
                  <w14:solidFill>
                    <w14:schemeClr w14:val="tx1"/>
                  </w14:solidFill>
                </w14:textFill>
              </w:rPr>
              <w:t>声源工作时间，s；</w:t>
            </w:r>
          </w:p>
          <w:p>
            <w:pPr>
              <w:pStyle w:val="62"/>
              <w:spacing w:line="360" w:lineRule="auto"/>
              <w:ind w:firstLine="1080" w:firstLineChars="45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i/>
                <w:color w:val="000000" w:themeColor="text1"/>
                <w:sz w:val="24"/>
                <w14:textFill>
                  <w14:solidFill>
                    <w14:schemeClr w14:val="tx1"/>
                  </w14:solidFill>
                </w14:textFill>
              </w:rPr>
              <w:t>M</w:t>
            </w:r>
            <w:r>
              <w:rPr>
                <w:rFonts w:hint="default" w:ascii="Times New Roman" w:hAnsi="Times New Roman" w:eastAsia="宋体" w:cs="Times New Roman"/>
                <w:bCs/>
                <w:color w:val="000000" w:themeColor="text1"/>
                <w:sz w:val="24"/>
                <w14:textFill>
                  <w14:solidFill>
                    <w14:schemeClr w14:val="tx1"/>
                  </w14:solidFill>
                </w14:textFill>
              </w:rPr>
              <w:t>——等效室外声源个数；</w:t>
            </w:r>
          </w:p>
          <w:p>
            <w:pPr>
              <w:pStyle w:val="62"/>
              <w:spacing w:line="360" w:lineRule="auto"/>
              <w:ind w:firstLine="1080" w:firstLineChars="45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i/>
                <w:color w:val="000000" w:themeColor="text1"/>
                <w:sz w:val="24"/>
                <w14:textFill>
                  <w14:solidFill>
                    <w14:schemeClr w14:val="tx1"/>
                  </w14:solidFill>
                </w14:textFill>
              </w:rPr>
              <w:t>t</w:t>
            </w:r>
            <w:r>
              <w:rPr>
                <w:rFonts w:hint="default" w:ascii="Times New Roman" w:hAnsi="Times New Roman" w:eastAsia="宋体" w:cs="Times New Roman"/>
                <w:bCs/>
                <w:i/>
                <w:color w:val="000000" w:themeColor="text1"/>
                <w:sz w:val="24"/>
                <w:vertAlign w:val="subscript"/>
                <w14:textFill>
                  <w14:solidFill>
                    <w14:schemeClr w14:val="tx1"/>
                  </w14:solidFill>
                </w14:textFill>
              </w:rPr>
              <w:t>j</w:t>
            </w:r>
            <w:r>
              <w:rPr>
                <w:rFonts w:hint="default" w:ascii="Times New Roman" w:hAnsi="Times New Roman" w:eastAsia="宋体" w:cs="Times New Roman"/>
                <w:bCs/>
                <w:color w:val="000000" w:themeColor="text1"/>
                <w:sz w:val="24"/>
                <w14:textFill>
                  <w14:solidFill>
                    <w14:schemeClr w14:val="tx1"/>
                  </w14:solidFill>
                </w14:textFill>
              </w:rPr>
              <w:t>——在</w:t>
            </w:r>
            <w:r>
              <w:rPr>
                <w:rFonts w:hint="default" w:ascii="Times New Roman" w:hAnsi="Times New Roman" w:eastAsia="宋体" w:cs="Times New Roman"/>
                <w:bCs/>
                <w:i/>
                <w:color w:val="000000" w:themeColor="text1"/>
                <w:sz w:val="24"/>
                <w14:textFill>
                  <w14:solidFill>
                    <w14:schemeClr w14:val="tx1"/>
                  </w14:solidFill>
                </w14:textFill>
              </w:rPr>
              <w:t>T</w:t>
            </w:r>
            <w:r>
              <w:rPr>
                <w:rFonts w:hint="default" w:ascii="Times New Roman" w:hAnsi="Times New Roman" w:eastAsia="宋体" w:cs="Times New Roman"/>
                <w:bCs/>
                <w:color w:val="000000" w:themeColor="text1"/>
                <w:sz w:val="24"/>
                <w14:textFill>
                  <w14:solidFill>
                    <w14:schemeClr w14:val="tx1"/>
                  </w14:solidFill>
                </w14:textFill>
              </w:rPr>
              <w:t>时段内</w:t>
            </w:r>
            <w:r>
              <w:rPr>
                <w:rFonts w:hint="default" w:ascii="Times New Roman" w:hAnsi="Times New Roman" w:eastAsia="宋体" w:cs="Times New Roman"/>
                <w:bCs/>
                <w:i/>
                <w:color w:val="000000" w:themeColor="text1"/>
                <w:sz w:val="24"/>
                <w14:textFill>
                  <w14:solidFill>
                    <w14:schemeClr w14:val="tx1"/>
                  </w14:solidFill>
                </w14:textFill>
              </w:rPr>
              <w:t>j</w:t>
            </w:r>
            <w:r>
              <w:rPr>
                <w:rFonts w:hint="default" w:ascii="Times New Roman" w:hAnsi="Times New Roman" w:eastAsia="宋体" w:cs="Times New Roman"/>
                <w:bCs/>
                <w:color w:val="000000" w:themeColor="text1"/>
                <w:sz w:val="24"/>
                <w14:textFill>
                  <w14:solidFill>
                    <w14:schemeClr w14:val="tx1"/>
                  </w14:solidFill>
                </w14:textFill>
              </w:rPr>
              <w:t>声源工作时间，s。</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（4）预测结果</w:t>
            </w:r>
          </w:p>
          <w:p>
            <w:pPr>
              <w:spacing w:line="360" w:lineRule="auto"/>
              <w:ind w:firstLine="480" w:firstLineChars="200"/>
              <w:rPr>
                <w:rFonts w:hint="default" w:ascii="Times New Roman" w:hAnsi="Times New Roman" w:eastAsia="宋体" w:cs="Times New Roman"/>
                <w:bCs/>
                <w:color w:val="000000" w:themeColor="text1"/>
                <w:sz w:val="24"/>
                <w:lang w:val="zh-CN"/>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本项目主要噪声位于生产厂房中的泵类，通过厂界</w:t>
            </w:r>
            <w:r>
              <w:rPr>
                <w:rFonts w:hint="default" w:ascii="Times New Roman" w:hAnsi="Times New Roman" w:eastAsia="宋体" w:cs="Times New Roman"/>
                <w:bCs/>
                <w:color w:val="000000" w:themeColor="text1"/>
                <w:sz w:val="24"/>
                <w:lang w:val="zh-CN"/>
                <w14:textFill>
                  <w14:solidFill>
                    <w14:schemeClr w14:val="tx1"/>
                  </w14:solidFill>
                </w14:textFill>
              </w:rPr>
              <w:t>噪声叠加预测，具体预测结果见下表。</w:t>
            </w:r>
          </w:p>
          <w:p>
            <w:pPr>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表4-1</w:t>
            </w:r>
            <w:r>
              <w:rPr>
                <w:rFonts w:hint="eastAsia" w:ascii="宋体" w:hAnsi="宋体" w:eastAsia="宋体" w:cs="宋体"/>
                <w:b/>
                <w:color w:val="000000" w:themeColor="text1"/>
                <w:szCs w:val="21"/>
                <w:lang w:val="en-US" w:eastAsia="zh-CN"/>
                <w14:textFill>
                  <w14:solidFill>
                    <w14:schemeClr w14:val="tx1"/>
                  </w14:solidFill>
                </w14:textFill>
              </w:rPr>
              <w:t>2</w:t>
            </w:r>
            <w:r>
              <w:rPr>
                <w:rFonts w:hint="eastAsia" w:ascii="宋体" w:hAnsi="宋体" w:eastAsia="宋体" w:cs="宋体"/>
                <w:b/>
                <w:color w:val="000000" w:themeColor="text1"/>
                <w:szCs w:val="21"/>
                <w14:textFill>
                  <w14:solidFill>
                    <w14:schemeClr w14:val="tx1"/>
                  </w14:solidFill>
                </w14:textFill>
              </w:rPr>
              <w:t xml:space="preserve"> </w:t>
            </w:r>
            <w:r>
              <w:rPr>
                <w:rFonts w:hint="eastAsia" w:ascii="宋体" w:hAnsi="宋体" w:eastAsia="宋体" w:cs="宋体"/>
                <w:b/>
                <w:color w:val="000000" w:themeColor="text1"/>
                <w:szCs w:val="21"/>
                <w:lang w:val="en-US" w:eastAsia="zh-CN"/>
                <w14:textFill>
                  <w14:solidFill>
                    <w14:schemeClr w14:val="tx1"/>
                  </w14:solidFill>
                </w14:textFill>
              </w:rPr>
              <w:t xml:space="preserve"> </w:t>
            </w:r>
            <w:r>
              <w:rPr>
                <w:rFonts w:hint="eastAsia" w:ascii="宋体" w:hAnsi="宋体" w:eastAsia="宋体" w:cs="宋体"/>
                <w:b/>
                <w:color w:val="000000" w:themeColor="text1"/>
                <w:szCs w:val="21"/>
                <w14:textFill>
                  <w14:solidFill>
                    <w14:schemeClr w14:val="tx1"/>
                  </w14:solidFill>
                </w14:textFill>
              </w:rPr>
              <w:t>厂界预测结果   单位：dB（A）</w:t>
            </w:r>
          </w:p>
          <w:tbl>
            <w:tblPr>
              <w:tblStyle w:val="24"/>
              <w:tblW w:w="4936"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075"/>
              <w:gridCol w:w="891"/>
              <w:gridCol w:w="831"/>
              <w:gridCol w:w="831"/>
              <w:gridCol w:w="830"/>
              <w:gridCol w:w="830"/>
              <w:gridCol w:w="863"/>
              <w:gridCol w:w="863"/>
              <w:gridCol w:w="86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682"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厂界噪声</w:t>
                  </w:r>
                </w:p>
              </w:tc>
              <w:tc>
                <w:tcPr>
                  <w:tcW w:w="1094" w:type="pct"/>
                  <w:gridSpan w:val="2"/>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东厂界</w:t>
                  </w:r>
                </w:p>
              </w:tc>
              <w:tc>
                <w:tcPr>
                  <w:tcW w:w="1055" w:type="pct"/>
                  <w:gridSpan w:val="2"/>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西厂界</w:t>
                  </w:r>
                </w:p>
              </w:tc>
              <w:tc>
                <w:tcPr>
                  <w:tcW w:w="1075" w:type="pct"/>
                  <w:gridSpan w:val="2"/>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南厂界</w:t>
                  </w:r>
                </w:p>
              </w:tc>
              <w:tc>
                <w:tcPr>
                  <w:tcW w:w="1094" w:type="pct"/>
                  <w:gridSpan w:val="2"/>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北厂界</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682"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时段</w:t>
                  </w:r>
                </w:p>
              </w:tc>
              <w:tc>
                <w:tcPr>
                  <w:tcW w:w="56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昼间</w:t>
                  </w:r>
                </w:p>
              </w:tc>
              <w:tc>
                <w:tcPr>
                  <w:tcW w:w="528"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夜间</w:t>
                  </w:r>
                </w:p>
              </w:tc>
              <w:tc>
                <w:tcPr>
                  <w:tcW w:w="528"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昼间</w:t>
                  </w:r>
                </w:p>
              </w:tc>
              <w:tc>
                <w:tcPr>
                  <w:tcW w:w="527"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夜间</w:t>
                  </w:r>
                </w:p>
              </w:tc>
              <w:tc>
                <w:tcPr>
                  <w:tcW w:w="527"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昼间</w:t>
                  </w:r>
                </w:p>
              </w:tc>
              <w:tc>
                <w:tcPr>
                  <w:tcW w:w="548"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夜间</w:t>
                  </w:r>
                </w:p>
              </w:tc>
              <w:tc>
                <w:tcPr>
                  <w:tcW w:w="548"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昼间</w:t>
                  </w:r>
                </w:p>
              </w:tc>
              <w:tc>
                <w:tcPr>
                  <w:tcW w:w="546"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682"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贡献值</w:t>
                  </w:r>
                </w:p>
              </w:tc>
              <w:tc>
                <w:tcPr>
                  <w:tcW w:w="56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45</w:t>
                  </w:r>
                </w:p>
              </w:tc>
              <w:tc>
                <w:tcPr>
                  <w:tcW w:w="528"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45</w:t>
                  </w:r>
                </w:p>
              </w:tc>
              <w:tc>
                <w:tcPr>
                  <w:tcW w:w="528"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39</w:t>
                  </w:r>
                </w:p>
              </w:tc>
              <w:tc>
                <w:tcPr>
                  <w:tcW w:w="527"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39</w:t>
                  </w:r>
                </w:p>
              </w:tc>
              <w:tc>
                <w:tcPr>
                  <w:tcW w:w="527"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33</w:t>
                  </w:r>
                </w:p>
              </w:tc>
              <w:tc>
                <w:tcPr>
                  <w:tcW w:w="548"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33</w:t>
                  </w:r>
                </w:p>
              </w:tc>
              <w:tc>
                <w:tcPr>
                  <w:tcW w:w="548"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45</w:t>
                  </w:r>
                </w:p>
              </w:tc>
              <w:tc>
                <w:tcPr>
                  <w:tcW w:w="546"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63" w:hRule="atLeast"/>
              </w:trPr>
              <w:tc>
                <w:tcPr>
                  <w:tcW w:w="682"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标准</w:t>
                  </w:r>
                </w:p>
              </w:tc>
              <w:tc>
                <w:tcPr>
                  <w:tcW w:w="56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65</w:t>
                  </w:r>
                </w:p>
              </w:tc>
              <w:tc>
                <w:tcPr>
                  <w:tcW w:w="528"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55</w:t>
                  </w:r>
                </w:p>
              </w:tc>
              <w:tc>
                <w:tcPr>
                  <w:tcW w:w="528"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65</w:t>
                  </w:r>
                </w:p>
              </w:tc>
              <w:tc>
                <w:tcPr>
                  <w:tcW w:w="527"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55</w:t>
                  </w:r>
                </w:p>
              </w:tc>
              <w:tc>
                <w:tcPr>
                  <w:tcW w:w="527"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65</w:t>
                  </w:r>
                </w:p>
              </w:tc>
              <w:tc>
                <w:tcPr>
                  <w:tcW w:w="548"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55</w:t>
                  </w:r>
                </w:p>
              </w:tc>
              <w:tc>
                <w:tcPr>
                  <w:tcW w:w="548"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65</w:t>
                  </w:r>
                </w:p>
              </w:tc>
              <w:tc>
                <w:tcPr>
                  <w:tcW w:w="546"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682"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达标情况</w:t>
                  </w:r>
                </w:p>
              </w:tc>
              <w:tc>
                <w:tcPr>
                  <w:tcW w:w="56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c>
                <w:tcPr>
                  <w:tcW w:w="528"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c>
                <w:tcPr>
                  <w:tcW w:w="528"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c>
                <w:tcPr>
                  <w:tcW w:w="527"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c>
                <w:tcPr>
                  <w:tcW w:w="527"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c>
                <w:tcPr>
                  <w:tcW w:w="548"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c>
                <w:tcPr>
                  <w:tcW w:w="548"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c>
                <w:tcPr>
                  <w:tcW w:w="546" w:type="pct"/>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bl>
          <w:p>
            <w:pPr>
              <w:adjustRightInd w:val="0"/>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由上表可看出，项目厂界昼、夜间噪声贡献值均能够达到</w:t>
            </w:r>
            <w:r>
              <w:rPr>
                <w:rFonts w:hint="default" w:ascii="Times New Roman" w:hAnsi="Times New Roman" w:eastAsia="宋体" w:cs="Times New Roman"/>
                <w:color w:val="000000" w:themeColor="text1"/>
                <w:sz w:val="24"/>
                <w14:textFill>
                  <w14:solidFill>
                    <w14:schemeClr w14:val="tx1"/>
                  </w14:solidFill>
                </w14:textFill>
              </w:rPr>
              <w:t>《工业企业厂界环境噪声排放标准》（GB12348-2008）中的3类排放标准</w:t>
            </w:r>
            <w:r>
              <w:rPr>
                <w:rFonts w:hint="default" w:ascii="Times New Roman" w:hAnsi="Times New Roman" w:eastAsia="宋体" w:cs="Times New Roman"/>
                <w:color w:val="000000" w:themeColor="text1"/>
                <w:kern w:val="0"/>
                <w:sz w:val="24"/>
                <w14:textFill>
                  <w14:solidFill>
                    <w14:schemeClr w14:val="tx1"/>
                  </w14:solidFill>
                </w14:textFill>
              </w:rPr>
              <w:t>（昼间≤65dB(A)，夜间≤55dB(A)）</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项目周边无声环境保护</w:t>
            </w:r>
            <w:r>
              <w:rPr>
                <w:rFonts w:hint="default" w:ascii="Times New Roman" w:hAnsi="Times New Roman" w:eastAsia="宋体" w:cs="Times New Roman"/>
                <w:color w:val="000000" w:themeColor="text1"/>
                <w:sz w:val="24"/>
                <w:szCs w:val="22"/>
                <w14:textFill>
                  <w14:solidFill>
                    <w14:schemeClr w14:val="tx1"/>
                  </w14:solidFill>
                </w14:textFill>
              </w:rPr>
              <w:t>目标，对周边声环境影响较小。</w:t>
            </w:r>
          </w:p>
          <w:p>
            <w:pPr>
              <w:adjustRightInd w:val="0"/>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3.3噪声防治措施</w:t>
            </w:r>
          </w:p>
          <w:p>
            <w:pPr>
              <w:adjustRightInd w:val="0"/>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综上所述，建设项目噪声排放对周围的环境影响较小，噪声防治措施可行。 企业在生产过程中应注意加强设备噪声治理，在项目设备安装过程中应重视减震工程的设计及施工质量。确保厂界噪声达标，不影响周边环境。</w:t>
            </w:r>
          </w:p>
          <w:p>
            <w:pPr>
              <w:adjustRightInd w:val="0"/>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为进一步减小运营过程中噪声对工作人员的影响，建设单位拟采取如下措施：</w:t>
            </w:r>
          </w:p>
          <w:p>
            <w:pPr>
              <w:adjustRightInd w:val="0"/>
              <w:spacing w:line="360" w:lineRule="auto"/>
              <w:ind w:firstLine="480" w:firstLineChars="200"/>
              <w:rPr>
                <w:rFonts w:hint="eastAsia"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（1）加强设备维护，对各机械设备及运输车辆进行定期检查、维护以及维 修，及时更换一些破损零部件，确保机械设备正常运转，减少非正常生产噪声；</w:t>
            </w:r>
          </w:p>
          <w:p>
            <w:pPr>
              <w:adjustRightInd w:val="0"/>
              <w:spacing w:line="360" w:lineRule="auto"/>
              <w:ind w:firstLine="480" w:firstLineChars="200"/>
              <w:rPr>
                <w:rFonts w:hint="eastAsia" w:ascii="宋体" w:hAnsi="宋体" w:eastAsia="宋体" w:cs="宋体"/>
                <w:bCs/>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sz w:val="24"/>
                <w:szCs w:val="22"/>
                <w14:textFill>
                  <w14:solidFill>
                    <w14:schemeClr w14:val="tx1"/>
                  </w14:solidFill>
                </w14:textFill>
              </w:rPr>
              <w:t>（2）将</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拌合机、装载机</w:t>
            </w:r>
            <w:r>
              <w:rPr>
                <w:rFonts w:hint="eastAsia" w:ascii="Times New Roman" w:hAnsi="Times New Roman" w:eastAsia="宋体" w:cs="Times New Roman"/>
                <w:color w:val="000000" w:themeColor="text1"/>
                <w:sz w:val="24"/>
                <w:szCs w:val="22"/>
                <w14:textFill>
                  <w14:solidFill>
                    <w14:schemeClr w14:val="tx1"/>
                  </w14:solidFill>
                </w14:textFill>
              </w:rPr>
              <w:t>等高噪声设备均放置于室</w:t>
            </w:r>
            <w:r>
              <w:rPr>
                <w:rFonts w:hint="eastAsia" w:ascii="宋体" w:hAnsi="宋体" w:eastAsia="宋体" w:cs="宋体"/>
                <w:bCs/>
                <w:color w:val="000000" w:themeColor="text1"/>
                <w:kern w:val="0"/>
                <w:sz w:val="24"/>
                <w14:textFill>
                  <w14:solidFill>
                    <w14:schemeClr w14:val="tx1"/>
                  </w14:solidFill>
                </w14:textFill>
              </w:rPr>
              <w:t>内，并对通风机等高噪设备房采用密封措施，安装通风消声器，室内安装墙体吸声材料。</w:t>
            </w:r>
          </w:p>
          <w:p>
            <w:pPr>
              <w:adjustRightInd w:val="0"/>
              <w:snapToGrid w:val="0"/>
              <w:spacing w:line="360" w:lineRule="auto"/>
              <w:ind w:firstLine="480" w:firstLineChars="200"/>
              <w:rPr>
                <w:rFonts w:hint="eastAsia"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（3）进一步加强厂区绿化，在厂界周围种植绿化树种，选择叶高大的乔灌相结合的立体绿化方式，增加噪声衰减量。</w:t>
            </w:r>
          </w:p>
          <w:p>
            <w:pPr>
              <w:adjustRightInd w:val="0"/>
              <w:snapToGrid w:val="0"/>
              <w:spacing w:line="360" w:lineRule="auto"/>
              <w:ind w:firstLine="480" w:firstLineChars="200"/>
              <w:rPr>
                <w:rFonts w:hint="eastAsia"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3.4监测计划</w:t>
            </w:r>
          </w:p>
          <w:p>
            <w:pPr>
              <w:adjustRightInd w:val="0"/>
              <w:snapToGrid w:val="0"/>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本项目根据</w:t>
            </w:r>
            <w:r>
              <w:rPr>
                <w:rFonts w:hint="default" w:ascii="Times New Roman" w:hAnsi="Times New Roman" w:eastAsia="宋体" w:cs="Times New Roman"/>
                <w:bCs/>
                <w:color w:val="000000" w:themeColor="text1"/>
                <w:sz w:val="24"/>
                <w14:textFill>
                  <w14:solidFill>
                    <w14:schemeClr w14:val="tx1"/>
                  </w14:solidFill>
                </w14:textFill>
              </w:rPr>
              <w:t>《排污单位自行监测技术指南 总则》（HJ 819-2017）、《排污许可证申请及核发技术规范 工业噪声》（HJ 1301-2023）</w:t>
            </w:r>
            <w:r>
              <w:rPr>
                <w:rFonts w:hint="default" w:ascii="Times New Roman" w:hAnsi="Times New Roman" w:eastAsia="宋体" w:cs="Times New Roman"/>
                <w:color w:val="000000" w:themeColor="text1"/>
                <w:sz w:val="24"/>
                <w14:textFill>
                  <w14:solidFill>
                    <w14:schemeClr w14:val="tx1"/>
                  </w14:solidFill>
                </w14:textFill>
              </w:rPr>
              <w:t>开展自行监测</w:t>
            </w:r>
            <w:r>
              <w:rPr>
                <w:rFonts w:hint="default" w:ascii="Times New Roman" w:hAnsi="Times New Roman" w:eastAsia="宋体" w:cs="Times New Roman"/>
                <w:bCs/>
                <w:color w:val="000000" w:themeColor="text1"/>
                <w:sz w:val="24"/>
                <w:lang w:bidi="ar"/>
                <w14:textFill>
                  <w14:solidFill>
                    <w14:schemeClr w14:val="tx1"/>
                  </w14:solidFill>
                </w14:textFill>
              </w:rPr>
              <w:t>，环评提出运行期每年应对项目污染进行监测，本项目噪声监测计划见下表。</w:t>
            </w:r>
          </w:p>
          <w:p>
            <w:pPr>
              <w:tabs>
                <w:tab w:val="left" w:pos="420"/>
              </w:tabs>
              <w:spacing w:line="360" w:lineRule="auto"/>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表4-</w:t>
            </w:r>
            <w:r>
              <w:rPr>
                <w:rFonts w:hint="default" w:ascii="Times New Roman" w:hAnsi="Times New Roman" w:eastAsia="宋体" w:cs="Times New Roman"/>
                <w:b/>
                <w:bCs/>
                <w:color w:val="000000" w:themeColor="text1"/>
                <w:szCs w:val="21"/>
                <w:lang w:val="en-US" w:eastAsia="zh-CN" w:bidi="ar"/>
                <w14:textFill>
                  <w14:solidFill>
                    <w14:schemeClr w14:val="tx1"/>
                  </w14:solidFill>
                </w14:textFill>
              </w:rPr>
              <w:t>13</w:t>
            </w:r>
            <w:r>
              <w:rPr>
                <w:rFonts w:hint="default" w:ascii="Times New Roman" w:hAnsi="Times New Roman" w:eastAsia="宋体" w:cs="Times New Roman"/>
                <w:b/>
                <w:bCs/>
                <w:color w:val="000000" w:themeColor="text1"/>
                <w:szCs w:val="21"/>
                <w:lang w:bidi="ar"/>
                <w14:textFill>
                  <w14:solidFill>
                    <w14:schemeClr w14:val="tx1"/>
                  </w14:solidFill>
                </w14:textFill>
              </w:rPr>
              <w:t xml:space="preserve">  环境管理与监测计划一览表</w:t>
            </w:r>
          </w:p>
          <w:tbl>
            <w:tblPr>
              <w:tblStyle w:val="24"/>
              <w:tblW w:w="5000" w:type="pct"/>
              <w:jc w:val="center"/>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Layout w:type="fixed"/>
              <w:tblCellMar>
                <w:top w:w="0" w:type="dxa"/>
                <w:left w:w="28" w:type="dxa"/>
                <w:bottom w:w="0" w:type="dxa"/>
                <w:right w:w="28" w:type="dxa"/>
              </w:tblCellMar>
            </w:tblPr>
            <w:tblGrid>
              <w:gridCol w:w="902"/>
              <w:gridCol w:w="1162"/>
              <w:gridCol w:w="1156"/>
              <w:gridCol w:w="1027"/>
              <w:gridCol w:w="1199"/>
              <w:gridCol w:w="2540"/>
            </w:tblGrid>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blHeader/>
                <w:jc w:val="center"/>
              </w:trPr>
              <w:tc>
                <w:tcPr>
                  <w:tcW w:w="564" w:type="pct"/>
                  <w:tcBorders>
                    <w:top w:val="single" w:color="auto" w:sz="12" w:space="0"/>
                    <w:left w:val="nil"/>
                    <w:bottom w:val="single" w:color="auto" w:sz="2" w:space="0"/>
                    <w:right w:val="single" w:color="auto" w:sz="2" w:space="0"/>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t>项目</w:t>
                  </w:r>
                </w:p>
              </w:tc>
              <w:tc>
                <w:tcPr>
                  <w:tcW w:w="727"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t>监测点位</w:t>
                  </w:r>
                </w:p>
              </w:tc>
              <w:tc>
                <w:tcPr>
                  <w:tcW w:w="723"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t>监测项目</w:t>
                  </w:r>
                </w:p>
              </w:tc>
              <w:tc>
                <w:tcPr>
                  <w:tcW w:w="643"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t>监测单位</w:t>
                  </w:r>
                </w:p>
              </w:tc>
              <w:tc>
                <w:tcPr>
                  <w:tcW w:w="750"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t>监测频次</w:t>
                  </w:r>
                </w:p>
              </w:tc>
              <w:tc>
                <w:tcPr>
                  <w:tcW w:w="1590" w:type="pct"/>
                  <w:tcBorders>
                    <w:top w:val="single" w:color="auto" w:sz="12" w:space="0"/>
                    <w:left w:val="single" w:color="auto" w:sz="2" w:space="0"/>
                    <w:bottom w:val="single" w:color="auto" w:sz="2" w:space="0"/>
                    <w:right w:val="nil"/>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t>执行标准</w:t>
                  </w:r>
                </w:p>
              </w:tc>
            </w:tr>
            <w:tr>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blHeader/>
                <w:jc w:val="center"/>
              </w:trPr>
              <w:tc>
                <w:tcPr>
                  <w:tcW w:w="564" w:type="pct"/>
                  <w:tcBorders>
                    <w:top w:val="single" w:color="auto" w:sz="12" w:space="0"/>
                    <w:left w:val="nil"/>
                    <w:bottom w:val="single" w:color="auto" w:sz="2" w:space="0"/>
                    <w:right w:val="single" w:color="auto" w:sz="2" w:space="0"/>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bidi="ar"/>
                      <w14:textFill>
                        <w14:solidFill>
                          <w14:schemeClr w14:val="tx1"/>
                        </w14:solidFill>
                      </w14:textFill>
                    </w:rPr>
                    <w:t>噪声</w:t>
                  </w:r>
                </w:p>
              </w:tc>
              <w:tc>
                <w:tcPr>
                  <w:tcW w:w="727"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bidi="ar"/>
                      <w14:textFill>
                        <w14:solidFill>
                          <w14:schemeClr w14:val="tx1"/>
                        </w14:solidFill>
                      </w14:textFill>
                    </w:rPr>
                    <w:t>厂界</w:t>
                  </w:r>
                </w:p>
              </w:tc>
              <w:tc>
                <w:tcPr>
                  <w:tcW w:w="723"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等效连续A声级</w:t>
                  </w:r>
                </w:p>
              </w:tc>
              <w:tc>
                <w:tcPr>
                  <w:tcW w:w="643"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bidi="ar"/>
                      <w14:textFill>
                        <w14:solidFill>
                          <w14:schemeClr w14:val="tx1"/>
                        </w14:solidFill>
                      </w14:textFill>
                    </w:rPr>
                    <w:t>委托有资质单位代为监测</w:t>
                  </w:r>
                </w:p>
              </w:tc>
              <w:tc>
                <w:tcPr>
                  <w:tcW w:w="750" w:type="pct"/>
                  <w:tcBorders>
                    <w:top w:val="single" w:color="auto" w:sz="12" w:space="0"/>
                    <w:left w:val="single" w:color="auto" w:sz="2" w:space="0"/>
                    <w:bottom w:val="single" w:color="auto" w:sz="2" w:space="0"/>
                    <w:right w:val="single" w:color="auto" w:sz="2" w:space="0"/>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bidi="ar"/>
                      <w14:textFill>
                        <w14:solidFill>
                          <w14:schemeClr w14:val="tx1"/>
                        </w14:solidFill>
                      </w14:textFill>
                    </w:rPr>
                    <w:t>一季度一次</w:t>
                  </w:r>
                </w:p>
              </w:tc>
              <w:tc>
                <w:tcPr>
                  <w:tcW w:w="1590" w:type="pct"/>
                  <w:tcBorders>
                    <w:top w:val="single" w:color="auto" w:sz="12" w:space="0"/>
                    <w:left w:val="single" w:color="auto" w:sz="2" w:space="0"/>
                    <w:bottom w:val="single" w:color="auto" w:sz="2" w:space="0"/>
                    <w:right w:val="nil"/>
                  </w:tcBorders>
                  <w:shd w:val="clear" w:color="auto" w:fill="auto"/>
                  <w:vAlign w:val="center"/>
                </w:tcPr>
                <w:p>
                  <w:pPr>
                    <w:pStyle w:val="20"/>
                    <w:widowControl w:val="0"/>
                    <w:spacing w:before="0" w:beforeAutospacing="0" w:after="0" w:afterAutospacing="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bidi="ar"/>
                      <w14:textFill>
                        <w14:solidFill>
                          <w14:schemeClr w14:val="tx1"/>
                        </w14:solidFill>
                      </w14:textFill>
                    </w:rPr>
                    <w:t>《工业企业厂界环境噪声排放标准》（GB12348-2008）3类标准</w:t>
                  </w:r>
                </w:p>
              </w:tc>
            </w:tr>
          </w:tbl>
          <w:p>
            <w:pPr>
              <w:keepNext w:val="0"/>
              <w:keepLines w:val="0"/>
              <w:pageBreakBefore w:val="0"/>
              <w:wordWrap/>
              <w:overflowPunct/>
              <w:topLinePunct w:val="0"/>
              <w:bidi w:val="0"/>
              <w:adjustRightInd w:val="0"/>
              <w:snapToGrid w:val="0"/>
              <w:spacing w:line="360" w:lineRule="auto"/>
              <w:ind w:firstLine="482" w:firstLineChars="200"/>
              <w:jc w:val="both"/>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14:textFill>
                  <w14:solidFill>
                    <w14:schemeClr w14:val="tx1"/>
                  </w14:solidFill>
                </w14:textFill>
              </w:rPr>
              <w:t>4、</w:t>
            </w:r>
            <w:r>
              <w:rPr>
                <w:rFonts w:hint="default" w:ascii="Times New Roman" w:hAnsi="Times New Roman" w:eastAsia="宋体" w:cs="Times New Roman"/>
                <w:b/>
                <w:bCs/>
                <w:color w:val="000000" w:themeColor="text1"/>
                <w:sz w:val="24"/>
                <w:lang w:bidi="ar"/>
                <w14:textFill>
                  <w14:solidFill>
                    <w14:schemeClr w14:val="tx1"/>
                  </w14:solidFill>
                </w14:textFill>
              </w:rPr>
              <w:t>固体废物</w:t>
            </w:r>
          </w:p>
          <w:p>
            <w:pPr>
              <w:keepNext w:val="0"/>
              <w:keepLines w:val="0"/>
              <w:pageBreakBefore w:val="0"/>
              <w:wordWrap/>
              <w:overflowPunct/>
              <w:topLinePunct w:val="0"/>
              <w:bidi w:val="0"/>
              <w:spacing w:line="360" w:lineRule="auto"/>
              <w:ind w:firstLine="482" w:firstLineChars="200"/>
              <w:jc w:val="both"/>
              <w:outlineLvl w:val="2"/>
              <w:rPr>
                <w:rFonts w:hint="eastAsia"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color w:val="000000" w:themeColor="text1"/>
                <w:kern w:val="0"/>
                <w:sz w:val="24"/>
                <w14:textFill>
                  <w14:solidFill>
                    <w14:schemeClr w14:val="tx1"/>
                  </w14:solidFill>
                </w14:textFill>
              </w:rPr>
              <w:t>4.1</w:t>
            </w:r>
            <w:r>
              <w:rPr>
                <w:rFonts w:hint="eastAsia" w:ascii="宋体" w:hAnsi="宋体" w:eastAsia="宋体" w:cs="宋体"/>
                <w:b/>
                <w:bCs/>
                <w:color w:val="000000" w:themeColor="text1"/>
                <w:kern w:val="0"/>
                <w:sz w:val="24"/>
                <w:lang w:bidi="ar"/>
                <w14:textFill>
                  <w14:solidFill>
                    <w14:schemeClr w14:val="tx1"/>
                  </w14:solidFill>
                </w14:textFill>
              </w:rPr>
              <w:t>固体废物源强核算</w:t>
            </w:r>
          </w:p>
          <w:p>
            <w:pPr>
              <w:adjustRightInd w:val="0"/>
              <w:snapToGrid w:val="0"/>
              <w:spacing w:line="360" w:lineRule="auto"/>
              <w:ind w:firstLine="480" w:firstLineChars="200"/>
              <w:rPr>
                <w:rFonts w:hint="eastAsia"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本项目营运期固废分为一般工业固废和生活垃圾。</w:t>
            </w:r>
          </w:p>
          <w:p>
            <w:pPr>
              <w:adjustRightInd w:val="0"/>
              <w:snapToGrid w:val="0"/>
              <w:spacing w:line="360" w:lineRule="auto"/>
              <w:ind w:firstLine="480" w:firstLineChars="200"/>
              <w:rPr>
                <w:rFonts w:hint="default" w:ascii="Times New Roman" w:hAnsi="Times New Roman" w:eastAsia="宋体" w:cs="Times New Roman"/>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（1）生活</w:t>
            </w:r>
            <w:r>
              <w:rPr>
                <w:rFonts w:hint="default" w:ascii="Times New Roman" w:hAnsi="Times New Roman" w:eastAsia="宋体" w:cs="Times New Roman"/>
                <w:bCs/>
                <w:color w:val="000000" w:themeColor="text1"/>
                <w:kern w:val="0"/>
                <w:sz w:val="24"/>
                <w14:textFill>
                  <w14:solidFill>
                    <w14:schemeClr w14:val="tx1"/>
                  </w14:solidFill>
                </w14:textFill>
              </w:rPr>
              <w:t>垃圾</w:t>
            </w:r>
          </w:p>
          <w:p>
            <w:pPr>
              <w:adjustRightInd w:val="0"/>
              <w:snapToGrid w:val="0"/>
              <w:spacing w:line="360" w:lineRule="auto"/>
              <w:ind w:firstLine="480" w:firstLineChars="200"/>
              <w:rPr>
                <w:rFonts w:hint="default" w:ascii="Times New Roman" w:hAnsi="Times New Roman" w:eastAsia="宋体" w:cs="Times New Roman"/>
                <w:bCs/>
                <w:color w:val="000000" w:themeColor="text1"/>
                <w:kern w:val="0"/>
                <w:sz w:val="24"/>
                <w14:textFill>
                  <w14:solidFill>
                    <w14:schemeClr w14:val="tx1"/>
                  </w14:solidFill>
                </w14:textFill>
              </w:rPr>
            </w:pPr>
            <w:r>
              <w:rPr>
                <w:rFonts w:hint="default" w:ascii="Times New Roman" w:hAnsi="Times New Roman" w:eastAsia="宋体" w:cs="Times New Roman"/>
                <w:bCs/>
                <w:color w:val="000000" w:themeColor="text1"/>
                <w:kern w:val="0"/>
                <w:sz w:val="24"/>
                <w14:textFill>
                  <w14:solidFill>
                    <w14:schemeClr w14:val="tx1"/>
                  </w14:solidFill>
                </w14:textFill>
              </w:rPr>
              <w:t>营运期员工</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1</w:t>
            </w:r>
            <w:r>
              <w:rPr>
                <w:rFonts w:hint="eastAsia" w:cs="Times New Roman"/>
                <w:bCs/>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0</w:t>
            </w:r>
            <w:r>
              <w:rPr>
                <w:rFonts w:hint="default" w:ascii="Times New Roman" w:hAnsi="Times New Roman" w:eastAsia="宋体" w:cs="Times New Roman"/>
                <w:bCs/>
                <w:color w:val="000000" w:themeColor="text1"/>
                <w:kern w:val="0"/>
                <w:sz w:val="24"/>
                <w14:textFill>
                  <w14:solidFill>
                    <w14:schemeClr w14:val="tx1"/>
                  </w14:solidFill>
                </w14:textFill>
              </w:rPr>
              <w:t>人，生活垃圾产生量按 0.5kg/人•d ，生产时间按 300天计， 则预计产生量约为</w:t>
            </w:r>
            <w:r>
              <w:rPr>
                <w:rFonts w:hint="eastAsia" w:cs="Times New Roman"/>
                <w:bCs/>
                <w:color w:val="000000" w:themeColor="text1"/>
                <w:kern w:val="0"/>
                <w:sz w:val="24"/>
                <w:lang w:val="en-US" w:eastAsia="zh-CN"/>
                <w14:textFill>
                  <w14:solidFill>
                    <w14:schemeClr w14:val="tx1"/>
                  </w14:solidFill>
                </w14:textFill>
              </w:rPr>
              <w:t>18</w:t>
            </w:r>
            <w:r>
              <w:rPr>
                <w:rFonts w:hint="default" w:ascii="Times New Roman" w:hAnsi="Times New Roman" w:eastAsia="宋体" w:cs="Times New Roman"/>
                <w:bCs/>
                <w:color w:val="000000" w:themeColor="text1"/>
                <w:kern w:val="0"/>
                <w:sz w:val="24"/>
                <w14:textFill>
                  <w14:solidFill>
                    <w14:schemeClr w14:val="tx1"/>
                  </w14:solidFill>
                </w14:textFill>
              </w:rPr>
              <w:t>t/a。</w:t>
            </w:r>
          </w:p>
          <w:p>
            <w:pPr>
              <w:adjustRightInd w:val="0"/>
              <w:snapToGrid w:val="0"/>
              <w:spacing w:line="360" w:lineRule="auto"/>
              <w:ind w:firstLine="480" w:firstLineChars="200"/>
              <w:rPr>
                <w:rFonts w:hint="default" w:ascii="Times New Roman" w:hAnsi="Times New Roman" w:eastAsia="宋体" w:cs="Times New Roman"/>
                <w:bCs/>
                <w:color w:val="000000" w:themeColor="text1"/>
                <w:kern w:val="0"/>
                <w:sz w:val="24"/>
                <w14:textFill>
                  <w14:solidFill>
                    <w14:schemeClr w14:val="tx1"/>
                  </w14:solidFill>
                </w14:textFill>
              </w:rPr>
            </w:pPr>
            <w:r>
              <w:rPr>
                <w:rFonts w:hint="default" w:ascii="Times New Roman" w:hAnsi="Times New Roman" w:eastAsia="宋体" w:cs="Times New Roman"/>
                <w:bCs/>
                <w:color w:val="000000" w:themeColor="text1"/>
                <w:kern w:val="0"/>
                <w:sz w:val="24"/>
                <w14:textFill>
                  <w14:solidFill>
                    <w14:schemeClr w14:val="tx1"/>
                  </w14:solidFill>
                </w14:textFill>
              </w:rPr>
              <w:t>（2）一般工业固废</w:t>
            </w:r>
          </w:p>
          <w:p>
            <w:pPr>
              <w:adjustRightInd w:val="0"/>
              <w:snapToGrid w:val="0"/>
              <w:spacing w:line="360" w:lineRule="auto"/>
              <w:ind w:firstLine="480" w:firstLineChars="200"/>
              <w:rPr>
                <w:rFonts w:hint="default" w:ascii="Times New Roman" w:hAnsi="Times New Roman" w:eastAsia="宋体" w:cs="Times New Roman"/>
                <w:bCs/>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14:textFill>
                  <w14:solidFill>
                    <w14:schemeClr w14:val="tx1"/>
                  </w14:solidFill>
                </w14:textFill>
              </w:rPr>
              <w:t>本项目生产过程中会产生混凝土渣、废铁渣、废钢棒端头</w:t>
            </w:r>
            <w:r>
              <w:rPr>
                <w:rFonts w:hint="eastAsia" w:cs="Times New Roman"/>
                <w:bCs/>
                <w:color w:val="000000" w:themeColor="text1"/>
                <w:kern w:val="0"/>
                <w:sz w:val="24"/>
                <w:lang w:eastAsia="zh-CN"/>
                <w14:textFill>
                  <w14:solidFill>
                    <w14:schemeClr w14:val="tx1"/>
                  </w14:solidFill>
                </w14:textFill>
              </w:rPr>
              <w:t>、</w:t>
            </w:r>
            <w:r>
              <w:rPr>
                <w:rFonts w:hint="eastAsia" w:cs="Times New Roman"/>
                <w:bCs/>
                <w:color w:val="000000" w:themeColor="text1"/>
                <w:kern w:val="0"/>
                <w:sz w:val="24"/>
                <w:lang w:val="en-US" w:eastAsia="zh-CN"/>
                <w14:textFill>
                  <w14:solidFill>
                    <w14:schemeClr w14:val="tx1"/>
                  </w14:solidFill>
                </w14:textFill>
              </w:rPr>
              <w:t>沉砂池底泥</w:t>
            </w:r>
            <w:r>
              <w:rPr>
                <w:rFonts w:hint="default" w:ascii="Times New Roman" w:hAnsi="Times New Roman" w:eastAsia="宋体" w:cs="Times New Roman"/>
                <w:bCs/>
                <w:color w:val="000000" w:themeColor="text1"/>
                <w:kern w:val="0"/>
                <w:sz w:val="24"/>
                <w14:textFill>
                  <w14:solidFill>
                    <w14:schemeClr w14:val="tx1"/>
                  </w14:solidFill>
                </w14:textFill>
              </w:rPr>
              <w:t>，经统一回收后外售综合利用。混凝土渣产生量为196t/a，废铁渣产生量为80t/a ，废钢棒端头产生量为 240t/a</w:t>
            </w:r>
            <w:r>
              <w:rPr>
                <w:rFonts w:hint="eastAsia" w:cs="Times New Roman"/>
                <w:bCs/>
                <w:color w:val="000000" w:themeColor="text1"/>
                <w:kern w:val="0"/>
                <w:sz w:val="24"/>
                <w:lang w:eastAsia="zh-CN"/>
                <w14:textFill>
                  <w14:solidFill>
                    <w14:schemeClr w14:val="tx1"/>
                  </w14:solidFill>
                </w14:textFill>
              </w:rPr>
              <w:t>，</w:t>
            </w:r>
            <w:r>
              <w:rPr>
                <w:rFonts w:hint="eastAsia" w:cs="Times New Roman"/>
                <w:bCs/>
                <w:color w:val="000000" w:themeColor="text1"/>
                <w:kern w:val="0"/>
                <w:sz w:val="24"/>
                <w:lang w:val="en-US" w:eastAsia="zh-CN"/>
                <w14:textFill>
                  <w14:solidFill>
                    <w14:schemeClr w14:val="tx1"/>
                  </w14:solidFill>
                </w14:textFill>
              </w:rPr>
              <w:t>沉砂池底泥</w:t>
            </w:r>
            <w:r>
              <w:rPr>
                <w:rFonts w:hint="default" w:ascii="Times New Roman" w:hAnsi="Times New Roman" w:eastAsia="宋体" w:cs="Times New Roman"/>
                <w:bCs/>
                <w:color w:val="000000" w:themeColor="text1"/>
                <w:kern w:val="0"/>
                <w:sz w:val="24"/>
                <w14:textFill>
                  <w14:solidFill>
                    <w14:schemeClr w14:val="tx1"/>
                  </w14:solidFill>
                </w14:textFill>
              </w:rPr>
              <w:t>产生量为6t/</w:t>
            </w:r>
            <w:r>
              <w:rPr>
                <w:rFonts w:hint="eastAsia" w:cs="Times New Roman"/>
                <w:bCs/>
                <w:color w:val="000000" w:themeColor="text1"/>
                <w:kern w:val="0"/>
                <w:sz w:val="24"/>
                <w:lang w:val="en-US" w:eastAsia="zh-CN"/>
                <w14:textFill>
                  <w14:solidFill>
                    <w14:schemeClr w14:val="tx1"/>
                  </w14:solidFill>
                </w14:textFill>
              </w:rPr>
              <w:t>a</w:t>
            </w:r>
            <w:r>
              <w:rPr>
                <w:rFonts w:hint="default" w:ascii="Times New Roman" w:hAnsi="Times New Roman" w:eastAsia="宋体" w:cs="Times New Roman"/>
                <w:bCs/>
                <w:color w:val="000000" w:themeColor="text1"/>
                <w:kern w:val="0"/>
                <w:sz w:val="24"/>
                <w14:textFill>
                  <w14:solidFill>
                    <w14:schemeClr w14:val="tx1"/>
                  </w14:solidFill>
                </w14:textFill>
              </w:rPr>
              <w:t>。</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袋式除尘器回收粉尘</w:t>
            </w:r>
            <w:r>
              <w:rPr>
                <w:rFonts w:hint="eastAsia" w:cs="Times New Roman"/>
                <w:bCs/>
                <w:color w:val="000000" w:themeColor="text1"/>
                <w:kern w:val="0"/>
                <w:sz w:val="24"/>
                <w:lang w:val="en-US" w:eastAsia="zh-CN"/>
                <w14:textFill>
                  <w14:solidFill>
                    <w14:schemeClr w14:val="tx1"/>
                  </w14:solidFill>
                </w14:textFill>
              </w:rPr>
              <w:t>314.084</w:t>
            </w:r>
            <w:r>
              <w:rPr>
                <w:rFonts w:hint="default" w:ascii="Times New Roman" w:hAnsi="Times New Roman" w:eastAsia="宋体" w:cs="Times New Roman"/>
                <w:bCs/>
                <w:color w:val="000000" w:themeColor="text1"/>
                <w:kern w:val="0"/>
                <w:sz w:val="24"/>
                <w14:textFill>
                  <w14:solidFill>
                    <w14:schemeClr w14:val="tx1"/>
                  </w14:solidFill>
                </w14:textFill>
              </w:rPr>
              <w:t>t/</w:t>
            </w:r>
            <w:r>
              <w:rPr>
                <w:rFonts w:hint="eastAsia" w:cs="Times New Roman"/>
                <w:bCs/>
                <w:color w:val="000000" w:themeColor="text1"/>
                <w:kern w:val="0"/>
                <w:sz w:val="24"/>
                <w:lang w:val="en-US" w:eastAsia="zh-CN"/>
                <w14:textFill>
                  <w14:solidFill>
                    <w14:schemeClr w14:val="tx1"/>
                  </w14:solidFill>
                </w14:textFill>
              </w:rPr>
              <w:t>a</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均回用于生产。</w:t>
            </w:r>
          </w:p>
          <w:p>
            <w:pPr>
              <w:adjustRightInd w:val="0"/>
              <w:snapToGrid w:val="0"/>
              <w:spacing w:line="360" w:lineRule="auto"/>
              <w:ind w:firstLine="480" w:firstLineChars="200"/>
              <w:rPr>
                <w:rFonts w:hint="default" w:ascii="Times New Roman" w:hAnsi="Times New Roman" w:eastAsia="宋体" w:cs="Times New Roman"/>
                <w:bCs/>
                <w:color w:val="000000" w:themeColor="text1"/>
                <w:kern w:val="0"/>
                <w:sz w:val="24"/>
                <w14:textFill>
                  <w14:solidFill>
                    <w14:schemeClr w14:val="tx1"/>
                  </w14:solidFill>
                </w14:textFill>
              </w:rPr>
            </w:pPr>
            <w:r>
              <w:rPr>
                <w:rFonts w:hint="default" w:ascii="Times New Roman" w:hAnsi="Times New Roman" w:eastAsia="宋体" w:cs="Times New Roman"/>
                <w:bCs/>
                <w:color w:val="000000" w:themeColor="text1"/>
                <w:kern w:val="0"/>
                <w:sz w:val="24"/>
                <w14:textFill>
                  <w14:solidFill>
                    <w14:schemeClr w14:val="tx1"/>
                  </w14:solidFill>
                </w14:textFill>
              </w:rPr>
              <w:t>本项目锅炉软水系统使用离子交换树脂制备软水，离子交换树脂需2 年更换一次，每次更换量约为 0.2t 。根据《国家危险废物名录》（2021 年版），本项目软水制备产生的废弃离子交换树脂不属于工业废水处理过程产生的废弃离子交换树脂，因此不为危险废物，为一般固体废物，由原厂回收综合利用。</w:t>
            </w:r>
          </w:p>
          <w:p>
            <w:pPr>
              <w:adjustRightInd w:val="0"/>
              <w:snapToGrid w:val="0"/>
              <w:spacing w:line="360" w:lineRule="auto"/>
              <w:ind w:firstLine="480" w:firstLineChars="200"/>
              <w:rPr>
                <w:rFonts w:hint="default" w:ascii="Times New Roman" w:hAnsi="Times New Roman" w:eastAsia="宋体" w:cs="Times New Roman"/>
                <w:bCs/>
                <w:color w:val="000000" w:themeColor="text1"/>
                <w:kern w:val="0"/>
                <w:sz w:val="24"/>
                <w14:textFill>
                  <w14:solidFill>
                    <w14:schemeClr w14:val="tx1"/>
                  </w14:solidFill>
                </w14:textFill>
              </w:rPr>
            </w:pPr>
            <w:r>
              <w:rPr>
                <w:rFonts w:hint="default" w:ascii="Times New Roman" w:hAnsi="Times New Roman" w:eastAsia="宋体" w:cs="Times New Roman"/>
                <w:bCs/>
                <w:color w:val="000000" w:themeColor="text1"/>
                <w:kern w:val="0"/>
                <w:sz w:val="24"/>
                <w14:textFill>
                  <w14:solidFill>
                    <w14:schemeClr w14:val="tx1"/>
                  </w14:solidFill>
                </w14:textFill>
              </w:rPr>
              <w:t>本项目仅有空压机需要使用润滑油，每运行3000 小时，添加一次润滑油，只加不换，没有废润滑油产生。</w:t>
            </w:r>
          </w:p>
          <w:p>
            <w:pPr>
              <w:adjustRightInd w:val="0"/>
              <w:snapToGrid w:val="0"/>
              <w:spacing w:line="360" w:lineRule="auto"/>
              <w:ind w:firstLine="482" w:firstLineChars="200"/>
              <w:rPr>
                <w:rFonts w:hint="eastAsia" w:ascii="宋体" w:hAnsi="宋体" w:eastAsia="宋体" w:cs="宋体"/>
                <w:b/>
                <w:color w:val="000000" w:themeColor="text1"/>
                <w:kern w:val="0"/>
                <w:sz w:val="24"/>
                <w14:textFill>
                  <w14:solidFill>
                    <w14:schemeClr w14:val="tx1"/>
                  </w14:solidFill>
                </w14:textFill>
              </w:rPr>
            </w:pPr>
            <w:r>
              <w:rPr>
                <w:rFonts w:hint="eastAsia" w:ascii="宋体" w:hAnsi="宋体" w:eastAsia="宋体" w:cs="宋体"/>
                <w:b/>
                <w:bCs/>
                <w:color w:val="000000" w:themeColor="text1"/>
                <w:sz w:val="24"/>
                <w:lang w:bidi="ar"/>
                <w14:textFill>
                  <w14:solidFill>
                    <w14:schemeClr w14:val="tx1"/>
                  </w14:solidFill>
                </w14:textFill>
              </w:rPr>
              <w:t>4.2项目固体废物处置对策及影响分析</w:t>
            </w:r>
          </w:p>
          <w:p>
            <w:pPr>
              <w:adjustRightInd w:val="0"/>
              <w:spacing w:line="360" w:lineRule="auto"/>
              <w:ind w:firstLine="48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lang w:bidi="ar"/>
                <w14:textFill>
                  <w14:solidFill>
                    <w14:schemeClr w14:val="tx1"/>
                  </w14:solidFill>
                </w14:textFill>
              </w:rPr>
              <w:t>（1）一般工业固废</w:t>
            </w:r>
          </w:p>
          <w:p>
            <w:pPr>
              <w:adjustRightInd w:val="0"/>
              <w:spacing w:line="360" w:lineRule="auto"/>
              <w:ind w:firstLine="48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lang w:bidi="ar"/>
                <w14:textFill>
                  <w14:solidFill>
                    <w14:schemeClr w14:val="tx1"/>
                  </w14:solidFill>
                </w14:textFill>
              </w:rPr>
              <w:t>①要按照《一般工业固体废物贮存和填埋污染控制标准》（GB18599-2020）中规定其贮存过程应满足相应防渗漏、防雨淋、防扬尘等环境保护要求。</w:t>
            </w:r>
          </w:p>
          <w:p>
            <w:pPr>
              <w:adjustRightInd w:val="0"/>
              <w:spacing w:line="360" w:lineRule="auto"/>
              <w:ind w:firstLine="48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lang w:bidi="ar"/>
                <w14:textFill>
                  <w14:solidFill>
                    <w14:schemeClr w14:val="tx1"/>
                  </w14:solidFill>
                </w14:textFill>
              </w:rPr>
              <w:t>②按照《中华人民共和国固体废物污染环境防治法》有关规定设置暂存场所。</w:t>
            </w:r>
          </w:p>
          <w:p>
            <w:pPr>
              <w:adjustRightInd w:val="0"/>
              <w:spacing w:line="360" w:lineRule="auto"/>
              <w:ind w:firstLine="48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lang w:bidi="ar"/>
                <w14:textFill>
                  <w14:solidFill>
                    <w14:schemeClr w14:val="tx1"/>
                  </w14:solidFill>
                </w14:textFill>
              </w:rPr>
              <w:t>（2）生活垃圾</w:t>
            </w:r>
          </w:p>
          <w:p>
            <w:pPr>
              <w:spacing w:line="360" w:lineRule="auto"/>
              <w:ind w:firstLine="480" w:firstLineChars="200"/>
              <w:outlineLvl w:val="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lang w:bidi="ar"/>
                <w14:textFill>
                  <w14:solidFill>
                    <w14:schemeClr w14:val="tx1"/>
                  </w14:solidFill>
                </w14:textFill>
              </w:rPr>
              <w:t>对于生活垃圾，每天将其先集中至生活垃圾收集点，当天由当地环卫部门及时清运，日产日清，纳入城市生活垃圾处理系统进行集中处置。</w:t>
            </w:r>
          </w:p>
          <w:p>
            <w:pPr>
              <w:adjustRightInd w:val="0"/>
              <w:snapToGrid w:val="0"/>
              <w:spacing w:line="360" w:lineRule="auto"/>
              <w:ind w:firstLine="482" w:firstLineChars="200"/>
              <w:rPr>
                <w:rFonts w:hint="eastAsia" w:ascii="宋体" w:hAnsi="宋体" w:eastAsia="宋体" w:cs="宋体"/>
                <w:b/>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14:textFill>
                  <w14:solidFill>
                    <w14:schemeClr w14:val="tx1"/>
                  </w14:solidFill>
                </w14:textFill>
              </w:rPr>
              <w:t>5、地下水及土壤环境影响</w:t>
            </w:r>
          </w:p>
          <w:p>
            <w:pPr>
              <w:spacing w:line="360" w:lineRule="auto"/>
              <w:ind w:firstLine="472" w:firstLineChars="200"/>
              <w:rPr>
                <w:rFonts w:hint="eastAsia" w:ascii="宋体" w:hAnsi="宋体" w:eastAsia="宋体" w:cs="宋体"/>
                <w:bCs/>
                <w:color w:val="000000" w:themeColor="text1"/>
                <w:spacing w:val="-2"/>
                <w:sz w:val="24"/>
                <w14:textFill>
                  <w14:solidFill>
                    <w14:schemeClr w14:val="tx1"/>
                  </w14:solidFill>
                </w14:textFill>
              </w:rPr>
            </w:pPr>
            <w:r>
              <w:rPr>
                <w:rFonts w:hint="eastAsia" w:ascii="宋体" w:hAnsi="宋体" w:eastAsia="宋体" w:cs="宋体"/>
                <w:bCs/>
                <w:color w:val="000000" w:themeColor="text1"/>
                <w:spacing w:val="-2"/>
                <w:sz w:val="24"/>
                <w:lang w:val="en-US" w:eastAsia="zh-CN"/>
                <w14:textFill>
                  <w14:solidFill>
                    <w14:schemeClr w14:val="tx1"/>
                  </w14:solidFill>
                </w14:textFill>
              </w:rPr>
              <w:t>根据项目特点，对地下水及土壤环境影响很小，</w:t>
            </w:r>
            <w:r>
              <w:rPr>
                <w:rFonts w:hint="eastAsia" w:ascii="宋体" w:hAnsi="宋体" w:eastAsia="宋体" w:cs="宋体"/>
                <w:bCs/>
                <w:color w:val="000000" w:themeColor="text1"/>
                <w:spacing w:val="-2"/>
                <w:sz w:val="24"/>
                <w14:textFill>
                  <w14:solidFill>
                    <w14:schemeClr w14:val="tx1"/>
                  </w14:solidFill>
                </w14:textFill>
              </w:rPr>
              <w:t>对项目区进行分区防渗。根据导则要求，结合项目区地质情况以及项目区对地下水的污染途径，项目区分为简单防渗区、一般防渗区和重点防渗区，详情见表4-</w:t>
            </w:r>
            <w:r>
              <w:rPr>
                <w:rFonts w:hint="eastAsia" w:ascii="宋体" w:hAnsi="宋体" w:eastAsia="宋体" w:cs="宋体"/>
                <w:bCs/>
                <w:color w:val="000000" w:themeColor="text1"/>
                <w:spacing w:val="-2"/>
                <w:sz w:val="24"/>
                <w:lang w:val="en-US" w:eastAsia="zh-CN"/>
                <w14:textFill>
                  <w14:solidFill>
                    <w14:schemeClr w14:val="tx1"/>
                  </w14:solidFill>
                </w14:textFill>
              </w:rPr>
              <w:t>14</w:t>
            </w:r>
            <w:r>
              <w:rPr>
                <w:rFonts w:hint="eastAsia" w:ascii="宋体" w:hAnsi="宋体" w:eastAsia="宋体" w:cs="宋体"/>
                <w:bCs/>
                <w:color w:val="000000" w:themeColor="text1"/>
                <w:spacing w:val="-2"/>
                <w:sz w:val="24"/>
                <w14:textFill>
                  <w14:solidFill>
                    <w14:schemeClr w14:val="tx1"/>
                  </w14:solidFill>
                </w14:textFill>
              </w:rPr>
              <w:t>：</w:t>
            </w:r>
          </w:p>
          <w:p>
            <w:pPr>
              <w:pStyle w:val="100"/>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pacing w:val="6"/>
                <w:sz w:val="21"/>
                <w:szCs w:val="21"/>
                <w14:textFill>
                  <w14:solidFill>
                    <w14:schemeClr w14:val="tx1"/>
                  </w14:solidFill>
                </w14:textFill>
              </w:rPr>
              <w:t>表</w:t>
            </w:r>
            <w:r>
              <w:rPr>
                <w:rFonts w:hint="eastAsia" w:ascii="宋体" w:hAnsi="宋体" w:eastAsia="宋体" w:cs="宋体"/>
                <w:b/>
                <w:color w:val="000000" w:themeColor="text1"/>
                <w:spacing w:val="-28"/>
                <w:sz w:val="21"/>
                <w:szCs w:val="21"/>
                <w14:textFill>
                  <w14:solidFill>
                    <w14:schemeClr w14:val="tx1"/>
                  </w14:solidFill>
                </w14:textFill>
              </w:rPr>
              <w:t xml:space="preserve"> </w:t>
            </w:r>
            <w:r>
              <w:rPr>
                <w:rFonts w:hint="eastAsia" w:ascii="宋体" w:hAnsi="宋体" w:eastAsia="宋体" w:cs="宋体"/>
                <w:b/>
                <w:bCs/>
                <w:color w:val="000000" w:themeColor="text1"/>
                <w:spacing w:val="6"/>
                <w:sz w:val="21"/>
                <w:szCs w:val="21"/>
                <w14:textFill>
                  <w14:solidFill>
                    <w14:schemeClr w14:val="tx1"/>
                  </w14:solidFill>
                </w14:textFill>
              </w:rPr>
              <w:t>4-</w:t>
            </w:r>
            <w:r>
              <w:rPr>
                <w:rFonts w:hint="eastAsia" w:ascii="宋体" w:hAnsi="宋体" w:eastAsia="宋体" w:cs="宋体"/>
                <w:b/>
                <w:bCs/>
                <w:color w:val="000000" w:themeColor="text1"/>
                <w:spacing w:val="6"/>
                <w:sz w:val="21"/>
                <w:szCs w:val="21"/>
                <w:lang w:val="en-US" w:eastAsia="zh-CN"/>
                <w14:textFill>
                  <w14:solidFill>
                    <w14:schemeClr w14:val="tx1"/>
                  </w14:solidFill>
                </w14:textFill>
              </w:rPr>
              <w:t>14</w:t>
            </w:r>
            <w:r>
              <w:rPr>
                <w:rFonts w:hint="eastAsia" w:ascii="宋体" w:hAnsi="宋体" w:eastAsia="宋体" w:cs="宋体"/>
                <w:b/>
                <w:bCs/>
                <w:color w:val="000000" w:themeColor="text1"/>
                <w:spacing w:val="6"/>
                <w:sz w:val="21"/>
                <w:szCs w:val="21"/>
                <w14:textFill>
                  <w14:solidFill>
                    <w14:schemeClr w14:val="tx1"/>
                  </w14:solidFill>
                </w14:textFill>
              </w:rPr>
              <w:t xml:space="preserve">   </w:t>
            </w:r>
            <w:r>
              <w:rPr>
                <w:rFonts w:hint="eastAsia" w:ascii="宋体" w:hAnsi="宋体" w:eastAsia="宋体" w:cs="宋体"/>
                <w:b/>
                <w:color w:val="000000" w:themeColor="text1"/>
                <w:spacing w:val="6"/>
                <w:sz w:val="21"/>
                <w:szCs w:val="21"/>
                <w14:textFill>
                  <w14:solidFill>
                    <w14:schemeClr w14:val="tx1"/>
                  </w14:solidFill>
                </w14:textFill>
              </w:rPr>
              <w:t>项目防渗分区一览表</w:t>
            </w:r>
          </w:p>
          <w:tbl>
            <w:tblPr>
              <w:tblStyle w:val="102"/>
              <w:tblW w:w="7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9"/>
              <w:gridCol w:w="2231"/>
              <w:gridCol w:w="992"/>
              <w:gridCol w:w="992"/>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jc w:val="center"/>
              </w:trPr>
              <w:tc>
                <w:tcPr>
                  <w:tcW w:w="619" w:type="dxa"/>
                  <w:vAlign w:val="center"/>
                </w:tcPr>
                <w:p>
                  <w:pPr>
                    <w:pStyle w:val="100"/>
                    <w:spacing w:line="24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pacing w:val="6"/>
                      <w:sz w:val="21"/>
                      <w:szCs w:val="21"/>
                      <w14:textFill>
                        <w14:solidFill>
                          <w14:schemeClr w14:val="tx1"/>
                        </w14:solidFill>
                      </w14:textFill>
                    </w:rPr>
                    <w:t>序号</w:t>
                  </w:r>
                </w:p>
              </w:tc>
              <w:tc>
                <w:tcPr>
                  <w:tcW w:w="2231" w:type="dxa"/>
                  <w:vAlign w:val="center"/>
                </w:tcPr>
                <w:p>
                  <w:pPr>
                    <w:pStyle w:val="100"/>
                    <w:spacing w:line="24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pacing w:val="9"/>
                      <w:sz w:val="21"/>
                      <w:szCs w:val="21"/>
                      <w14:textFill>
                        <w14:solidFill>
                          <w14:schemeClr w14:val="tx1"/>
                        </w14:solidFill>
                      </w14:textFill>
                    </w:rPr>
                    <w:t>装置、单元名称</w:t>
                  </w:r>
                </w:p>
              </w:tc>
              <w:tc>
                <w:tcPr>
                  <w:tcW w:w="992" w:type="dxa"/>
                  <w:vAlign w:val="center"/>
                </w:tcPr>
                <w:p>
                  <w:pPr>
                    <w:pStyle w:val="100"/>
                    <w:spacing w:line="240" w:lineRule="atLeast"/>
                    <w:ind w:right="184"/>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pacing w:val="8"/>
                      <w:sz w:val="21"/>
                      <w:szCs w:val="21"/>
                      <w14:textFill>
                        <w14:solidFill>
                          <w14:schemeClr w14:val="tx1"/>
                        </w14:solidFill>
                      </w14:textFill>
                    </w:rPr>
                    <w:t>污染防治区域</w:t>
                  </w:r>
                </w:p>
              </w:tc>
              <w:tc>
                <w:tcPr>
                  <w:tcW w:w="992" w:type="dxa"/>
                  <w:vAlign w:val="center"/>
                </w:tcPr>
                <w:p>
                  <w:pPr>
                    <w:pStyle w:val="100"/>
                    <w:spacing w:line="240" w:lineRule="atLeast"/>
                    <w:ind w:right="202"/>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pacing w:val="8"/>
                      <w:sz w:val="21"/>
                      <w:szCs w:val="21"/>
                      <w14:textFill>
                        <w14:solidFill>
                          <w14:schemeClr w14:val="tx1"/>
                        </w14:solidFill>
                      </w14:textFill>
                    </w:rPr>
                    <w:t>污染防治区</w:t>
                  </w:r>
                  <w:r>
                    <w:rPr>
                      <w:rFonts w:hint="default" w:ascii="Times New Roman" w:hAnsi="Times New Roman" w:eastAsia="宋体" w:cs="Times New Roman"/>
                      <w:b/>
                      <w:color w:val="000000" w:themeColor="text1"/>
                      <w:spacing w:val="6"/>
                      <w:sz w:val="21"/>
                      <w:szCs w:val="21"/>
                      <w14:textFill>
                        <w14:solidFill>
                          <w14:schemeClr w14:val="tx1"/>
                        </w14:solidFill>
                      </w14:textFill>
                    </w:rPr>
                    <w:t>类别</w:t>
                  </w:r>
                </w:p>
              </w:tc>
              <w:tc>
                <w:tcPr>
                  <w:tcW w:w="3113" w:type="dxa"/>
                  <w:vAlign w:val="center"/>
                </w:tcPr>
                <w:p>
                  <w:pPr>
                    <w:pStyle w:val="100"/>
                    <w:spacing w:line="240" w:lineRule="atLeas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pacing w:val="6"/>
                      <w:sz w:val="21"/>
                      <w:szCs w:val="21"/>
                      <w14:textFill>
                        <w14:solidFill>
                          <w14:schemeClr w14:val="tx1"/>
                        </w14:solidFill>
                      </w14:textFill>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3" w:hRule="atLeast"/>
                <w:jc w:val="center"/>
              </w:trPr>
              <w:tc>
                <w:tcPr>
                  <w:tcW w:w="619" w:type="dxa"/>
                  <w:vAlign w:val="center"/>
                </w:tcPr>
                <w:p>
                  <w:pPr>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w:t>
                  </w:r>
                </w:p>
              </w:tc>
              <w:tc>
                <w:tcPr>
                  <w:tcW w:w="2231" w:type="dxa"/>
                  <w:vAlign w:val="center"/>
                </w:tcPr>
                <w:p>
                  <w:pPr>
                    <w:pStyle w:val="100"/>
                    <w:spacing w:line="240" w:lineRule="atLeast"/>
                    <w:ind w:right="78"/>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循环水池</w:t>
                  </w:r>
                  <w:r>
                    <w:rPr>
                      <w:rFonts w:hint="eastAsia" w:ascii="Times New Roman" w:hAnsi="Times New Roman" w:cs="Times New Roman"/>
                      <w:color w:val="000000" w:themeColor="text1"/>
                      <w:spacing w:val="3"/>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t>生产车间</w:t>
                  </w:r>
                  <w:r>
                    <w:rPr>
                      <w:rFonts w:hint="eastAsia" w:ascii="Times New Roman" w:hAnsi="Times New Roman" w:cs="Times New Roman"/>
                      <w:color w:val="000000" w:themeColor="text1"/>
                      <w:spacing w:val="6"/>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原料</w:t>
                  </w:r>
                  <w:r>
                    <w:rPr>
                      <w:rFonts w:hint="eastAsia" w:ascii="Times New Roman" w:hAnsi="Times New Roman" w:cs="Times New Roman"/>
                      <w:color w:val="000000" w:themeColor="text1"/>
                      <w:spacing w:val="3"/>
                      <w:sz w:val="21"/>
                      <w:szCs w:val="21"/>
                      <w:lang w:val="en-US" w:eastAsia="zh-CN"/>
                      <w14:textFill>
                        <w14:solidFill>
                          <w14:schemeClr w14:val="tx1"/>
                        </w14:solidFill>
                      </w14:textFill>
                    </w:rPr>
                    <w:t>库</w:t>
                  </w:r>
                </w:p>
              </w:tc>
              <w:tc>
                <w:tcPr>
                  <w:tcW w:w="992"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p>
                  <w:pPr>
                    <w:pStyle w:val="100"/>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pacing w:val="4"/>
                      <w:sz w:val="21"/>
                      <w:szCs w:val="21"/>
                      <w:lang w:val="en-US" w:eastAsia="zh-CN"/>
                      <w14:textFill>
                        <w14:solidFill>
                          <w14:schemeClr w14:val="tx1"/>
                        </w14:solidFill>
                      </w14:textFill>
                    </w:rPr>
                    <w:t>池体、</w:t>
                  </w:r>
                  <w:r>
                    <w:rPr>
                      <w:rFonts w:hint="default" w:ascii="Times New Roman" w:hAnsi="Times New Roman" w:eastAsia="宋体" w:cs="Times New Roman"/>
                      <w:color w:val="000000" w:themeColor="text1"/>
                      <w:spacing w:val="4"/>
                      <w:sz w:val="21"/>
                      <w:szCs w:val="21"/>
                      <w14:textFill>
                        <w14:solidFill>
                          <w14:schemeClr w14:val="tx1"/>
                        </w14:solidFill>
                      </w14:textFill>
                    </w:rPr>
                    <w:t>地面</w:t>
                  </w:r>
                </w:p>
              </w:tc>
              <w:tc>
                <w:tcPr>
                  <w:tcW w:w="992"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p>
                <w:p>
                  <w:pPr>
                    <w:pStyle w:val="100"/>
                    <w:spacing w:line="240" w:lineRule="atLeas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一般防渗区</w:t>
                  </w:r>
                </w:p>
              </w:tc>
              <w:tc>
                <w:tcPr>
                  <w:tcW w:w="3113" w:type="dxa"/>
                  <w:vAlign w:val="center"/>
                </w:tcPr>
                <w:p>
                  <w:pPr>
                    <w:pStyle w:val="100"/>
                    <w:ind w:right="186"/>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粘土铺底+抗渗混凝土</w:t>
                  </w:r>
                </w:p>
                <w:p>
                  <w:pPr>
                    <w:pStyle w:val="100"/>
                    <w:ind w:right="18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等效黏土防渗层</w:t>
                  </w:r>
                  <w:r>
                    <w:rPr>
                      <w:rFonts w:hint="default" w:ascii="Times New Roman" w:hAnsi="Times New Roman" w:eastAsia="宋体" w:cs="Times New Roman"/>
                      <w:color w:val="000000" w:themeColor="text1"/>
                      <w:sz w:val="21"/>
                      <w:szCs w:val="21"/>
                      <w14:textFill>
                        <w14:solidFill>
                          <w14:schemeClr w14:val="tx1"/>
                        </w14:solidFill>
                      </w14:textFill>
                    </w:rPr>
                    <w:t>Mb</w:t>
                  </w:r>
                  <w:r>
                    <w:rPr>
                      <w:rFonts w:hint="default" w:ascii="Times New Roman" w:hAnsi="Times New Roman" w:eastAsia="宋体" w:cs="Times New Roman"/>
                      <w:color w:val="000000" w:themeColor="text1"/>
                      <w:spacing w:val="5"/>
                      <w:sz w:val="21"/>
                      <w:szCs w:val="21"/>
                      <w14:textFill>
                        <w14:solidFill>
                          <w14:schemeClr w14:val="tx1"/>
                        </w14:solidFill>
                      </w14:textFill>
                    </w:rPr>
                    <w:t>≥3.0m，</w:t>
                  </w:r>
                  <w:r>
                    <w:rPr>
                      <w:rFonts w:hint="default" w:ascii="Times New Roman" w:hAnsi="Times New Roman" w:eastAsia="宋体" w:cs="Times New Roman"/>
                      <w:color w:val="000000" w:themeColor="text1"/>
                      <w:spacing w:val="2"/>
                      <w:sz w:val="21"/>
                      <w:szCs w:val="21"/>
                      <w14:textFill>
                        <w14:solidFill>
                          <w14:schemeClr w14:val="tx1"/>
                        </w14:solidFill>
                      </w14:textFill>
                    </w:rPr>
                    <w:t>K≤1×</w:t>
                  </w:r>
                  <w:r>
                    <w:rPr>
                      <w:rFonts w:hint="default" w:ascii="Times New Roman" w:hAnsi="Times New Roman" w:eastAsia="宋体" w:cs="Times New Roman"/>
                      <w:color w:val="000000" w:themeColor="text1"/>
                      <w:spacing w:val="-19"/>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2"/>
                      <w:sz w:val="21"/>
                      <w:szCs w:val="21"/>
                      <w14:textFill>
                        <w14:solidFill>
                          <w14:schemeClr w14:val="tx1"/>
                        </w14:solidFill>
                      </w14:textFill>
                    </w:rPr>
                    <w:t>10</w:t>
                  </w:r>
                  <w:r>
                    <w:rPr>
                      <w:rFonts w:hint="default" w:ascii="Times New Roman" w:hAnsi="Times New Roman" w:eastAsia="宋体" w:cs="Times New Roman"/>
                      <w:color w:val="000000" w:themeColor="text1"/>
                      <w:spacing w:val="2"/>
                      <w:position w:val="6"/>
                      <w:sz w:val="21"/>
                      <w:szCs w:val="21"/>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w:t>
                  </w:r>
                  <w:r>
                    <w:rPr>
                      <w:rFonts w:hint="default" w:ascii="Times New Roman" w:hAnsi="Times New Roman" w:eastAsia="宋体" w:cs="Times New Roman"/>
                      <w:color w:val="000000" w:themeColor="text1"/>
                      <w:spacing w:val="2"/>
                      <w:sz w:val="21"/>
                      <w:szCs w:val="21"/>
                      <w14:textFill>
                        <w14:solidFill>
                          <w14:schemeClr w14:val="tx1"/>
                        </w14:solidFill>
                      </w14:textFill>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jc w:val="center"/>
              </w:trPr>
              <w:tc>
                <w:tcPr>
                  <w:tcW w:w="619" w:type="dxa"/>
                  <w:vAlign w:val="center"/>
                </w:tcPr>
                <w:p>
                  <w:pPr>
                    <w:kinsoku w:val="0"/>
                    <w:autoSpaceDE w:val="0"/>
                    <w:autoSpaceDN w:val="0"/>
                    <w:adjustRightInd w:val="0"/>
                    <w:snapToGrid w:val="0"/>
                    <w:spacing w:line="240" w:lineRule="atLeast"/>
                    <w:jc w:val="center"/>
                    <w:textAlignment w:val="baseline"/>
                    <w:rPr>
                      <w:rFonts w:hint="default" w:ascii="Times New Roman" w:hAnsi="Times New Roman" w:eastAsia="宋体" w:cs="Times New Roman"/>
                      <w:b w:val="0"/>
                      <w:bCs w:val="0"/>
                      <w:color w:val="000000" w:themeColor="text1"/>
                      <w:szCs w:val="21"/>
                      <w:lang w:eastAsia="zh-CN"/>
                      <w14:textFill>
                        <w14:solidFill>
                          <w14:schemeClr w14:val="tx1"/>
                        </w14:solidFill>
                      </w14:textFill>
                    </w:rPr>
                  </w:pPr>
                  <w:r>
                    <w:rPr>
                      <w:rFonts w:hint="eastAsia" w:cs="Times New Roman"/>
                      <w:b w:val="0"/>
                      <w:bCs w:val="0"/>
                      <w:color w:val="000000" w:themeColor="text1"/>
                      <w:spacing w:val="1"/>
                      <w:lang w:val="en-US" w:eastAsia="zh-CN"/>
                      <w14:textFill>
                        <w14:solidFill>
                          <w14:schemeClr w14:val="tx1"/>
                        </w14:solidFill>
                      </w14:textFill>
                    </w:rPr>
                    <w:t>2</w:t>
                  </w:r>
                </w:p>
              </w:tc>
              <w:tc>
                <w:tcPr>
                  <w:tcW w:w="2231" w:type="dxa"/>
                  <w:vAlign w:val="center"/>
                </w:tcPr>
                <w:p>
                  <w:pPr>
                    <w:pStyle w:val="100"/>
                    <w:spacing w:line="240" w:lineRule="atLeast"/>
                    <w:ind w:right="78"/>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5"/>
                      <w:sz w:val="21"/>
                      <w:szCs w:val="21"/>
                      <w:lang w:val="en-US" w:eastAsia="zh-CN"/>
                      <w14:textFill>
                        <w14:solidFill>
                          <w14:schemeClr w14:val="tx1"/>
                        </w14:solidFill>
                      </w14:textFill>
                    </w:rPr>
                    <w:t>进出场道路</w:t>
                  </w:r>
                </w:p>
              </w:tc>
              <w:tc>
                <w:tcPr>
                  <w:tcW w:w="992" w:type="dxa"/>
                  <w:vAlign w:val="center"/>
                </w:tcPr>
                <w:p>
                  <w:pPr>
                    <w:pStyle w:val="100"/>
                    <w:spacing w:line="240" w:lineRule="atLeas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地面</w:t>
                  </w:r>
                </w:p>
              </w:tc>
              <w:tc>
                <w:tcPr>
                  <w:tcW w:w="992" w:type="dxa"/>
                  <w:vAlign w:val="center"/>
                </w:tcPr>
                <w:p>
                  <w:pPr>
                    <w:pStyle w:val="100"/>
                    <w:spacing w:line="240" w:lineRule="atLeas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14:textFill>
                        <w14:solidFill>
                          <w14:schemeClr w14:val="tx1"/>
                        </w14:solidFill>
                      </w14:textFill>
                    </w:rPr>
                    <w:t>简单防渗</w:t>
                  </w:r>
                </w:p>
              </w:tc>
              <w:tc>
                <w:tcPr>
                  <w:tcW w:w="3113" w:type="dxa"/>
                  <w:vAlign w:val="center"/>
                </w:tcPr>
                <w:p>
                  <w:pPr>
                    <w:kinsoku w:val="0"/>
                    <w:autoSpaceDE w:val="0"/>
                    <w:autoSpaceDN w:val="0"/>
                    <w:adjustRightInd w:val="0"/>
                    <w:snapToGrid w:val="0"/>
                    <w:spacing w:line="240" w:lineRule="atLeast"/>
                    <w:jc w:val="center"/>
                    <w:textAlignment w:val="baseline"/>
                    <w:rPr>
                      <w:rFonts w:hint="default" w:ascii="Times New Roman" w:hAnsi="Times New Roman" w:eastAsia="宋体" w:cs="Times New Roman"/>
                      <w:b w:val="0"/>
                      <w:bCs w:val="0"/>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pacing w:val="2"/>
                      <w14:textFill>
                        <w14:solidFill>
                          <w14:schemeClr w14:val="tx1"/>
                        </w14:solidFill>
                      </w14:textFill>
                    </w:rPr>
                    <w:t>一般地面硬化</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 w:val="0"/>
                <w:bCs w:val="0"/>
                <w:color w:val="000000" w:themeColor="text1"/>
                <w:kern w:val="0"/>
                <w:sz w:val="24"/>
                <w14:textFill>
                  <w14:solidFill>
                    <w14:schemeClr w14:val="tx1"/>
                  </w14:solidFill>
                </w14:textFill>
              </w:rPr>
            </w:pPr>
            <w:r>
              <w:rPr>
                <w:rFonts w:hint="eastAsia" w:ascii="宋体" w:hAnsi="宋体" w:eastAsia="宋体" w:cs="宋体"/>
                <w:b w:val="0"/>
                <w:bCs w:val="0"/>
                <w:color w:val="000000" w:themeColor="text1"/>
                <w:kern w:val="0"/>
                <w:sz w:val="24"/>
                <w14:textFill>
                  <w14:solidFill>
                    <w14:schemeClr w14:val="tx1"/>
                  </w14:solidFill>
                </w14:textFill>
              </w:rPr>
              <w:t>根据项目特点，厂区进行分区并对不同分区采取相应的防渗措施。项目对可能产生地下水、土壤影响的各项途径均进行有效预防，各项防渗措施可以有 效地防止对区域地下水、土壤造成污染。综上所述，项目不会对项目区地下水、土壤环境造成污染影响。</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14:textFill>
                  <w14:solidFill>
                    <w14:schemeClr w14:val="tx1"/>
                  </w14:solidFill>
                </w14:textFill>
              </w:rPr>
              <w:t>6、环境风险</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本项目使用原辅材料不涉及《有毒有害大气污染物名录》《有毒有害水污染物名录》中的环境风险物质。</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宋体" w:hAnsi="宋体" w:eastAsia="宋体" w:cs="宋体"/>
                <w:b/>
                <w:color w:val="000000" w:themeColor="text1"/>
                <w:kern w:val="0"/>
                <w:sz w:val="24"/>
                <w:lang w:val="en-US" w:eastAsia="zh-CN"/>
                <w14:textFill>
                  <w14:solidFill>
                    <w14:schemeClr w14:val="tx1"/>
                  </w14:solidFill>
                </w14:textFill>
              </w:rPr>
            </w:pPr>
            <w:r>
              <w:rPr>
                <w:rFonts w:hint="eastAsia" w:ascii="宋体" w:hAnsi="宋体" w:eastAsia="宋体" w:cs="宋体"/>
                <w:b/>
                <w:color w:val="000000" w:themeColor="text1"/>
                <w:kern w:val="0"/>
                <w:sz w:val="24"/>
                <w14:textFill>
                  <w14:solidFill>
                    <w14:schemeClr w14:val="tx1"/>
                  </w14:solidFill>
                </w14:textFill>
              </w:rPr>
              <w:t>6.1</w:t>
            </w:r>
            <w:r>
              <w:rPr>
                <w:rFonts w:hint="eastAsia" w:ascii="宋体" w:hAnsi="宋体" w:eastAsia="宋体" w:cs="宋体"/>
                <w:b/>
                <w:color w:val="000000" w:themeColor="text1"/>
                <w:kern w:val="0"/>
                <w:sz w:val="24"/>
                <w:lang w:val="en-US" w:eastAsia="zh-CN"/>
                <w14:textFill>
                  <w14:solidFill>
                    <w14:schemeClr w14:val="tx1"/>
                  </w14:solidFill>
                </w14:textFill>
              </w:rPr>
              <w:t>风险调查</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涉及的风险物质主要为管道天然气，天然气属于易燃、易爆物质，经对比可燃物质的危险特性，结合生产设施风险识别结果，项目最大可信事故设定为天然气在使用过程中发生泄漏、火灾、爆炸事故。</w:t>
            </w:r>
            <w:r>
              <w:rPr>
                <w:rFonts w:hint="default" w:ascii="Times New Roman" w:hAnsi="Times New Roman" w:eastAsia="宋体" w:cs="Times New Roman"/>
                <w:color w:val="000000" w:themeColor="text1"/>
                <w:sz w:val="24"/>
                <w:lang w:val="en-US" w:eastAsia="zh-CN"/>
                <w14:textFill>
                  <w14:solidFill>
                    <w14:schemeClr w14:val="tx1"/>
                  </w14:solidFill>
                </w14:textFill>
              </w:rPr>
              <w:t>本项目危险物质和风险源分布情况及可能影响途径见下表。</w:t>
            </w:r>
          </w:p>
          <w:p>
            <w:pPr>
              <w:ind w:firstLine="482"/>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表4-1</w:t>
            </w:r>
            <w:r>
              <w:rPr>
                <w:rFonts w:hint="eastAsia" w:ascii="Times New Roman" w:hAnsi="Times New Roman" w:eastAsia="宋体" w:cs="Times New Roman"/>
                <w:b/>
                <w:bCs/>
                <w:color w:val="000000" w:themeColor="text1"/>
                <w:lang w:val="en-US" w:eastAsia="zh-CN"/>
                <w14:textFill>
                  <w14:solidFill>
                    <w14:schemeClr w14:val="tx1"/>
                  </w14:solidFill>
                </w14:textFill>
              </w:rPr>
              <w:t>5</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环境风险识别一览表</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95"/>
              <w:gridCol w:w="1492"/>
              <w:gridCol w:w="1431"/>
              <w:gridCol w:w="1046"/>
              <w:gridCol w:w="1637"/>
              <w:gridCol w:w="1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9" w:hRule="atLeast"/>
              </w:trPr>
              <w:tc>
                <w:tcPr>
                  <w:tcW w:w="119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事故类型</w:t>
                  </w:r>
                </w:p>
              </w:tc>
              <w:tc>
                <w:tcPr>
                  <w:tcW w:w="149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环境风险描述</w:t>
                  </w:r>
                </w:p>
              </w:tc>
              <w:tc>
                <w:tcPr>
                  <w:tcW w:w="143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污染物</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风险类别</w:t>
                  </w:r>
                </w:p>
              </w:tc>
              <w:tc>
                <w:tcPr>
                  <w:tcW w:w="16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环境影响途径及后果</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分布情况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19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火灾、爆炸</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伴生污染</w:t>
                  </w:r>
                </w:p>
              </w:tc>
              <w:tc>
                <w:tcPr>
                  <w:tcW w:w="149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燃烧烟尘及污染物污染周围大气环境</w:t>
                  </w:r>
                </w:p>
              </w:tc>
              <w:tc>
                <w:tcPr>
                  <w:tcW w:w="143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CO</w:t>
                  </w:r>
                </w:p>
              </w:tc>
              <w:tc>
                <w:tcPr>
                  <w:tcW w:w="104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大气环境</w:t>
                  </w:r>
                </w:p>
              </w:tc>
              <w:tc>
                <w:tcPr>
                  <w:tcW w:w="16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通过燃烧烟气扩散，对周围大气环境造成短时污染</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车间</w:t>
                  </w:r>
                </w:p>
              </w:tc>
            </w:tr>
          </w:tbl>
          <w:p>
            <w:pPr>
              <w:spacing w:line="520" w:lineRule="exact"/>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6.2</w:t>
            </w:r>
            <w:r>
              <w:rPr>
                <w:rFonts w:hint="default" w:ascii="Times New Roman" w:hAnsi="Times New Roman" w:eastAsia="宋体" w:cs="Times New Roman"/>
                <w:b/>
                <w:bCs/>
                <w:color w:val="000000" w:themeColor="text1"/>
                <w:sz w:val="24"/>
                <w:lang w:val="en-US" w:eastAsia="zh-CN"/>
                <w14:textFill>
                  <w14:solidFill>
                    <w14:schemeClr w14:val="tx1"/>
                  </w14:solidFill>
                </w14:textFill>
              </w:rPr>
              <w:t>环境风险潜势初判</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建设项目环境风险评价技术导则》（HJ169-2018）和《危险化学品重大危险源辨识》（GB18218-2018），危险化学品重大危险源是指“长期地或临时地生产、加工、搬运、使用或储存危险化学品，且危险化学品的数量等于或超过临界量的单元”。本项目涉及的危险物质</w:t>
            </w:r>
            <w:r>
              <w:rPr>
                <w:rFonts w:hint="eastAsia" w:cs="Times New Roman"/>
                <w:color w:val="000000" w:themeColor="text1"/>
                <w:sz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lang w:val="en-US" w:eastAsia="zh-CN"/>
                <w14:textFill>
                  <w14:solidFill>
                    <w14:schemeClr w14:val="tx1"/>
                  </w14:solidFill>
                </w14:textFill>
              </w:rPr>
              <w:t>天然气</w:t>
            </w:r>
            <w:r>
              <w:rPr>
                <w:rFonts w:hint="eastAsia" w:cs="Times New Roman"/>
                <w:color w:val="000000" w:themeColor="text1"/>
                <w:sz w:val="24"/>
                <w:lang w:val="en-US" w:eastAsia="zh-CN"/>
                <w14:textFill>
                  <w14:solidFill>
                    <w14:schemeClr w14:val="tx1"/>
                  </w14:solidFill>
                </w14:textFill>
              </w:rPr>
              <w:t>，天然气</w:t>
            </w:r>
            <w:r>
              <w:rPr>
                <w:rFonts w:hint="default" w:ascii="Times New Roman" w:hAnsi="Times New Roman" w:eastAsia="宋体" w:cs="Times New Roman"/>
                <w:color w:val="000000" w:themeColor="text1"/>
                <w:sz w:val="24"/>
                <w:lang w:val="en-US" w:eastAsia="zh-CN"/>
                <w14:textFill>
                  <w14:solidFill>
                    <w14:schemeClr w14:val="tx1"/>
                  </w14:solidFill>
                </w14:textFill>
              </w:rPr>
              <w:t>不在厂区储存</w:t>
            </w:r>
            <w:r>
              <w:rPr>
                <w:rFonts w:hint="eastAsia" w:cs="Times New Roman"/>
                <w:color w:val="000000" w:themeColor="text1"/>
                <w:sz w:val="24"/>
                <w:lang w:val="en-US" w:eastAsia="zh-CN"/>
                <w14:textFill>
                  <w14:solidFill>
                    <w14:schemeClr w14:val="tx1"/>
                  </w14:solidFill>
                </w14:textFill>
              </w:rPr>
              <w:t>，仅管道中少量，</w:t>
            </w:r>
            <w:r>
              <w:rPr>
                <w:rFonts w:hint="eastAsia" w:ascii="Times New Roman" w:hAnsi="Times New Roman" w:eastAsia="宋体" w:cs="Times New Roman"/>
                <w:color w:val="000000" w:themeColor="text1"/>
                <w:sz w:val="24"/>
                <w:lang w:val="en-US" w:eastAsia="zh-CN"/>
                <w14:textFill>
                  <w14:solidFill>
                    <w14:schemeClr w14:val="tx1"/>
                  </w14:solidFill>
                </w14:textFill>
              </w:rPr>
              <w:t>环境风险</w:t>
            </w:r>
            <w:r>
              <w:rPr>
                <w:rFonts w:hint="eastAsia" w:cs="Times New Roman"/>
                <w:color w:val="000000" w:themeColor="text1"/>
                <w:sz w:val="24"/>
                <w:lang w:val="en-US" w:eastAsia="zh-CN"/>
                <w14:textFill>
                  <w14:solidFill>
                    <w14:schemeClr w14:val="tx1"/>
                  </w14:solidFill>
                </w14:textFill>
              </w:rPr>
              <w:t>较小</w:t>
            </w:r>
            <w:r>
              <w:rPr>
                <w:rFonts w:hint="eastAsia" w:ascii="Times New Roman" w:hAnsi="Times New Roman" w:eastAsia="宋体" w:cs="Times New Roman"/>
                <w:color w:val="000000" w:themeColor="text1"/>
                <w:sz w:val="24"/>
                <w:lang w:val="en-US" w:eastAsia="zh-CN"/>
                <w14:textFill>
                  <w14:solidFill>
                    <w14:schemeClr w14:val="tx1"/>
                  </w14:solidFill>
                </w14:textFill>
              </w:rPr>
              <w:t>，故进行简单分析。</w:t>
            </w:r>
          </w:p>
          <w:p>
            <w:pPr>
              <w:ind w:firstLine="482"/>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表 </w:t>
            </w:r>
            <w:r>
              <w:rPr>
                <w:rFonts w:hint="default" w:ascii="Times New Roman" w:hAnsi="Times New Roman" w:eastAsia="宋体" w:cs="Times New Roman"/>
                <w:b/>
                <w:bCs/>
                <w:color w:val="000000" w:themeColor="text1"/>
                <w:lang w:val="en-US" w:eastAsia="zh-CN"/>
                <w14:textFill>
                  <w14:solidFill>
                    <w14:schemeClr w14:val="tx1"/>
                  </w14:solidFill>
                </w14:textFill>
              </w:rPr>
              <w:t>4-</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17   </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天然气主要特性一览表</w:t>
            </w:r>
          </w:p>
          <w:tbl>
            <w:tblPr>
              <w:tblStyle w:val="24"/>
              <w:tblW w:w="7960"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
            <w:tblGrid>
              <w:gridCol w:w="720"/>
              <w:gridCol w:w="1270"/>
              <w:gridCol w:w="995"/>
              <w:gridCol w:w="995"/>
              <w:gridCol w:w="995"/>
              <w:gridCol w:w="905"/>
              <w:gridCol w:w="90"/>
              <w:gridCol w:w="19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restart"/>
                  <w:tcBorders>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标</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识</w:t>
                  </w:r>
                </w:p>
              </w:tc>
              <w:tc>
                <w:tcPr>
                  <w:tcW w:w="5160" w:type="dxa"/>
                  <w:gridSpan w:val="5"/>
                  <w:tcBorders>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中文名:天然气[含甲烷，压缩的]</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沼气</w:t>
                  </w:r>
                </w:p>
              </w:tc>
              <w:tc>
                <w:tcPr>
                  <w:tcW w:w="2080" w:type="dxa"/>
                  <w:gridSpan w:val="2"/>
                  <w:tcBorders>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危险货物编号:21007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continue"/>
                  <w:tcBorders>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5160" w:type="dxa"/>
                  <w:gridSpan w:val="5"/>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英文名:natural gas，NG</w:t>
                  </w:r>
                </w:p>
              </w:tc>
              <w:tc>
                <w:tcPr>
                  <w:tcW w:w="2080" w:type="dxa"/>
                  <w:gridSpan w:val="2"/>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UN编号:1971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continue"/>
                  <w:tcBorders>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226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分子式:l</w:t>
                  </w:r>
                </w:p>
              </w:tc>
              <w:tc>
                <w:tcPr>
                  <w:tcW w:w="2895"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分子量:l</w:t>
                  </w:r>
                </w:p>
              </w:tc>
              <w:tc>
                <w:tcPr>
                  <w:tcW w:w="2080" w:type="dxa"/>
                  <w:gridSpan w:val="2"/>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CAS号:8006-14-2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restart"/>
                  <w:tcBorders>
                    <w:top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理</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化</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性</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质</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外观与性状</w:t>
                  </w:r>
                </w:p>
              </w:tc>
              <w:tc>
                <w:tcPr>
                  <w:tcW w:w="5970" w:type="dxa"/>
                  <w:gridSpan w:val="6"/>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无色无臭气体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continue"/>
                  <w:tcBorders>
                    <w:top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熔点（℃)</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99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相对密度(水=1)</w:t>
                  </w:r>
                </w:p>
              </w:tc>
              <w:tc>
                <w:tcPr>
                  <w:tcW w:w="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0.415</w:t>
                  </w:r>
                </w:p>
              </w:tc>
              <w:tc>
                <w:tcPr>
                  <w:tcW w:w="2080" w:type="dxa"/>
                  <w:gridSpan w:val="2"/>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相对密度(空气=1) 0.55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continue"/>
                  <w:tcBorders>
                    <w:top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沸点（℃)</w:t>
                  </w:r>
                </w:p>
              </w:tc>
              <w:tc>
                <w:tcPr>
                  <w:tcW w:w="99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-161.5</w:t>
                  </w:r>
                </w:p>
              </w:tc>
              <w:tc>
                <w:tcPr>
                  <w:tcW w:w="2895"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饱和蒸气压（kPa)</w:t>
                  </w:r>
                </w:p>
              </w:tc>
              <w:tc>
                <w:tcPr>
                  <w:tcW w:w="2080" w:type="dxa"/>
                  <w:gridSpan w:val="2"/>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continue"/>
                  <w:tcBorders>
                    <w:top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溶解性</w:t>
                  </w:r>
                </w:p>
              </w:tc>
              <w:tc>
                <w:tcPr>
                  <w:tcW w:w="5970" w:type="dxa"/>
                  <w:gridSpan w:val="6"/>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微溶于水，溶于乙醇、乙醚。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restart"/>
                  <w:tcBorders>
                    <w:top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燃</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烧</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爆</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炸</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危</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险</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性</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燃烧性</w:t>
                  </w:r>
                </w:p>
              </w:tc>
              <w:tc>
                <w:tcPr>
                  <w:tcW w:w="199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易燃</w:t>
                  </w:r>
                </w:p>
              </w:tc>
              <w:tc>
                <w:tcPr>
                  <w:tcW w:w="199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燃烧分解物</w:t>
                  </w:r>
                </w:p>
              </w:tc>
              <w:tc>
                <w:tcPr>
                  <w:tcW w:w="1990" w:type="dxa"/>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continue"/>
                  <w:tcBorders>
                    <w:top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闪点(℃)</w:t>
                  </w:r>
                </w:p>
              </w:tc>
              <w:tc>
                <w:tcPr>
                  <w:tcW w:w="199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99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爆炸上限（v%）</w:t>
                  </w:r>
                </w:p>
              </w:tc>
              <w:tc>
                <w:tcPr>
                  <w:tcW w:w="1990" w:type="dxa"/>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continue"/>
                  <w:tcBorders>
                    <w:top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引燃温度(℃)</w:t>
                  </w:r>
                </w:p>
              </w:tc>
              <w:tc>
                <w:tcPr>
                  <w:tcW w:w="199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99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爆炸下限（v%）</w:t>
                  </w:r>
                </w:p>
              </w:tc>
              <w:tc>
                <w:tcPr>
                  <w:tcW w:w="1990" w:type="dxa"/>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continue"/>
                  <w:tcBorders>
                    <w:top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危险特性</w:t>
                  </w:r>
                </w:p>
              </w:tc>
              <w:tc>
                <w:tcPr>
                  <w:tcW w:w="5970" w:type="dxa"/>
                  <w:gridSpan w:val="6"/>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蒸气能与空气形成爆炸性混合物;遇热源、明火着火、爆炸危险。与五氟化溴、氯气、次氯酸、三氟化氮、液氧、二氟化溴、强氧化剂接触剧烈反应。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continue"/>
                  <w:tcBorders>
                    <w:top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27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储运条件</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与泄漏处理</w:t>
                  </w:r>
                </w:p>
              </w:tc>
              <w:tc>
                <w:tcPr>
                  <w:tcW w:w="5970" w:type="dxa"/>
                  <w:gridSpan w:val="6"/>
                  <w:tcBorders>
                    <w:top w:val="single" w:color="000000" w:sz="4" w:space="0"/>
                    <w:left w:val="single" w:color="000000" w:sz="4" w:space="0"/>
                    <w:bottom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储运条件:储存在阴凉、通风良好的专用库房内或大型气柜，远</w:t>
                  </w:r>
                  <w:r>
                    <w:rPr>
                      <w:rFonts w:hint="default" w:ascii="Times New Roman" w:hAnsi="Times New Roman" w:eastAsia="宋体" w:cs="Times New Roman"/>
                      <w:color w:val="000000" w:themeColor="text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val="en-US" w:eastAsia="zh-CN"/>
                      <w14:textFill>
                        <w14:solidFill>
                          <w14:schemeClr w14:val="tx1"/>
                        </w14:solidFill>
                      </w14:textFill>
                    </w:rPr>
                    <w:t>离容易起火的地方。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720" w:type="dxa"/>
                  <w:vMerge w:val="continue"/>
                  <w:tcBorders>
                    <w:top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270" w:type="dxa"/>
                  <w:tcBorders>
                    <w:top w:val="single" w:color="000000" w:sz="4" w:space="0"/>
                    <w:left w:val="single" w:color="000000" w:sz="4" w:space="0"/>
                    <w:righ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灭火方法</w:t>
                  </w:r>
                </w:p>
              </w:tc>
              <w:tc>
                <w:tcPr>
                  <w:tcW w:w="5970" w:type="dxa"/>
                  <w:gridSpan w:val="6"/>
                  <w:tcBorders>
                    <w:top w:val="single" w:color="000000" w:sz="4" w:space="0"/>
                    <w:left w:val="single" w:color="000000" w:sz="4" w:space="0"/>
                  </w:tcBorders>
                  <w:noWrap/>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用泡沫、雾状水、二氧化碳、干粉。</w:t>
                  </w:r>
                </w:p>
              </w:tc>
            </w:tr>
          </w:tbl>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14:textFill>
                  <w14:solidFill>
                    <w14:schemeClr w14:val="tx1"/>
                  </w14:solidFill>
                </w14:textFill>
              </w:rPr>
              <w:t>6.3风险防范措施</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（1）建立安全环保管理机构，保证风险防范措施的落实</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建设单位应设立专门的安全环保机构，负责日常的安全环保管理工作，确保各项安全、环保措施的执行与落实，做好事故的预防工作。事故期间，安全环保机构负责落实风险救援计划各项措施，确保应急救援工作及时顺利展开。</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火灾、爆炸事故防范措施 </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当发生火灾、爆炸事故时，在火灾的灭火过程中，消防喷水、泡沫喷淋等均会产生废水，以上消防废液若直接排入地表水体，含高浓度的消防排水势必对水体造成不利的影响。为预防和减少突发环境事件的发生，控制、减轻和消除突发环境事件引起的危害，规范突发环境事件应急管理工作，保障公众生命、环境和财产的安全。本次评价要求项目在生产运营过程中要注意做好贮存、操作、管理等各项安全措施，以确保人身的安全及环境的维护。 </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●应加强车间内的通风次数；</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●采购有证企业生产的合格产品，不得靠近热源和明火，保证周围环境通风、干燥； </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●当发生泄漏时，应迅速撤离泄漏污染区人员至上风处，并进行隔离，严格限制出入，并切断火源； </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●指导群众向上风方向疏散，减少吸入火灾烟气，从末端控制污染物，减少火灾大气污染物伤害； </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●在雨水管网出口处设置闸门，发生事故时及时关闭闸门，防止消防废水流出厂区，将其可能产生的环境影响控制在厂区之内，从传播途径控制污染物，减少火灾水污染物扩散范围； </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在事故发生位置四周用装满沙土的袋子围成围堰拦截消防废水，并在厂内采取导流方式将消防废水统一收集至消防（应急）水池内，集中处理，消除安全隐患后交由有资质单位处理，从末端处理污染物，减少火灾水污染物排放。 </w:t>
            </w:r>
          </w:p>
          <w:p>
            <w:pPr>
              <w:keepNext w:val="0"/>
              <w:keepLines w:val="0"/>
              <w:pageBreakBefore w:val="0"/>
              <w:widowControl w:val="0"/>
              <w:kinsoku/>
              <w:wordWrap/>
              <w:overflowPunct/>
              <w:topLinePunct w:val="0"/>
              <w:bidi w:val="0"/>
              <w:snapToGrid w:val="0"/>
              <w:spacing w:line="360" w:lineRule="auto"/>
              <w:ind w:firstLine="482" w:firstLineChars="200"/>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6.4</w:t>
            </w:r>
            <w:r>
              <w:rPr>
                <w:rFonts w:hint="default" w:ascii="Times New Roman" w:hAnsi="Times New Roman" w:eastAsia="宋体" w:cs="Times New Roman"/>
                <w:b/>
                <w:color w:val="000000" w:themeColor="text1"/>
                <w:sz w:val="24"/>
                <w14:textFill>
                  <w14:solidFill>
                    <w14:schemeClr w14:val="tx1"/>
                  </w14:solidFill>
                </w14:textFill>
              </w:rPr>
              <w:t>应急预案</w:t>
            </w:r>
          </w:p>
          <w:p>
            <w:pPr>
              <w:pStyle w:val="42"/>
              <w:keepNext w:val="0"/>
              <w:keepLines w:val="0"/>
              <w:pageBreakBefore w:val="0"/>
              <w:widowControl w:val="0"/>
              <w:kinsoku/>
              <w:wordWrap/>
              <w:overflowPunct/>
              <w:topLinePunct w:val="0"/>
              <w:bidi w:val="0"/>
              <w:spacing w:beforeLines="0" w:afterLines="0"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在运行过程中，一旦出现突发事故，必须按事先拟定的应急方案，进行紧急处理，它包括应急状态分类、应急计划区、事故等级水平、应急防护和应急医学处理等。建设方应根据预案纲要制定详细的“事故应急救援预案”，完成备案，及时更新版本，并认真执行。应急有关内容具体见下表4-</w:t>
            </w:r>
            <w:r>
              <w:rPr>
                <w:rFonts w:hint="eastAsia" w:asci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08"/>
              <w:spacing w:before="0" w:after="0" w:afterAutospacing="0" w:line="360" w:lineRule="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19</w:t>
            </w:r>
            <w:r>
              <w:rPr>
                <w:rFonts w:hint="default" w:ascii="Times New Roman" w:hAnsi="Times New Roman" w:eastAsia="宋体" w:cs="Times New Roman"/>
                <w:b/>
                <w:color w:val="000000" w:themeColor="text1"/>
                <w:sz w:val="21"/>
                <w:szCs w:val="21"/>
                <w14:textFill>
                  <w14:solidFill>
                    <w14:schemeClr w14:val="tx1"/>
                  </w14:solidFill>
                </w14:textFill>
              </w:rPr>
              <w:t xml:space="preserve">  环境风险的突发性事故应急预案</w:t>
            </w:r>
          </w:p>
          <w:tbl>
            <w:tblPr>
              <w:tblStyle w:val="24"/>
              <w:tblW w:w="7858"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244"/>
              <w:gridCol w:w="6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基本情况</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地理位置，企业人数，上级部门，产品与原辅材料规模，周边企业单位和社会情况，重要基础设施、道路等情况，危险化学品运输单位、车辆及主要的运输产品、运量、运地、行车路线等。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确定危险目标及其危险特性对周围的影响</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根据事故类别、综合分析的危害程度，确定危险目标。</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根据确定的危险目标，明确其危险特性及对周边的影响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设备、器材</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危险目标周围可利用的安全、消防、个体防护的设备、器材及其分布。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组织机构、组成人员和职责划分</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依据危险品事故危害程度的级别，设置分级应急救援组织机构。</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组成人员和主要职责，确定负责人、资源配置、应急队伍的调动。</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组织制定危险化学品事故应急救援预案。</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确定事故现场协调方案，预案启动与终止的批准，事故信息的上报，保护事故现场及相关数据采集，接受政府的指令和调动。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报警、通讯联络方式</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设置 24 小时有效报警装置，确定内外部通讯联络手段，包括运输危险品驾驶员、押运员报警及与单位、生产厂、托运方联系的方式方法。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处理措施</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根据工艺、操作规程技术要求，确定采取的紧急处理措施。</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根据安全运输、本单位、相关厂家、托运方信息采取的应急措施。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人员紧急疏散、撤离</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事故现场人员清点与撤离、非事故现场人员紧急疏散、周边区域单位和社会人员疏散的方式方法。抢救人员在撤离前、撤离后的报告。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危险区的隔离</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设定危险区、事故现场隔离区的划定方式方法和事故现场隔离方法，事故现场周边区域的道路隔离或交通疏导办法。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监测、抢修、救援及控制措施</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制定事故快速环境监测方法及监测人员防护监护措施。</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抢险救援方式方法及人员的防护监护措施。</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现场实时监测及异常情况下抢险人员的撤离条件和方法。</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控制事故扩大的措施和事故可能扩大后的应急措施。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受伤人员现场救护、救治及医院救治</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接触人群检伤分类方案及执行人员；进行分类现场紧急抢救方案。</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接触者医学观察方案；转运及转运中的救治方案；患者治疗方案。</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入院前和医疗救治机构确定及处置方案。</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信息、药物、器材的储备。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现场保护与现场洗消</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事故现场的保护措施。</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明确事故现场洗消工作的负责人和专业队伍。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应急救援保障</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部保障包括：a、确定应急队伍；b、消防设施配置图、工艺流程图、现场平面布置图和周围地区图、气象资料、危险品安全技术说明书、互救信息等存放地点、保管人；c、应急通信系统；d、应急电源、照明；e、应急救援装备、物资、药品等；f、危险化学品运输车辆的安全、消防设备、器材及人员防护装备；g、保障制度目录</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外部救援 包括：a、单位互助的方式；b、请求政府协调应急救援力量；c、应急救援信息咨询；d、专家信息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预案分级响应条件</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依据危险品事故类别、危害程度和现场评估结果，设定预案启动条件。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事故应急救援终止程序</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确定事故应急救援工作结束。</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通知本单位相关部门、周边社区及人员事故危险解除。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应急培训计划</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依据对从业人员能力评估和周边社区人员素质分析结果，确定培训内容。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演练计划</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依据对从业人员能力评估和周边社区人员素质分析结果，确定培训内容。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6" w:hRule="atLeast"/>
              </w:trPr>
              <w:tc>
                <w:tcPr>
                  <w:tcW w:w="607" w:type="dxa"/>
                  <w:tcBorders>
                    <w:top w:val="single" w:color="auto" w:sz="4" w:space="0"/>
                    <w:left w:val="single" w:color="auto" w:sz="4" w:space="0"/>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1244"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附件</w:t>
                  </w:r>
                </w:p>
              </w:tc>
              <w:tc>
                <w:tcPr>
                  <w:tcW w:w="6007" w:type="dxa"/>
                  <w:tcBorders>
                    <w:top w:val="single" w:color="auto" w:sz="4" w:space="0"/>
                    <w:left w:val="nil"/>
                    <w:bottom w:val="single" w:color="auto" w:sz="4" w:space="0"/>
                    <w:right w:val="single" w:color="auto" w:sz="4" w:space="0"/>
                  </w:tcBorders>
                  <w:vAlign w:val="center"/>
                </w:tcPr>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组织机构名单。</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值班联系、组织应急救援有关人员、危险品生产单位应急咨询服务、外部救援单位、供水和供电单位、周边区域单位和社区、政府有关部门联系电话。</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单位平面布置图、消防设施配置图、周边区域道路交通示意图和疏散路线、交通管制示意图、周边区域的单位、社区、重要基础设施分布图。</w:t>
                  </w:r>
                </w:p>
                <w:p>
                  <w:pPr>
                    <w:pStyle w:val="10"/>
                    <w:spacing w:before="0" w:after="0"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保障制度。</w:t>
                  </w:r>
                </w:p>
              </w:tc>
            </w:tr>
          </w:tbl>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综上，在采取以上措施后，风险可控，不会造成较大影响。</w:t>
            </w:r>
          </w:p>
          <w:p>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7、</w:t>
            </w:r>
            <w:r>
              <w:rPr>
                <w:rFonts w:hint="default" w:ascii="Times New Roman" w:hAnsi="Times New Roman" w:eastAsia="宋体" w:cs="Times New Roman"/>
                <w:b/>
                <w:color w:val="000000" w:themeColor="text1"/>
                <w:kern w:val="0"/>
                <w:sz w:val="24"/>
                <w14:textFill>
                  <w14:solidFill>
                    <w14:schemeClr w14:val="tx1"/>
                  </w14:solidFill>
                </w14:textFill>
              </w:rPr>
              <w:t>环境管理及环境监测</w:t>
            </w:r>
          </w:p>
          <w:p>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7.1</w:t>
            </w:r>
            <w:r>
              <w:rPr>
                <w:rFonts w:hint="default" w:ascii="Times New Roman" w:hAnsi="Times New Roman" w:eastAsia="宋体" w:cs="Times New Roman"/>
                <w:b/>
                <w:color w:val="000000" w:themeColor="text1"/>
                <w:kern w:val="0"/>
                <w:sz w:val="24"/>
                <w14:textFill>
                  <w14:solidFill>
                    <w14:schemeClr w14:val="tx1"/>
                  </w14:solidFill>
                </w14:textFill>
              </w:rPr>
              <w:t>环境管理</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根据本项目的生产特点，对环境管理机构的设置建议如下：</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环境管理应由副总经理主管负责，下设环境保护兼职或专职部门，并与各职能部门保持密切的联系，由兼职或专职环境保护管理人员和其他工作人员实</w:t>
            </w:r>
            <w:r>
              <w:rPr>
                <w:rFonts w:hint="default" w:ascii="Times New Roman" w:hAnsi="Times New Roman" w:eastAsia="宋体" w:cs="Times New Roman"/>
                <w:color w:val="000000" w:themeColor="text1"/>
                <w:kern w:val="0"/>
                <w:sz w:val="24"/>
                <w:szCs w:val="24"/>
                <w14:textFill>
                  <w14:solidFill>
                    <w14:schemeClr w14:val="tx1"/>
                  </w14:solidFill>
                </w14:textFill>
              </w:rPr>
              <w:t>施公司的环境管理工作，其主要职责是：</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14:textFill>
                  <w14:solidFill>
                    <w14:schemeClr w14:val="tx1"/>
                  </w14:solidFill>
                </w14:textFill>
              </w:rPr>
              <w:t>贯彻执行国家和地方的环境保护法规和标准；</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6"/>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pacing w:val="-6"/>
                <w:kern w:val="0"/>
                <w:sz w:val="24"/>
                <w:szCs w:val="24"/>
                <w14:textFill>
                  <w14:solidFill>
                    <w14:schemeClr w14:val="tx1"/>
                  </w14:solidFill>
                </w14:textFill>
              </w:rPr>
              <w:t>接受环保主管部门的检查监督，定期上报各项环境管理工作的执行情况；</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kern w:val="0"/>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eastAsia="宋体" w:cs="Times New Roman"/>
                <w:color w:val="000000" w:themeColor="text1"/>
                <w:kern w:val="0"/>
                <w:sz w:val="24"/>
                <w:szCs w:val="24"/>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14:textFill>
                  <w14:solidFill>
                    <w14:schemeClr w14:val="tx1"/>
                  </w14:solidFill>
                </w14:textFill>
              </w:rPr>
              <w:t>组织制定各部门的环境管理规章制度；</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kern w:val="0"/>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④</w:t>
            </w:r>
            <w:r>
              <w:rPr>
                <w:rFonts w:hint="default" w:ascii="Times New Roman" w:hAnsi="Times New Roman" w:eastAsia="宋体" w:cs="Times New Roman"/>
                <w:color w:val="000000" w:themeColor="text1"/>
                <w:kern w:val="0"/>
                <w:sz w:val="24"/>
                <w:szCs w:val="24"/>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14:textFill>
                  <w14:solidFill>
                    <w14:schemeClr w14:val="tx1"/>
                  </w14:solidFill>
                </w14:textFill>
              </w:rPr>
              <w:t>负责环保设施的正常运转，以及环境监测计划的实施；</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kern w:val="0"/>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⑤</w:t>
            </w:r>
            <w:r>
              <w:rPr>
                <w:rFonts w:hint="default" w:ascii="Times New Roman" w:hAnsi="Times New Roman" w:eastAsia="宋体" w:cs="Times New Roman"/>
                <w:color w:val="000000" w:themeColor="text1"/>
                <w:kern w:val="0"/>
                <w:sz w:val="24"/>
                <w:szCs w:val="24"/>
                <w14:textFill>
                  <w14:solidFill>
                    <w14:schemeClr w14:val="tx1"/>
                  </w14:solidFill>
                </w14:textFill>
              </w:rPr>
              <w:fldChar w:fldCharType="end"/>
            </w:r>
            <w:r>
              <w:rPr>
                <w:rFonts w:hint="default" w:ascii="Times New Roman" w:hAnsi="Times New Roman" w:eastAsia="宋体" w:cs="Times New Roman"/>
                <w:color w:val="000000" w:themeColor="text1"/>
                <w:kern w:val="0"/>
                <w:sz w:val="24"/>
                <w14:textFill>
                  <w14:solidFill>
                    <w14:schemeClr w14:val="tx1"/>
                  </w14:solidFill>
                </w14:textFill>
              </w:rPr>
              <w:t>办理排污许可证，及时按照</w:t>
            </w:r>
            <w:r>
              <w:rPr>
                <w:rStyle w:val="57"/>
                <w:rFonts w:hint="default" w:ascii="Times New Roman" w:hAnsi="Times New Roman" w:eastAsia="宋体" w:cs="Times New Roman"/>
                <w:color w:val="000000" w:themeColor="text1"/>
                <w14:textFill>
                  <w14:solidFill>
                    <w14:schemeClr w14:val="tx1"/>
                  </w14:solidFill>
                </w14:textFill>
              </w:rPr>
              <w:t>《排污许可证申请与核发技术规范》</w:t>
            </w:r>
            <w:r>
              <w:rPr>
                <w:rFonts w:hint="default" w:ascii="Times New Roman" w:hAnsi="Times New Roman" w:eastAsia="宋体" w:cs="Times New Roman"/>
                <w:color w:val="000000" w:themeColor="text1"/>
                <w:sz w:val="24"/>
                <w14:textFill>
                  <w14:solidFill>
                    <w14:schemeClr w14:val="tx1"/>
                  </w14:solidFill>
                </w14:textFill>
              </w:rPr>
              <w:t>要求落实</w:t>
            </w:r>
            <w:r>
              <w:rPr>
                <w:rFonts w:hint="default" w:ascii="Times New Roman" w:hAnsi="Times New Roman" w:eastAsia="宋体" w:cs="Times New Roman"/>
                <w:color w:val="000000" w:themeColor="text1"/>
                <w:kern w:val="0"/>
                <w:sz w:val="24"/>
                <w14:textFill>
                  <w14:solidFill>
                    <w14:schemeClr w14:val="tx1"/>
                  </w14:solidFill>
                </w14:textFill>
              </w:rPr>
              <w:t>相关环境管理工作。</w:t>
            </w:r>
          </w:p>
          <w:p>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7.</w:t>
            </w:r>
            <w:r>
              <w:rPr>
                <w:rFonts w:hint="default" w:ascii="Times New Roman" w:hAnsi="Times New Roman" w:eastAsia="宋体" w:cs="Times New Roman"/>
                <w:b/>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排污许可管理要求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根据《环境保护部办公厅关于做好环境影响评价制度和排污许可制衔接相关工作的通知》（环办环评〔2017〕84号），建设单位应该做好环境影响评价和排污许可制度衔接。</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依据《固定污染源排污许可分类管理名录》（2019年版）， “二十五、非金属矿物制品业</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 </w:t>
            </w:r>
            <w:r>
              <w:rPr>
                <w:rFonts w:hint="default" w:ascii="Times New Roman" w:hAnsi="Times New Roman" w:eastAsia="宋体" w:cs="Times New Roman"/>
                <w:color w:val="000000" w:themeColor="text1"/>
                <w:spacing w:val="-4"/>
                <w:sz w:val="24"/>
                <w14:textFill>
                  <w14:solidFill>
                    <w14:schemeClr w14:val="tx1"/>
                  </w14:solidFill>
                </w14:textFill>
              </w:rPr>
              <w:t>“</w:t>
            </w:r>
            <w:r>
              <w:rPr>
                <w:rFonts w:hint="default" w:ascii="Times New Roman" w:hAnsi="Times New Roman" w:eastAsia="宋体" w:cs="Times New Roman"/>
                <w:color w:val="000000" w:themeColor="text1"/>
                <w:spacing w:val="-4"/>
                <w:sz w:val="24"/>
                <w:lang w:val="en-US" w:eastAsia="zh-CN"/>
                <w14:textFill>
                  <w14:solidFill>
                    <w14:schemeClr w14:val="tx1"/>
                  </w14:solidFill>
                </w14:textFill>
              </w:rPr>
              <w:t>63</w:t>
            </w:r>
            <w:r>
              <w:rPr>
                <w:rFonts w:hint="default" w:ascii="Times New Roman" w:hAnsi="Times New Roman" w:eastAsia="宋体" w:cs="Times New Roman"/>
                <w:color w:val="000000" w:themeColor="text1"/>
                <w:spacing w:val="-4"/>
                <w:sz w:val="24"/>
                <w14:textFill>
                  <w14:solidFill>
                    <w14:schemeClr w14:val="tx1"/>
                  </w14:solidFill>
                </w14:textFill>
              </w:rPr>
              <w:t>、水泥、石灰和石膏制造 301，石膏、水泥制品及类似制品制造 302”</w:t>
            </w:r>
            <w:r>
              <w:rPr>
                <w:rFonts w:hint="default" w:ascii="Times New Roman" w:hAnsi="Times New Roman" w:eastAsia="宋体" w:cs="Times New Roman"/>
                <w:color w:val="000000" w:themeColor="text1"/>
                <w:spacing w:val="-29"/>
                <w:sz w:val="24"/>
                <w14:textFill>
                  <w14:solidFill>
                    <w14:schemeClr w14:val="tx1"/>
                  </w14:solidFill>
                </w14:textFill>
              </w:rPr>
              <w:t xml:space="preserve"> </w:t>
            </w:r>
            <w:r>
              <w:rPr>
                <w:rFonts w:hint="default" w:ascii="Times New Roman" w:hAnsi="Times New Roman" w:eastAsia="宋体" w:cs="Times New Roman"/>
                <w:color w:val="000000" w:themeColor="text1"/>
                <w:spacing w:val="-4"/>
                <w:sz w:val="24"/>
                <w14:textFill>
                  <w14:solidFill>
                    <w14:schemeClr w14:val="tx1"/>
                  </w14:solidFill>
                </w14:textFill>
              </w:rPr>
              <w:t>，</w:t>
            </w:r>
            <w:r>
              <w:rPr>
                <w:rFonts w:hint="default" w:ascii="Times New Roman" w:hAnsi="Times New Roman" w:eastAsia="宋体" w:cs="Times New Roman"/>
                <w:color w:val="000000" w:themeColor="text1"/>
                <w:spacing w:val="-4"/>
                <w:sz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lang w:val="en-US" w:eastAsia="zh-CN"/>
                <w14:textFill>
                  <w14:solidFill>
                    <w14:schemeClr w14:val="tx1"/>
                  </w14:solidFill>
                </w14:textFill>
              </w:rPr>
              <w:t>水泥制品制造 3021，砼结构构件制造3022，石棉水泥制品制造 3023，轻质建筑材料制造 3024，其他水泥类似制品制造 3029”，</w:t>
            </w:r>
            <w:r>
              <w:rPr>
                <w:rFonts w:hint="default" w:ascii="Times New Roman" w:hAnsi="Times New Roman" w:eastAsia="宋体" w:cs="Times New Roman"/>
                <w:color w:val="000000" w:themeColor="text1"/>
                <w:spacing w:val="-4"/>
                <w:sz w:val="24"/>
                <w14:textFill>
                  <w14:solidFill>
                    <w14:schemeClr w14:val="tx1"/>
                  </w14:solidFill>
                </w14:textFill>
              </w:rPr>
              <w:t>属于登记管理类别</w:t>
            </w:r>
            <w:r>
              <w:rPr>
                <w:rFonts w:hint="default" w:ascii="Times New Roman" w:hAnsi="Times New Roman" w:eastAsia="宋体" w:cs="Times New Roman"/>
                <w:color w:val="000000" w:themeColor="text1"/>
                <w:spacing w:val="-4"/>
                <w:sz w:val="24"/>
                <w:lang w:eastAsia="zh-CN"/>
                <w14:textFill>
                  <w14:solidFill>
                    <w14:schemeClr w14:val="tx1"/>
                  </w14:solidFill>
                </w14:textFill>
              </w:rPr>
              <w:t>，</w:t>
            </w:r>
            <w:r>
              <w:rPr>
                <w:rFonts w:hint="default" w:ascii="Times New Roman" w:hAnsi="Times New Roman" w:eastAsia="宋体" w:cs="Times New Roman"/>
                <w:color w:val="000000" w:themeColor="text1"/>
                <w:spacing w:val="-4"/>
                <w:sz w:val="24"/>
                <w14:textFill>
                  <w14:solidFill>
                    <w14:schemeClr w14:val="tx1"/>
                  </w14:solidFill>
                </w14:textFill>
              </w:rPr>
              <w:t>本环评提出要求，建设</w:t>
            </w:r>
            <w:r>
              <w:rPr>
                <w:rFonts w:hint="default" w:ascii="Times New Roman" w:hAnsi="Times New Roman" w:eastAsia="宋体" w:cs="Times New Roman"/>
                <w:color w:val="000000" w:themeColor="text1"/>
                <w:spacing w:val="-1"/>
                <w:sz w:val="24"/>
                <w14:textFill>
                  <w14:solidFill>
                    <w14:schemeClr w14:val="tx1"/>
                  </w14:solidFill>
                </w14:textFill>
              </w:rPr>
              <w:t>单位应尽快办理排污许可手续，进行排污许可证申领。</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建设单位应严格执行上述要求，按照环境影响评价文件及批复中与污染物排放相关的内容在申报项目投入运行前，根据</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排污许可证申请与核发技术规范</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总则</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HJ942-2018</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要求完成排污许可的填报和排污许可证申领，以及后期的变更、延期等办理。</w:t>
            </w:r>
          </w:p>
          <w:p>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bidi="ar"/>
                <w14:textFill>
                  <w14:solidFill>
                    <w14:schemeClr w14:val="tx1"/>
                  </w14:solidFill>
                </w14:textFill>
              </w:rPr>
              <w:t>7.</w:t>
            </w:r>
            <w:r>
              <w:rPr>
                <w:rFonts w:hint="default" w:ascii="Times New Roman" w:hAnsi="Times New Roman" w:eastAsia="宋体" w:cs="Times New Roman"/>
                <w:b/>
                <w:bCs/>
                <w:color w:val="000000" w:themeColor="text1"/>
                <w:sz w:val="24"/>
                <w:lang w:val="en-US" w:eastAsia="zh-CN" w:bidi="ar"/>
                <w14:textFill>
                  <w14:solidFill>
                    <w14:schemeClr w14:val="tx1"/>
                  </w14:solidFill>
                </w14:textFill>
              </w:rPr>
              <w:t>3</w:t>
            </w:r>
            <w:r>
              <w:rPr>
                <w:rFonts w:hint="default" w:ascii="Times New Roman" w:hAnsi="Times New Roman" w:eastAsia="宋体" w:cs="Times New Roman"/>
                <w:b/>
                <w:bCs/>
                <w:color w:val="000000" w:themeColor="text1"/>
                <w:sz w:val="24"/>
                <w:lang w:bidi="ar"/>
                <w14:textFill>
                  <w14:solidFill>
                    <w14:schemeClr w14:val="tx1"/>
                  </w14:solidFill>
                </w14:textFill>
              </w:rPr>
              <w:t>排污口规范化设置</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根据国家标准《环境保护图形标志--排放口（源）》和《排污口规范化整治技术要求（试行）》的技术要求，企业所有排放口，包括水、气、声、固体废物，必须按照“便于计量监测、便于日常现场监督检查”的原则和规范化要求，设置与之相适应的环境保护图形标志牌，绘制企业排污口分布图，对治理设施安装运行监控装置。排污口的规范化要符合环境监测部门的有关要求。</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A、废水排放口</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排放口必须具备方便采样和流量测定条件：一般排放口视排污水流量的大小参照《排污口规范化整治技术要求（试行）》（环监[1996]470号）的有关规格要求设置，污水面低于地面或高于地面超过1m的应加建采样台阶或梯架（宽度不小于800mm），污水直接从暗渠排入市政管道的，应在企业边界内、进入市政管道前设置采样口（半径大于150mm）；有压力的排污管道应安装采样阀。</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B、固定噪声源</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按规定对固定噪声源进行治理，并在边界噪声敏感点，且对外界影响最大处设置标志牌。</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C、固体废物储存库</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固体废物应设置专用室内暂存库，采取防渗措施，并及时转运处置，保证一定量的库容。</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D、设置标志牌及环境保护图形标志</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环境保护图形标志牌按规范要求定点制作，各建设单位排污口分布图统一绘制。排放一般污染物排污口（源），设置提示式标志牌，排放有毒有害等污染物的排污口设置警告式标志牌。</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标志牌设置位置在排污口（采样点）附近且醒目处，高度为标志牌上缘离地面2米。排污口附近1米范围内有建筑物的，设平面式标志牌，无建筑物的设立式标志牌。</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规范化排污口的有关设置（如图形标志牌、计量装置等）属环保设施，排污单位必须负责日常的维护保养，任何单位和个人不得擅自拆除，如需变更的需报环境监测部门同意并办理变更手续。</w:t>
            </w:r>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在厂区的废水排放口、废气排放源、固体废物贮存处置场应设置环境保护图形标志，图形符号分为提示图形和警告图形符号两种，分别按GB15562.1</w:t>
            </w:r>
            <w:r>
              <w:rPr>
                <w:rFonts w:hint="default" w:ascii="Times New Roman" w:hAnsi="Times New Roman" w:eastAsia="宋体" w:cs="Times New Roman"/>
                <w:color w:val="000000" w:themeColor="text1"/>
                <w:sz w:val="24"/>
                <w:lang w:val="en-US" w:eastAsia="zh-CN" w:bidi="ar"/>
                <w14:textFill>
                  <w14:solidFill>
                    <w14:schemeClr w14:val="tx1"/>
                  </w14:solidFill>
                </w14:textFill>
              </w:rPr>
              <w:t>及修改单</w:t>
            </w:r>
            <w:r>
              <w:rPr>
                <w:rFonts w:hint="default" w:ascii="Times New Roman" w:hAnsi="Times New Roman" w:eastAsia="宋体" w:cs="Times New Roman"/>
                <w:color w:val="000000" w:themeColor="text1"/>
                <w:sz w:val="24"/>
                <w:lang w:bidi="ar"/>
                <w14:textFill>
                  <w14:solidFill>
                    <w14:schemeClr w14:val="tx1"/>
                  </w14:solidFill>
                </w14:textFill>
              </w:rPr>
              <w:t>、GB15562.2执行。环境保护图形符号见表4-</w:t>
            </w:r>
            <w:r>
              <w:rPr>
                <w:rFonts w:hint="eastAsia" w:ascii="Times New Roman" w:hAnsi="Times New Roman" w:eastAsia="宋体" w:cs="Times New Roman"/>
                <w:color w:val="000000" w:themeColor="text1"/>
                <w:sz w:val="24"/>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lang w:val="en-US" w:eastAsia="zh-CN" w:bidi="ar"/>
                <w14:textFill>
                  <w14:solidFill>
                    <w14:schemeClr w14:val="tx1"/>
                  </w14:solidFill>
                </w14:textFill>
              </w:rPr>
              <w:t>0</w:t>
            </w:r>
            <w:r>
              <w:rPr>
                <w:rFonts w:hint="default" w:ascii="Times New Roman" w:hAnsi="Times New Roman" w:eastAsia="宋体" w:cs="Times New Roman"/>
                <w:color w:val="000000" w:themeColor="text1"/>
                <w:sz w:val="24"/>
                <w:lang w:bidi="ar"/>
                <w14:textFill>
                  <w14:solidFill>
                    <w14:schemeClr w14:val="tx1"/>
                  </w14:solidFill>
                </w14:textFill>
              </w:rPr>
              <w:t>，环境保护图形标志的形状及颜色见表4-</w:t>
            </w:r>
            <w:r>
              <w:rPr>
                <w:rFonts w:hint="eastAsia" w:ascii="Times New Roman" w:hAnsi="Times New Roman" w:eastAsia="宋体" w:cs="Times New Roman"/>
                <w:color w:val="000000" w:themeColor="text1"/>
                <w:sz w:val="24"/>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lang w:val="en-US" w:eastAsia="zh-CN" w:bidi="ar"/>
                <w14:textFill>
                  <w14:solidFill>
                    <w14:schemeClr w14:val="tx1"/>
                  </w14:solidFill>
                </w14:textFill>
              </w:rPr>
              <w:t>1</w:t>
            </w:r>
            <w:r>
              <w:rPr>
                <w:rFonts w:hint="default" w:ascii="Times New Roman" w:hAnsi="Times New Roman" w:eastAsia="宋体" w:cs="Times New Roman"/>
                <w:color w:val="000000" w:themeColor="text1"/>
                <w:sz w:val="24"/>
                <w:lang w:bidi="ar"/>
                <w14:textFill>
                  <w14:solidFill>
                    <w14:schemeClr w14:val="tx1"/>
                  </w14:solidFill>
                </w14:textFill>
              </w:rPr>
              <w:t>。</w:t>
            </w:r>
          </w:p>
          <w:p>
            <w:pPr>
              <w:pStyle w:val="92"/>
              <w:widowControl/>
              <w:adjustRightInd/>
              <w:snapToGrid/>
              <w:spacing w:before="0"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 xml:space="preserve">   环境保护图形符号一览表</w:t>
            </w:r>
          </w:p>
          <w:tbl>
            <w:tblPr>
              <w:tblStyle w:val="24"/>
              <w:tblW w:w="49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791"/>
              <w:gridCol w:w="1847"/>
              <w:gridCol w:w="1792"/>
              <w:gridCol w:w="18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tcBorders>
                    <w:top w:val="single" w:color="auto" w:sz="8" w:space="0"/>
                    <w:left w:val="single" w:color="auto" w:sz="8" w:space="0"/>
                    <w:bottom w:val="single" w:color="auto" w:sz="4" w:space="0"/>
                    <w:right w:val="single" w:color="auto" w:sz="4" w:space="0"/>
                  </w:tcBorders>
                  <w:shd w:val="clear" w:color="auto" w:fill="auto"/>
                  <w:vAlign w:val="center"/>
                </w:tcPr>
                <w:p>
                  <w:pPr>
                    <w:spacing w:line="360" w:lineRule="exact"/>
                    <w:ind w:left="-105" w:leftChars="-50" w:right="-105" w:rightChars="-50"/>
                    <w:jc w:val="center"/>
                    <w:rPr>
                      <w:rFonts w:hint="eastAsia" w:ascii="宋体" w:hAnsi="宋体" w:eastAsia="宋体" w:cs="宋体"/>
                      <w:b/>
                      <w:color w:val="000000" w:themeColor="text1"/>
                      <w:spacing w:val="-2"/>
                      <w:szCs w:val="21"/>
                      <w14:textFill>
                        <w14:solidFill>
                          <w14:schemeClr w14:val="tx1"/>
                        </w14:solidFill>
                      </w14:textFill>
                    </w:rPr>
                  </w:pPr>
                  <w:r>
                    <w:rPr>
                      <w:rFonts w:hint="eastAsia" w:ascii="宋体" w:hAnsi="宋体" w:eastAsia="宋体" w:cs="宋体"/>
                      <w:b/>
                      <w:color w:val="000000" w:themeColor="text1"/>
                      <w:szCs w:val="21"/>
                      <w:lang w:bidi="ar"/>
                      <w14:textFill>
                        <w14:solidFill>
                          <w14:schemeClr w14:val="tx1"/>
                        </w14:solidFill>
                      </w14:textFill>
                    </w:rPr>
                    <w:t>序号</w:t>
                  </w:r>
                </w:p>
              </w:tc>
              <w:tc>
                <w:tcPr>
                  <w:tcW w:w="1135" w:type="pct"/>
                  <w:tcBorders>
                    <w:top w:val="single" w:color="auto" w:sz="8"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b/>
                      <w:color w:val="000000" w:themeColor="text1"/>
                      <w:spacing w:val="-2"/>
                      <w:szCs w:val="21"/>
                      <w14:textFill>
                        <w14:solidFill>
                          <w14:schemeClr w14:val="tx1"/>
                        </w14:solidFill>
                      </w14:textFill>
                    </w:rPr>
                  </w:pPr>
                  <w:r>
                    <w:rPr>
                      <w:rFonts w:hint="eastAsia" w:ascii="宋体" w:hAnsi="宋体" w:eastAsia="宋体" w:cs="宋体"/>
                      <w:b/>
                      <w:color w:val="000000" w:themeColor="text1"/>
                      <w:szCs w:val="21"/>
                      <w:lang w:bidi="ar"/>
                      <w14:textFill>
                        <w14:solidFill>
                          <w14:schemeClr w14:val="tx1"/>
                        </w14:solidFill>
                      </w14:textFill>
                    </w:rPr>
                    <w:t>提示图形符号</w:t>
                  </w:r>
                </w:p>
              </w:tc>
              <w:tc>
                <w:tcPr>
                  <w:tcW w:w="1171" w:type="pct"/>
                  <w:tcBorders>
                    <w:top w:val="single" w:color="auto" w:sz="8"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b/>
                      <w:color w:val="000000" w:themeColor="text1"/>
                      <w:spacing w:val="-2"/>
                      <w:szCs w:val="21"/>
                      <w14:textFill>
                        <w14:solidFill>
                          <w14:schemeClr w14:val="tx1"/>
                        </w14:solidFill>
                      </w14:textFill>
                    </w:rPr>
                  </w:pPr>
                  <w:r>
                    <w:rPr>
                      <w:rFonts w:hint="eastAsia" w:ascii="宋体" w:hAnsi="宋体" w:eastAsia="宋体" w:cs="宋体"/>
                      <w:b/>
                      <w:color w:val="000000" w:themeColor="text1"/>
                      <w:szCs w:val="21"/>
                      <w:lang w:bidi="ar"/>
                      <w14:textFill>
                        <w14:solidFill>
                          <w14:schemeClr w14:val="tx1"/>
                        </w14:solidFill>
                      </w14:textFill>
                    </w:rPr>
                    <w:t>警告图形符号</w:t>
                  </w:r>
                </w:p>
              </w:tc>
              <w:tc>
                <w:tcPr>
                  <w:tcW w:w="1136" w:type="pct"/>
                  <w:tcBorders>
                    <w:top w:val="single" w:color="auto" w:sz="8"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b/>
                      <w:color w:val="000000" w:themeColor="text1"/>
                      <w:spacing w:val="-2"/>
                      <w:szCs w:val="21"/>
                      <w14:textFill>
                        <w14:solidFill>
                          <w14:schemeClr w14:val="tx1"/>
                        </w14:solidFill>
                      </w14:textFill>
                    </w:rPr>
                  </w:pPr>
                  <w:r>
                    <w:rPr>
                      <w:rFonts w:hint="eastAsia" w:ascii="宋体" w:hAnsi="宋体" w:eastAsia="宋体" w:cs="宋体"/>
                      <w:b/>
                      <w:color w:val="000000" w:themeColor="text1"/>
                      <w:szCs w:val="21"/>
                      <w:lang w:bidi="ar"/>
                      <w14:textFill>
                        <w14:solidFill>
                          <w14:schemeClr w14:val="tx1"/>
                        </w14:solidFill>
                      </w14:textFill>
                    </w:rPr>
                    <w:t>名称</w:t>
                  </w:r>
                </w:p>
              </w:tc>
              <w:tc>
                <w:tcPr>
                  <w:tcW w:w="1164" w:type="pct"/>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exact"/>
                    <w:jc w:val="center"/>
                    <w:rPr>
                      <w:rFonts w:hint="eastAsia" w:ascii="宋体" w:hAnsi="宋体" w:eastAsia="宋体" w:cs="宋体"/>
                      <w:b/>
                      <w:color w:val="000000" w:themeColor="text1"/>
                      <w:spacing w:val="-2"/>
                      <w:szCs w:val="21"/>
                      <w14:textFill>
                        <w14:solidFill>
                          <w14:schemeClr w14:val="tx1"/>
                        </w14:solidFill>
                      </w14:textFill>
                    </w:rPr>
                  </w:pPr>
                  <w:r>
                    <w:rPr>
                      <w:rFonts w:hint="eastAsia" w:ascii="宋体" w:hAnsi="宋体" w:eastAsia="宋体" w:cs="宋体"/>
                      <w:b/>
                      <w:color w:val="000000" w:themeColor="text1"/>
                      <w:szCs w:val="21"/>
                      <w:lang w:bidi="ar"/>
                      <w14:textFill>
                        <w14:solidFill>
                          <w14:schemeClr w14:val="tx1"/>
                        </w14:solidFill>
                      </w14:textFill>
                    </w:rPr>
                    <w:t>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93" w:type="pct"/>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1</w:t>
                  </w:r>
                </w:p>
              </w:tc>
              <w:tc>
                <w:tcPr>
                  <w:tcW w:w="11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smallCaps/>
                      <w:color w:val="000000" w:themeColor="text1"/>
                      <w:szCs w:val="21"/>
                      <w14:textFill>
                        <w14:solidFill>
                          <w14:schemeClr w14:val="tx1"/>
                        </w14:solidFill>
                      </w14:textFill>
                    </w:rPr>
                    <w:drawing>
                      <wp:inline distT="0" distB="0" distL="114300" distR="114300">
                        <wp:extent cx="723900" cy="723900"/>
                        <wp:effectExtent l="0" t="0" r="0" b="0"/>
                        <wp:docPr id="7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8"/>
                                <pic:cNvPicPr>
                                  <a:picLocks noChangeAspect="1"/>
                                </pic:cNvPicPr>
                              </pic:nvPicPr>
                              <pic:blipFill>
                                <a:blip r:embed="rId14"/>
                                <a:stretch>
                                  <a:fillRect/>
                                </a:stretch>
                              </pic:blipFill>
                              <pic:spPr>
                                <a:xfrm>
                                  <a:off x="0" y="0"/>
                                  <a:ext cx="723900" cy="723900"/>
                                </a:xfrm>
                                <a:prstGeom prst="rect">
                                  <a:avLst/>
                                </a:prstGeom>
                                <a:noFill/>
                                <a:ln>
                                  <a:noFill/>
                                </a:ln>
                              </pic:spPr>
                            </pic:pic>
                          </a:graphicData>
                        </a:graphic>
                      </wp:inline>
                    </w:drawing>
                  </w:r>
                </w:p>
              </w:tc>
              <w:tc>
                <w:tcPr>
                  <w:tcW w:w="11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smallCaps/>
                      <w:color w:val="000000" w:themeColor="text1"/>
                      <w:szCs w:val="21"/>
                      <w14:textFill>
                        <w14:solidFill>
                          <w14:schemeClr w14:val="tx1"/>
                        </w14:solidFill>
                      </w14:textFill>
                    </w:rPr>
                    <w:drawing>
                      <wp:inline distT="0" distB="0" distL="114300" distR="114300">
                        <wp:extent cx="828675" cy="733425"/>
                        <wp:effectExtent l="0" t="0" r="9525" b="9525"/>
                        <wp:docPr id="7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pic:cNvPicPr>
                                  <a:picLocks noChangeAspect="1"/>
                                </pic:cNvPicPr>
                              </pic:nvPicPr>
                              <pic:blipFill>
                                <a:blip r:embed="rId15"/>
                                <a:stretch>
                                  <a:fillRect/>
                                </a:stretch>
                              </pic:blipFill>
                              <pic:spPr>
                                <a:xfrm>
                                  <a:off x="0" y="0"/>
                                  <a:ext cx="828675" cy="733425"/>
                                </a:xfrm>
                                <a:prstGeom prst="rect">
                                  <a:avLst/>
                                </a:prstGeom>
                                <a:noFill/>
                                <a:ln>
                                  <a:noFill/>
                                </a:ln>
                              </pic:spPr>
                            </pic:pic>
                          </a:graphicData>
                        </a:graphic>
                      </wp:inline>
                    </w:drawing>
                  </w: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污水排放口</w:t>
                  </w:r>
                </w:p>
              </w:tc>
              <w:tc>
                <w:tcPr>
                  <w:tcW w:w="1164"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表示污水向水体排放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393" w:type="pct"/>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2</w:t>
                  </w:r>
                </w:p>
              </w:tc>
              <w:tc>
                <w:tcPr>
                  <w:tcW w:w="11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smallCaps/>
                      <w:color w:val="000000" w:themeColor="text1"/>
                      <w:szCs w:val="21"/>
                      <w14:textFill>
                        <w14:solidFill>
                          <w14:schemeClr w14:val="tx1"/>
                        </w14:solidFill>
                      </w14:textFill>
                    </w:rPr>
                    <w:drawing>
                      <wp:inline distT="0" distB="0" distL="114300" distR="114300">
                        <wp:extent cx="733425" cy="733425"/>
                        <wp:effectExtent l="0" t="0" r="9525" b="9525"/>
                        <wp:docPr id="7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0"/>
                                <pic:cNvPicPr>
                                  <a:picLocks noChangeAspect="1"/>
                                </pic:cNvPicPr>
                              </pic:nvPicPr>
                              <pic:blipFill>
                                <a:blip r:embed="rId16"/>
                                <a:stretch>
                                  <a:fillRect/>
                                </a:stretch>
                              </pic:blipFill>
                              <pic:spPr>
                                <a:xfrm>
                                  <a:off x="0" y="0"/>
                                  <a:ext cx="733425" cy="733425"/>
                                </a:xfrm>
                                <a:prstGeom prst="rect">
                                  <a:avLst/>
                                </a:prstGeom>
                                <a:noFill/>
                                <a:ln>
                                  <a:noFill/>
                                </a:ln>
                              </pic:spPr>
                            </pic:pic>
                          </a:graphicData>
                        </a:graphic>
                      </wp:inline>
                    </w:drawing>
                  </w:r>
                </w:p>
              </w:tc>
              <w:tc>
                <w:tcPr>
                  <w:tcW w:w="11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smallCaps/>
                      <w:color w:val="000000" w:themeColor="text1"/>
                      <w:szCs w:val="21"/>
                      <w14:textFill>
                        <w14:solidFill>
                          <w14:schemeClr w14:val="tx1"/>
                        </w14:solidFill>
                      </w14:textFill>
                    </w:rPr>
                    <w:drawing>
                      <wp:inline distT="0" distB="0" distL="114300" distR="114300">
                        <wp:extent cx="847725" cy="752475"/>
                        <wp:effectExtent l="0" t="0" r="9525" b="9525"/>
                        <wp:docPr id="7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1"/>
                                <pic:cNvPicPr>
                                  <a:picLocks noChangeAspect="1"/>
                                </pic:cNvPicPr>
                              </pic:nvPicPr>
                              <pic:blipFill>
                                <a:blip r:embed="rId17"/>
                                <a:stretch>
                                  <a:fillRect/>
                                </a:stretch>
                              </pic:blipFill>
                              <pic:spPr>
                                <a:xfrm>
                                  <a:off x="0" y="0"/>
                                  <a:ext cx="847725" cy="752475"/>
                                </a:xfrm>
                                <a:prstGeom prst="rect">
                                  <a:avLst/>
                                </a:prstGeom>
                                <a:noFill/>
                                <a:ln>
                                  <a:noFill/>
                                </a:ln>
                              </pic:spPr>
                            </pic:pic>
                          </a:graphicData>
                        </a:graphic>
                      </wp:inline>
                    </w:drawing>
                  </w: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废气排放口</w:t>
                  </w:r>
                </w:p>
              </w:tc>
              <w:tc>
                <w:tcPr>
                  <w:tcW w:w="1164"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表示废气向大气环境排放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393" w:type="pct"/>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3</w:t>
                  </w:r>
                </w:p>
              </w:tc>
              <w:tc>
                <w:tcPr>
                  <w:tcW w:w="11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smallCaps/>
                      <w:color w:val="000000" w:themeColor="text1"/>
                      <w:szCs w:val="21"/>
                      <w14:textFill>
                        <w14:solidFill>
                          <w14:schemeClr w14:val="tx1"/>
                        </w14:solidFill>
                      </w14:textFill>
                    </w:rPr>
                    <w:drawing>
                      <wp:inline distT="0" distB="0" distL="114300" distR="114300">
                        <wp:extent cx="771525" cy="771525"/>
                        <wp:effectExtent l="0" t="0" r="9525" b="9525"/>
                        <wp:docPr id="7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2"/>
                                <pic:cNvPicPr>
                                  <a:picLocks noChangeAspect="1"/>
                                </pic:cNvPicPr>
                              </pic:nvPicPr>
                              <pic:blipFill>
                                <a:blip r:embed="rId18"/>
                                <a:stretch>
                                  <a:fillRect/>
                                </a:stretch>
                              </pic:blipFill>
                              <pic:spPr>
                                <a:xfrm>
                                  <a:off x="0" y="0"/>
                                  <a:ext cx="771525" cy="771525"/>
                                </a:xfrm>
                                <a:prstGeom prst="rect">
                                  <a:avLst/>
                                </a:prstGeom>
                                <a:noFill/>
                                <a:ln>
                                  <a:noFill/>
                                </a:ln>
                              </pic:spPr>
                            </pic:pic>
                          </a:graphicData>
                        </a:graphic>
                      </wp:inline>
                    </w:drawing>
                  </w:r>
                </w:p>
              </w:tc>
              <w:tc>
                <w:tcPr>
                  <w:tcW w:w="11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smallCaps/>
                      <w:color w:val="000000" w:themeColor="text1"/>
                      <w:szCs w:val="21"/>
                      <w14:textFill>
                        <w14:solidFill>
                          <w14:schemeClr w14:val="tx1"/>
                        </w14:solidFill>
                      </w14:textFill>
                    </w:rPr>
                    <w:drawing>
                      <wp:inline distT="0" distB="0" distL="114300" distR="114300">
                        <wp:extent cx="800100" cy="714375"/>
                        <wp:effectExtent l="0" t="0" r="0" b="9525"/>
                        <wp:docPr id="8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3"/>
                                <pic:cNvPicPr>
                                  <a:picLocks noChangeAspect="1"/>
                                </pic:cNvPicPr>
                              </pic:nvPicPr>
                              <pic:blipFill>
                                <a:blip r:embed="rId19"/>
                                <a:stretch>
                                  <a:fillRect/>
                                </a:stretch>
                              </pic:blipFill>
                              <pic:spPr>
                                <a:xfrm>
                                  <a:off x="0" y="0"/>
                                  <a:ext cx="800100" cy="714375"/>
                                </a:xfrm>
                                <a:prstGeom prst="rect">
                                  <a:avLst/>
                                </a:prstGeom>
                                <a:noFill/>
                                <a:ln>
                                  <a:noFill/>
                                </a:ln>
                              </pic:spPr>
                            </pic:pic>
                          </a:graphicData>
                        </a:graphic>
                      </wp:inline>
                    </w:drawing>
                  </w:r>
                </w:p>
              </w:tc>
              <w:tc>
                <w:tcPr>
                  <w:tcW w:w="11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一般固体废物</w:t>
                  </w:r>
                </w:p>
              </w:tc>
              <w:tc>
                <w:tcPr>
                  <w:tcW w:w="1164"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表示一般固体废物贮存、处置场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393" w:type="pct"/>
                  <w:tcBorders>
                    <w:top w:val="single" w:color="auto" w:sz="4" w:space="0"/>
                    <w:left w:val="single" w:color="auto" w:sz="8" w:space="0"/>
                    <w:bottom w:val="single" w:color="auto" w:sz="8"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lang w:val="en-US" w:eastAsia="zh-CN"/>
                      <w14:textFill>
                        <w14:solidFill>
                          <w14:schemeClr w14:val="tx1"/>
                        </w14:solidFill>
                      </w14:textFill>
                    </w:rPr>
                  </w:pPr>
                  <w:r>
                    <w:rPr>
                      <w:rFonts w:hint="eastAsia" w:ascii="宋体" w:hAnsi="宋体" w:eastAsia="宋体" w:cs="宋体"/>
                      <w:color w:val="000000" w:themeColor="text1"/>
                      <w:spacing w:val="-2"/>
                      <w:szCs w:val="21"/>
                      <w:lang w:val="en-US" w:eastAsia="zh-CN"/>
                      <w14:textFill>
                        <w14:solidFill>
                          <w14:schemeClr w14:val="tx1"/>
                        </w14:solidFill>
                      </w14:textFill>
                    </w:rPr>
                    <w:t>4</w:t>
                  </w:r>
                </w:p>
              </w:tc>
              <w:tc>
                <w:tcPr>
                  <w:tcW w:w="1135" w:type="pct"/>
                  <w:tcBorders>
                    <w:top w:val="single" w:color="auto" w:sz="4" w:space="0"/>
                    <w:left w:val="single" w:color="auto" w:sz="4" w:space="0"/>
                    <w:bottom w:val="single" w:color="auto" w:sz="8" w:space="0"/>
                    <w:right w:val="single" w:color="auto" w:sz="4" w:space="0"/>
                  </w:tcBorders>
                  <w:shd w:val="clear" w:color="auto" w:fill="auto"/>
                  <w:vAlign w:val="center"/>
                </w:tcPr>
                <w:p>
                  <w:pPr>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685800" cy="685800"/>
                        <wp:effectExtent l="0" t="0" r="0" b="0"/>
                        <wp:docPr id="78" name="图片 45" descr="说明: 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5" descr="说明: mark_3"/>
                                <pic:cNvPicPr>
                                  <a:picLocks noChangeAspect="1"/>
                                </pic:cNvPicPr>
                              </pic:nvPicPr>
                              <pic:blipFill>
                                <a:blip r:embed="rId20"/>
                                <a:stretch>
                                  <a:fillRect/>
                                </a:stretch>
                              </pic:blipFill>
                              <pic:spPr>
                                <a:xfrm>
                                  <a:off x="0" y="0"/>
                                  <a:ext cx="685800" cy="685800"/>
                                </a:xfrm>
                                <a:prstGeom prst="rect">
                                  <a:avLst/>
                                </a:prstGeom>
                                <a:noFill/>
                                <a:ln>
                                  <a:noFill/>
                                </a:ln>
                              </pic:spPr>
                            </pic:pic>
                          </a:graphicData>
                        </a:graphic>
                      </wp:inline>
                    </w:drawing>
                  </w:r>
                </w:p>
              </w:tc>
              <w:tc>
                <w:tcPr>
                  <w:tcW w:w="1171" w:type="pct"/>
                  <w:tcBorders>
                    <w:top w:val="single" w:color="auto" w:sz="4" w:space="0"/>
                    <w:left w:val="single" w:color="auto" w:sz="4" w:space="0"/>
                    <w:bottom w:val="single" w:color="auto" w:sz="8" w:space="0"/>
                    <w:right w:val="single" w:color="auto" w:sz="4" w:space="0"/>
                  </w:tcBorders>
                  <w:shd w:val="clear" w:color="auto" w:fill="auto"/>
                  <w:vAlign w:val="center"/>
                </w:tcPr>
                <w:p>
                  <w:pPr>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838200" cy="742950"/>
                        <wp:effectExtent l="0" t="0" r="0" b="0"/>
                        <wp:docPr id="80" name="图片 46" descr="说明: 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6" descr="说明: mark_j3"/>
                                <pic:cNvPicPr>
                                  <a:picLocks noChangeAspect="1"/>
                                </pic:cNvPicPr>
                              </pic:nvPicPr>
                              <pic:blipFill>
                                <a:blip r:embed="rId21"/>
                                <a:stretch>
                                  <a:fillRect/>
                                </a:stretch>
                              </pic:blipFill>
                              <pic:spPr>
                                <a:xfrm>
                                  <a:off x="0" y="0"/>
                                  <a:ext cx="838200" cy="742950"/>
                                </a:xfrm>
                                <a:prstGeom prst="rect">
                                  <a:avLst/>
                                </a:prstGeom>
                                <a:noFill/>
                                <a:ln>
                                  <a:noFill/>
                                </a:ln>
                              </pic:spPr>
                            </pic:pic>
                          </a:graphicData>
                        </a:graphic>
                      </wp:inline>
                    </w:drawing>
                  </w:r>
                </w:p>
              </w:tc>
              <w:tc>
                <w:tcPr>
                  <w:tcW w:w="1136" w:type="pct"/>
                  <w:tcBorders>
                    <w:top w:val="single" w:color="auto" w:sz="4" w:space="0"/>
                    <w:left w:val="single" w:color="auto" w:sz="4" w:space="0"/>
                    <w:bottom w:val="single" w:color="auto" w:sz="8"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噪声排放源</w:t>
                  </w:r>
                </w:p>
              </w:tc>
              <w:tc>
                <w:tcPr>
                  <w:tcW w:w="1164" w:type="pct"/>
                  <w:tcBorders>
                    <w:top w:val="single" w:color="auto" w:sz="4" w:space="0"/>
                    <w:left w:val="single" w:color="auto" w:sz="4" w:space="0"/>
                    <w:bottom w:val="single" w:color="auto" w:sz="8" w:space="0"/>
                    <w:right w:val="single" w:color="auto" w:sz="8" w:space="0"/>
                  </w:tcBorders>
                  <w:shd w:val="clear" w:color="auto" w:fill="auto"/>
                  <w:vAlign w:val="center"/>
                </w:tcPr>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表示噪声向</w:t>
                  </w:r>
                </w:p>
                <w:p>
                  <w:pPr>
                    <w:spacing w:line="360" w:lineRule="exact"/>
                    <w:jc w:val="center"/>
                    <w:rPr>
                      <w:rFonts w:hint="eastAsia" w:ascii="宋体" w:hAnsi="宋体" w:eastAsia="宋体" w:cs="宋体"/>
                      <w:color w:val="000000" w:themeColor="text1"/>
                      <w:spacing w:val="-2"/>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外环境排放</w:t>
                  </w:r>
                </w:p>
              </w:tc>
            </w:tr>
          </w:tbl>
          <w:p>
            <w:pPr>
              <w:pStyle w:val="92"/>
              <w:widowControl/>
              <w:adjustRightInd/>
              <w:snapToGrid/>
              <w:spacing w:before="0" w:line="36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表4-</w:t>
            </w:r>
            <w:r>
              <w:rPr>
                <w:rFonts w:hint="eastAsia" w:ascii="宋体" w:hAnsi="宋体" w:eastAsia="宋体" w:cs="宋体"/>
                <w:color w:val="000000" w:themeColor="text1"/>
                <w:lang w:val="en-US" w:eastAsia="zh-CN"/>
                <w14:textFill>
                  <w14:solidFill>
                    <w14:schemeClr w14:val="tx1"/>
                  </w14:solidFill>
                </w14:textFill>
              </w:rPr>
              <w:t>21</w:t>
            </w:r>
            <w:r>
              <w:rPr>
                <w:rFonts w:hint="eastAsia" w:ascii="宋体" w:hAnsi="宋体" w:eastAsia="宋体" w:cs="宋体"/>
                <w:color w:val="000000" w:themeColor="text1"/>
                <w14:textFill>
                  <w14:solidFill>
                    <w14:schemeClr w14:val="tx1"/>
                  </w14:solidFill>
                </w14:textFill>
              </w:rPr>
              <w:t xml:space="preserve"> 环境保护图形标志的形状及颜色表</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974"/>
              <w:gridCol w:w="197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color w:val="000000" w:themeColor="text1"/>
                      <w:szCs w:val="21"/>
                      <w:lang w:bidi="ar"/>
                      <w14:textFill>
                        <w14:solidFill>
                          <w14:schemeClr w14:val="tx1"/>
                        </w14:solidFill>
                      </w14:textFill>
                    </w:rPr>
                    <w:t>标志名称</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lang w:bidi="ar"/>
                      <w14:textFill>
                        <w14:solidFill>
                          <w14:schemeClr w14:val="tx1"/>
                        </w14:solidFill>
                      </w14:textFill>
                    </w:rPr>
                    <w:t>形 状</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lang w:bidi="ar"/>
                      <w14:textFill>
                        <w14:solidFill>
                          <w14:schemeClr w14:val="tx1"/>
                        </w14:solidFill>
                      </w14:textFill>
                    </w:rPr>
                    <w:t>背景颜色</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lang w:bidi="ar"/>
                      <w14:textFill>
                        <w14:solidFill>
                          <w14:schemeClr w14:val="tx1"/>
                        </w14:solidFill>
                      </w14:textFill>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警告标志</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三角形边框</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黄色</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提示标志</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正方形边框</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绿色</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bidi="ar"/>
                      <w14:textFill>
                        <w14:solidFill>
                          <w14:schemeClr w14:val="tx1"/>
                        </w14:solidFill>
                      </w14:textFill>
                    </w:rPr>
                    <w:t>白色</w:t>
                  </w:r>
                </w:p>
              </w:tc>
            </w:tr>
          </w:tbl>
          <w:p>
            <w:pPr>
              <w:pStyle w:val="20"/>
              <w:widowControl w:val="0"/>
              <w:adjustRightInd w:val="0"/>
              <w:snapToGrid w:val="0"/>
              <w:spacing w:before="0" w:beforeAutospacing="0" w:after="0" w:afterAutospacing="0" w:line="360" w:lineRule="auto"/>
              <w:ind w:firstLine="480"/>
              <w:jc w:val="both"/>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kern w:val="2"/>
                <w:szCs w:val="24"/>
                <w:lang w:bidi="ar"/>
                <w14:textFill>
                  <w14:solidFill>
                    <w14:schemeClr w14:val="tx1"/>
                  </w14:solidFill>
                </w14:textFill>
              </w:rPr>
              <w:t>7.</w:t>
            </w:r>
            <w:r>
              <w:rPr>
                <w:rFonts w:hint="default" w:ascii="Times New Roman" w:hAnsi="Times New Roman" w:eastAsia="宋体" w:cs="Times New Roman"/>
                <w:b/>
                <w:bCs/>
                <w:color w:val="000000" w:themeColor="text1"/>
                <w:kern w:val="2"/>
                <w:szCs w:val="24"/>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2"/>
                <w:szCs w:val="24"/>
                <w:lang w:bidi="ar"/>
                <w14:textFill>
                  <w14:solidFill>
                    <w14:schemeClr w14:val="tx1"/>
                  </w14:solidFill>
                </w14:textFill>
              </w:rPr>
              <w:t>监测管理</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排污单位对其自行监测结果及信息公开内容的真实性、准确性、完整性负责。排污单位应积极配合并接受生态环境局的日常监督管理。</w:t>
            </w:r>
          </w:p>
          <w:p>
            <w:pPr>
              <w:adjustRightInd w:val="0"/>
              <w:snapToGrid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8</w:t>
            </w:r>
            <w:r>
              <w:rPr>
                <w:rFonts w:hint="default" w:ascii="Times New Roman" w:hAnsi="Times New Roman" w:eastAsia="宋体" w:cs="Times New Roman"/>
                <w:b/>
                <w:bCs/>
                <w:color w:val="000000" w:themeColor="text1"/>
                <w:sz w:val="24"/>
                <w14:textFill>
                  <w14:solidFill>
                    <w14:schemeClr w14:val="tx1"/>
                  </w14:solidFill>
                </w14:textFill>
              </w:rPr>
              <w:t>、环保投资</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本项目总投资约</w:t>
            </w:r>
            <w:r>
              <w:rPr>
                <w:rFonts w:hint="eastAsia" w:cs="Times New Roman"/>
                <w:color w:val="000000" w:themeColor="text1"/>
                <w:sz w:val="24"/>
                <w:lang w:val="en-US" w:eastAsia="zh-CN"/>
                <w14:textFill>
                  <w14:solidFill>
                    <w14:schemeClr w14:val="tx1"/>
                  </w14:solidFill>
                </w14:textFill>
              </w:rPr>
              <w:t>2900</w:t>
            </w:r>
            <w:r>
              <w:rPr>
                <w:rFonts w:hint="default" w:ascii="Times New Roman" w:hAnsi="Times New Roman" w:eastAsia="宋体" w:cs="Times New Roman"/>
                <w:color w:val="000000" w:themeColor="text1"/>
                <w:sz w:val="24"/>
                <w14:textFill>
                  <w14:solidFill>
                    <w14:schemeClr w14:val="tx1"/>
                  </w14:solidFill>
                </w14:textFill>
              </w:rPr>
              <w:t>万元，环保投资</w:t>
            </w:r>
            <w:r>
              <w:rPr>
                <w:rFonts w:hint="eastAsia" w:ascii="Times New Roman" w:hAnsi="Times New Roman" w:eastAsia="宋体" w:cs="Times New Roman"/>
                <w:color w:val="000000" w:themeColor="text1"/>
                <w:sz w:val="24"/>
                <w:lang w:val="en-US" w:eastAsia="zh-CN"/>
                <w14:textFill>
                  <w14:solidFill>
                    <w14:schemeClr w14:val="tx1"/>
                  </w14:solidFill>
                </w14:textFill>
              </w:rPr>
              <w:t>151</w:t>
            </w:r>
            <w:r>
              <w:rPr>
                <w:rFonts w:hint="default" w:ascii="Times New Roman" w:hAnsi="Times New Roman" w:eastAsia="宋体" w:cs="Times New Roman"/>
                <w:color w:val="000000" w:themeColor="text1"/>
                <w:sz w:val="24"/>
                <w14:textFill>
                  <w14:solidFill>
                    <w14:schemeClr w14:val="tx1"/>
                  </w14:solidFill>
                </w14:textFill>
              </w:rPr>
              <w:t>万元，占总投资费用的</w:t>
            </w:r>
            <w:r>
              <w:rPr>
                <w:rFonts w:hint="eastAsia" w:cs="Times New Roman"/>
                <w:color w:val="000000" w:themeColor="text1"/>
                <w:sz w:val="24"/>
                <w:lang w:val="en-US" w:eastAsia="zh-CN"/>
                <w14:textFill>
                  <w14:solidFill>
                    <w14:schemeClr w14:val="tx1"/>
                  </w14:solidFill>
                </w14:textFill>
              </w:rPr>
              <w:t>5.21</w:t>
            </w:r>
            <w:r>
              <w:rPr>
                <w:rFonts w:hint="default" w:ascii="Times New Roman" w:hAnsi="Times New Roman" w:eastAsia="宋体" w:cs="Times New Roman"/>
                <w:color w:val="000000" w:themeColor="text1"/>
                <w:sz w:val="24"/>
                <w14:textFill>
                  <w14:solidFill>
                    <w14:schemeClr w14:val="tx1"/>
                  </w14:solidFill>
                </w14:textFill>
              </w:rPr>
              <w:t>%。项目环保投资情况见下表。</w:t>
            </w:r>
          </w:p>
          <w:p>
            <w:pPr>
              <w:adjustRightInd w:val="0"/>
              <w:snapToGrid w:val="0"/>
              <w:spacing w:line="360" w:lineRule="auto"/>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表4-</w:t>
            </w:r>
            <w:r>
              <w:rPr>
                <w:rFonts w:hint="eastAsia" w:ascii="Times New Roman" w:hAnsi="Times New Roman" w:eastAsia="宋体" w:cs="Times New Roman"/>
                <w:b/>
                <w:color w:val="000000" w:themeColor="text1"/>
                <w:lang w:val="en-US" w:eastAsia="zh-CN"/>
                <w14:textFill>
                  <w14:solidFill>
                    <w14:schemeClr w14:val="tx1"/>
                  </w14:solidFill>
                </w14:textFill>
              </w:rPr>
              <w:t>2</w:t>
            </w:r>
            <w:r>
              <w:rPr>
                <w:rFonts w:hint="default" w:ascii="Times New Roman" w:hAnsi="Times New Roman" w:eastAsia="宋体" w:cs="Times New Roman"/>
                <w:b/>
                <w:color w:val="000000" w:themeColor="text1"/>
                <w:lang w:val="en-US" w:eastAsia="zh-CN"/>
                <w14:textFill>
                  <w14:solidFill>
                    <w14:schemeClr w14:val="tx1"/>
                  </w14:solidFill>
                </w14:textFill>
              </w:rPr>
              <w:t>2</w:t>
            </w:r>
            <w:r>
              <w:rPr>
                <w:rFonts w:hint="default" w:ascii="Times New Roman" w:hAnsi="Times New Roman" w:eastAsia="宋体" w:cs="Times New Roman"/>
                <w:b/>
                <w:color w:val="000000" w:themeColor="text1"/>
                <w14:textFill>
                  <w14:solidFill>
                    <w14:schemeClr w14:val="tx1"/>
                  </w14:solidFill>
                </w14:textFill>
              </w:rPr>
              <w:t xml:space="preserve">   项目环保投资估算一览表</w:t>
            </w:r>
          </w:p>
          <w:tbl>
            <w:tblPr>
              <w:tblStyle w:val="24"/>
              <w:tblW w:w="491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2"/>
              <w:gridCol w:w="723"/>
              <w:gridCol w:w="927"/>
              <w:gridCol w:w="3994"/>
              <w:gridCol w:w="14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0" w:hRule="atLeast"/>
                <w:jc w:val="center"/>
              </w:trPr>
              <w:tc>
                <w:tcPr>
                  <w:tcW w:w="473" w:type="pct"/>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阶段</w:t>
                  </w:r>
                </w:p>
              </w:tc>
              <w:tc>
                <w:tcPr>
                  <w:tcW w:w="1052" w:type="pct"/>
                  <w:gridSpan w:val="2"/>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项目名称</w:t>
                  </w:r>
                </w:p>
              </w:tc>
              <w:tc>
                <w:tcPr>
                  <w:tcW w:w="2548"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环保措施</w:t>
                  </w:r>
                </w:p>
              </w:tc>
              <w:tc>
                <w:tcPr>
                  <w:tcW w:w="925"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环保投资</w:t>
                  </w:r>
                </w:p>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473" w:type="pct"/>
                  <w:vMerge w:val="restart"/>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施工期</w:t>
                  </w:r>
                </w:p>
              </w:tc>
              <w:tc>
                <w:tcPr>
                  <w:tcW w:w="461" w:type="pct"/>
                  <w:shd w:val="clear" w:color="auto" w:fill="auto"/>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591" w:type="pct"/>
                  <w:shd w:val="clear" w:color="auto" w:fill="auto"/>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施工过程</w:t>
                  </w:r>
                </w:p>
              </w:tc>
              <w:tc>
                <w:tcPr>
                  <w:tcW w:w="2548" w:type="pct"/>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场地围栏、洒水降尘、堆场遮盖等</w:t>
                  </w:r>
                </w:p>
              </w:tc>
              <w:tc>
                <w:tcPr>
                  <w:tcW w:w="925" w:type="pct"/>
                  <w:vAlign w:val="center"/>
                </w:tcPr>
                <w:p>
                  <w:pPr>
                    <w:snapToGrid w:val="0"/>
                    <w:spacing w:line="24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22"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shd w:val="clear" w:color="auto" w:fill="auto"/>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p>
              </w:tc>
              <w:tc>
                <w:tcPr>
                  <w:tcW w:w="591" w:type="pct"/>
                  <w:shd w:val="clear" w:color="auto" w:fill="auto"/>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施工过程</w:t>
                  </w:r>
                </w:p>
              </w:tc>
              <w:tc>
                <w:tcPr>
                  <w:tcW w:w="2548" w:type="pct"/>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生产废水通过建设沉淀池处理后回用于场地洒水降尘，不外排。生活污水</w:t>
                  </w:r>
                  <w:r>
                    <w:rPr>
                      <w:rFonts w:hint="default" w:ascii="Times New Roman" w:hAnsi="Times New Roman" w:eastAsia="宋体" w:cs="Times New Roman"/>
                      <w:color w:val="000000" w:themeColor="text1"/>
                      <w:kern w:val="0"/>
                      <w:szCs w:val="21"/>
                      <w14:textFill>
                        <w14:solidFill>
                          <w14:schemeClr w14:val="tx1"/>
                        </w14:solidFill>
                      </w14:textFill>
                    </w:rPr>
                    <w:t>经临时化粪池处理后用作绿化，待施工期结束后，临时化粪池覆土填埋。</w:t>
                  </w:r>
                </w:p>
              </w:tc>
              <w:tc>
                <w:tcPr>
                  <w:tcW w:w="925" w:type="pct"/>
                  <w:vAlign w:val="center"/>
                </w:tcPr>
                <w:p>
                  <w:pPr>
                    <w:snapToGrid w:val="0"/>
                    <w:spacing w:line="240" w:lineRule="atLeas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22"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shd w:val="clear" w:color="auto" w:fill="auto"/>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c>
                <w:tcPr>
                  <w:tcW w:w="591" w:type="pct"/>
                  <w:shd w:val="clear" w:color="auto" w:fill="auto"/>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施工过程</w:t>
                  </w:r>
                </w:p>
              </w:tc>
              <w:tc>
                <w:tcPr>
                  <w:tcW w:w="2548" w:type="pct"/>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建筑垃圾集中收集后统一清运至建筑垃圾指定处理点；生活垃圾通过生活垃圾箱（桶）集中收集，由环卫</w:t>
                  </w:r>
                  <w:r>
                    <w:rPr>
                      <w:rFonts w:hint="eastAsia" w:ascii="Times New Roman" w:hAnsi="Times New Roman" w:eastAsia="宋体" w:cs="Times New Roman"/>
                      <w:color w:val="000000" w:themeColor="text1"/>
                      <w:szCs w:val="21"/>
                      <w:lang w:val="en-US" w:eastAsia="zh-CN"/>
                      <w14:textFill>
                        <w14:solidFill>
                          <w14:schemeClr w14:val="tx1"/>
                        </w14:solidFill>
                      </w14:textFill>
                    </w:rPr>
                    <w:t>部门</w:t>
                  </w:r>
                  <w:r>
                    <w:rPr>
                      <w:rFonts w:hint="default" w:ascii="Times New Roman" w:hAnsi="Times New Roman" w:eastAsia="宋体" w:cs="Times New Roman"/>
                      <w:color w:val="000000" w:themeColor="text1"/>
                      <w:szCs w:val="21"/>
                      <w14:textFill>
                        <w14:solidFill>
                          <w14:schemeClr w14:val="tx1"/>
                        </w14:solidFill>
                      </w14:textFill>
                    </w:rPr>
                    <w:t>统一清运处理。</w:t>
                  </w:r>
                </w:p>
              </w:tc>
              <w:tc>
                <w:tcPr>
                  <w:tcW w:w="925" w:type="pct"/>
                  <w:vAlign w:val="center"/>
                </w:tcPr>
                <w:p>
                  <w:pPr>
                    <w:snapToGrid w:val="0"/>
                    <w:spacing w:line="240" w:lineRule="atLeas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shd w:val="clear" w:color="auto" w:fill="auto"/>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w:t>
                  </w:r>
                </w:p>
              </w:tc>
              <w:tc>
                <w:tcPr>
                  <w:tcW w:w="591" w:type="pct"/>
                  <w:shd w:val="clear" w:color="auto" w:fill="auto"/>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施工过程</w:t>
                  </w:r>
                </w:p>
              </w:tc>
              <w:tc>
                <w:tcPr>
                  <w:tcW w:w="2548" w:type="pct"/>
                  <w:vAlign w:val="center"/>
                </w:tcPr>
                <w:p>
                  <w:pPr>
                    <w:snapToGrid w:val="0"/>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合理施工布局及作业时间、隔声围挡、施工设备降噪</w:t>
                  </w:r>
                </w:p>
              </w:tc>
              <w:tc>
                <w:tcPr>
                  <w:tcW w:w="925" w:type="pct"/>
                  <w:vAlign w:val="center"/>
                </w:tcPr>
                <w:p>
                  <w:pPr>
                    <w:snapToGrid w:val="0"/>
                    <w:spacing w:line="240" w:lineRule="atLeas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473" w:type="pct"/>
                  <w:vMerge w:val="restart"/>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运营期</w:t>
                  </w:r>
                </w:p>
              </w:tc>
              <w:tc>
                <w:tcPr>
                  <w:tcW w:w="461" w:type="pct"/>
                  <w:vMerge w:val="restar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59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焊接烟气</w:t>
                  </w:r>
                </w:p>
              </w:tc>
              <w:tc>
                <w:tcPr>
                  <w:tcW w:w="2548" w:type="pct"/>
                  <w:vAlign w:val="top"/>
                </w:tcPr>
                <w:p>
                  <w:pPr>
                    <w:pStyle w:val="100"/>
                    <w:spacing w:before="58" w:line="228" w:lineRule="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编笼焊接烟气经移动式焊烟净化器处理后无组织排放</w:t>
                  </w:r>
                </w:p>
              </w:tc>
              <w:tc>
                <w:tcPr>
                  <w:tcW w:w="925" w:type="pct"/>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vMerge w:val="continue"/>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59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原料堆放粉尘</w:t>
                  </w:r>
                </w:p>
              </w:tc>
              <w:tc>
                <w:tcPr>
                  <w:tcW w:w="2548" w:type="pct"/>
                  <w:vAlign w:val="top"/>
                </w:tcPr>
                <w:p>
                  <w:pPr>
                    <w:pStyle w:val="100"/>
                    <w:spacing w:before="59" w:line="228" w:lineRule="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原料堆放区采用篷布遮盖、洒水、密闭厂房</w:t>
                  </w:r>
                </w:p>
              </w:tc>
              <w:tc>
                <w:tcPr>
                  <w:tcW w:w="925" w:type="pct"/>
                  <w:vAlign w:val="center"/>
                </w:tcPr>
                <w:p>
                  <w:pPr>
                    <w:adjustRightInd w:val="0"/>
                    <w:snapToGrid w:val="0"/>
                    <w:spacing w:line="320" w:lineRule="exact"/>
                    <w:jc w:val="center"/>
                    <w:textAlignment w:val="baseline"/>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vMerge w:val="continue"/>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59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锅炉废气</w:t>
                  </w:r>
                </w:p>
              </w:tc>
              <w:tc>
                <w:tcPr>
                  <w:tcW w:w="2548" w:type="pct"/>
                  <w:vAlign w:val="top"/>
                </w:tcPr>
                <w:p>
                  <w:pPr>
                    <w:pStyle w:val="100"/>
                    <w:spacing w:before="59" w:line="228" w:lineRule="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燃气锅炉经低氮燃烧器处理后由8m高排气筒排放</w:t>
                  </w:r>
                </w:p>
              </w:tc>
              <w:tc>
                <w:tcPr>
                  <w:tcW w:w="925" w:type="pct"/>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vMerge w:val="continue"/>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59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搅拌粉尘</w:t>
                  </w:r>
                </w:p>
              </w:tc>
              <w:tc>
                <w:tcPr>
                  <w:tcW w:w="2548" w:type="pct"/>
                  <w:vAlign w:val="top"/>
                </w:tcPr>
                <w:p>
                  <w:pPr>
                    <w:pStyle w:val="100"/>
                    <w:spacing w:before="59" w:line="228" w:lineRule="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各筒仓均配套脉冲除尘器，</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处理后排放</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搅拌、混料经布袋除尘器除尘后由无组织排放</w:t>
                  </w:r>
                </w:p>
              </w:tc>
              <w:tc>
                <w:tcPr>
                  <w:tcW w:w="925" w:type="pct"/>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p>
              </w:tc>
              <w:tc>
                <w:tcPr>
                  <w:tcW w:w="59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员工生活污水</w:t>
                  </w:r>
                </w:p>
              </w:tc>
              <w:tc>
                <w:tcPr>
                  <w:tcW w:w="2548" w:type="pct"/>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经化粪池预处理后</w:t>
                  </w:r>
                  <w:r>
                    <w:rPr>
                      <w:rFonts w:hint="default" w:ascii="Times New Roman" w:hAnsi="Times New Roman" w:eastAsia="宋体" w:cs="Times New Roman"/>
                      <w:color w:val="000000" w:themeColor="text1"/>
                      <w:szCs w:val="21"/>
                      <w14:textFill>
                        <w14:solidFill>
                          <w14:schemeClr w14:val="tx1"/>
                        </w14:solidFill>
                      </w14:textFill>
                    </w:rPr>
                    <w:t>排入</w:t>
                  </w:r>
                  <w:r>
                    <w:rPr>
                      <w:rFonts w:hint="eastAsia" w:ascii="Times New Roman" w:hAnsi="Times New Roman" w:eastAsia="宋体" w:cs="Times New Roman"/>
                      <w:color w:val="000000" w:themeColor="text1"/>
                      <w:szCs w:val="21"/>
                      <w:lang w:val="en-US" w:eastAsia="zh-CN"/>
                      <w14:textFill>
                        <w14:solidFill>
                          <w14:schemeClr w14:val="tx1"/>
                        </w14:solidFill>
                      </w14:textFill>
                    </w:rPr>
                    <w:t>市政污水</w:t>
                  </w:r>
                  <w:r>
                    <w:rPr>
                      <w:rFonts w:hint="default" w:ascii="Times New Roman" w:hAnsi="Times New Roman" w:eastAsia="宋体" w:cs="Times New Roman"/>
                      <w:color w:val="000000" w:themeColor="text1"/>
                      <w:szCs w:val="21"/>
                      <w14:textFill>
                        <w14:solidFill>
                          <w14:schemeClr w14:val="tx1"/>
                        </w14:solidFill>
                      </w14:textFill>
                    </w:rPr>
                    <w:t>管网，进入</w:t>
                  </w:r>
                  <w:r>
                    <w:rPr>
                      <w:rFonts w:hint="eastAsia" w:ascii="Times New Roman" w:hAnsi="Times New Roman" w:eastAsia="宋体" w:cs="Times New Roman"/>
                      <w:color w:val="000000" w:themeColor="text1"/>
                      <w:szCs w:val="21"/>
                      <w:lang w:val="en-US" w:eastAsia="zh-CN"/>
                      <w14:textFill>
                        <w14:solidFill>
                          <w14:schemeClr w14:val="tx1"/>
                        </w14:solidFill>
                      </w14:textFill>
                    </w:rPr>
                    <w:t>园区污水处理厂</w:t>
                  </w:r>
                  <w:r>
                    <w:rPr>
                      <w:rFonts w:hint="default" w:ascii="Times New Roman" w:hAnsi="Times New Roman" w:eastAsia="宋体" w:cs="Times New Roman"/>
                      <w:color w:val="000000" w:themeColor="text1"/>
                      <w:szCs w:val="21"/>
                      <w14:textFill>
                        <w14:solidFill>
                          <w14:schemeClr w14:val="tx1"/>
                        </w14:solidFill>
                      </w14:textFill>
                    </w:rPr>
                    <w:t>处理</w:t>
                  </w:r>
                </w:p>
              </w:tc>
              <w:tc>
                <w:tcPr>
                  <w:tcW w:w="925" w:type="pct"/>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p>
              </w:tc>
              <w:tc>
                <w:tcPr>
                  <w:tcW w:w="59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zCs w:val="21"/>
                      <w14:textFill>
                        <w14:solidFill>
                          <w14:schemeClr w14:val="tx1"/>
                        </w14:solidFill>
                      </w14:textFill>
                    </w:rPr>
                    <w:t xml:space="preserve">废水 </w:t>
                  </w:r>
                </w:p>
              </w:tc>
              <w:tc>
                <w:tcPr>
                  <w:tcW w:w="2548"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eastAsia" w:eastAsiaTheme="minorEastAsia"/>
                      <w:color w:val="000000" w:themeColor="text1"/>
                      <w:kern w:val="0"/>
                      <w:szCs w:val="21"/>
                      <w:lang w:val="en-US" w:eastAsia="zh-CN" w:bidi="ar"/>
                      <w14:textFill>
                        <w14:solidFill>
                          <w14:schemeClr w14:val="tx1"/>
                        </w14:solidFill>
                      </w14:textFill>
                    </w:rPr>
                    <w:t>生产废水经收集、沉淀后循环使用不外排</w:t>
                  </w:r>
                  <w:r>
                    <w:rPr>
                      <w:rFonts w:hint="eastAsia" w:ascii="宋体" w:hAnsi="宋体" w:cs="宋体"/>
                      <w:color w:val="000000" w:themeColor="text1"/>
                      <w:kern w:val="0"/>
                      <w:szCs w:val="21"/>
                      <w14:textFill>
                        <w14:solidFill>
                          <w14:schemeClr w14:val="tx1"/>
                        </w14:solidFill>
                      </w14:textFill>
                    </w:rPr>
                    <w:t>。</w:t>
                  </w:r>
                </w:p>
              </w:tc>
              <w:tc>
                <w:tcPr>
                  <w:tcW w:w="925"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w:t>
                  </w:r>
                </w:p>
              </w:tc>
              <w:tc>
                <w:tcPr>
                  <w:tcW w:w="59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设备噪声</w:t>
                  </w:r>
                </w:p>
              </w:tc>
              <w:tc>
                <w:tcPr>
                  <w:tcW w:w="2548"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4"/>
                      <w:szCs w:val="21"/>
                      <w14:textFill>
                        <w14:solidFill>
                          <w14:schemeClr w14:val="tx1"/>
                        </w14:solidFill>
                      </w14:textFill>
                    </w:rPr>
                    <w:t>选用低噪声设备，隔声、减振安装，</w:t>
                  </w:r>
                  <w:r>
                    <w:rPr>
                      <w:rFonts w:hint="default" w:ascii="Times New Roman" w:hAnsi="Times New Roman" w:eastAsia="宋体" w:cs="Times New Roman"/>
                      <w:color w:val="000000" w:themeColor="text1"/>
                      <w:szCs w:val="21"/>
                      <w14:textFill>
                        <w14:solidFill>
                          <w14:schemeClr w14:val="tx1"/>
                        </w14:solidFill>
                      </w14:textFill>
                    </w:rPr>
                    <w:t>设备定期维护保养</w:t>
                  </w:r>
                </w:p>
              </w:tc>
              <w:tc>
                <w:tcPr>
                  <w:tcW w:w="925" w:type="pct"/>
                  <w:shd w:val="clear" w:color="auto" w:fill="auto"/>
                  <w:vAlign w:val="center"/>
                </w:tcPr>
                <w:p>
                  <w:pPr>
                    <w:adjustRightInd w:val="0"/>
                    <w:snapToGrid w:val="0"/>
                    <w:spacing w:line="320" w:lineRule="exact"/>
                    <w:jc w:val="center"/>
                    <w:textAlignment w:val="baseline"/>
                    <w:rPr>
                      <w:rFonts w:hint="eastAsia" w:ascii="Times New Roman" w:hAnsi="Times New Roman" w:eastAsia="宋体" w:cs="Times New Roman"/>
                      <w:color w:val="000000" w:themeColor="text1"/>
                      <w:kern w:val="24"/>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4"/>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98"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vMerge w:val="restar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c>
                <w:tcPr>
                  <w:tcW w:w="59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一般固废</w:t>
                  </w:r>
                </w:p>
              </w:tc>
              <w:tc>
                <w:tcPr>
                  <w:tcW w:w="2548" w:type="pct"/>
                  <w:shd w:val="clear" w:color="auto" w:fill="auto"/>
                  <w:vAlign w:val="center"/>
                </w:tcPr>
                <w:p>
                  <w:pPr>
                    <w:overflowPunct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生活垃圾收集于垃圾收集点后清运至垃圾处理场</w:t>
                  </w:r>
                </w:p>
              </w:tc>
              <w:tc>
                <w:tcPr>
                  <w:tcW w:w="925"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461" w:type="pct"/>
                  <w:vMerge w:val="continue"/>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59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生活垃圾</w:t>
                  </w:r>
                </w:p>
              </w:tc>
              <w:tc>
                <w:tcPr>
                  <w:tcW w:w="2548" w:type="pct"/>
                  <w:shd w:val="clear" w:color="auto" w:fill="auto"/>
                  <w:vAlign w:val="center"/>
                </w:tcPr>
                <w:p>
                  <w:pPr>
                    <w:pStyle w:val="100"/>
                    <w:spacing w:before="66" w:line="228" w:lineRule="auto"/>
                    <w:ind w:left="8" w:leftChars="0"/>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混凝土渣、废铁渣、废钢棒端头</w:t>
                  </w:r>
                  <w:r>
                    <w:rPr>
                      <w:rFonts w:hint="eastAsia" w:ascii="Times New Roman" w:hAnsi="Times New Roman" w:cs="Times New Roman"/>
                      <w:color w:val="000000" w:themeColor="text1"/>
                      <w:spacing w:val="7"/>
                      <w:sz w:val="21"/>
                      <w:szCs w:val="21"/>
                      <w:lang w:eastAsia="zh-CN"/>
                      <w14:textFill>
                        <w14:solidFill>
                          <w14:schemeClr w14:val="tx1"/>
                        </w14:solidFill>
                      </w14:textFill>
                    </w:rPr>
                    <w:t>、</w:t>
                  </w:r>
                  <w:r>
                    <w:rPr>
                      <w:rFonts w:hint="eastAsia" w:ascii="Times New Roman" w:hAnsi="Times New Roman" w:cs="Times New Roman"/>
                      <w:color w:val="000000" w:themeColor="text1"/>
                      <w:spacing w:val="7"/>
                      <w:sz w:val="21"/>
                      <w:szCs w:val="21"/>
                      <w:lang w:val="en-US" w:eastAsia="zh-CN"/>
                      <w14:textFill>
                        <w14:solidFill>
                          <w14:schemeClr w14:val="tx1"/>
                        </w14:solidFill>
                      </w14:textFill>
                    </w:rPr>
                    <w:t>沉淀池底泥</w:t>
                  </w:r>
                  <w:r>
                    <w:rPr>
                      <w:rFonts w:hint="default" w:ascii="Times New Roman" w:hAnsi="Times New Roman" w:cs="Times New Roman"/>
                      <w:color w:val="000000" w:themeColor="text1"/>
                      <w:spacing w:val="7"/>
                      <w:sz w:val="21"/>
                      <w:szCs w:val="21"/>
                      <w14:textFill>
                        <w14:solidFill>
                          <w14:schemeClr w14:val="tx1"/>
                        </w14:solidFill>
                      </w14:textFill>
                    </w:rPr>
                    <w:t>集中</w:t>
                  </w:r>
                  <w:r>
                    <w:rPr>
                      <w:rFonts w:hint="default" w:ascii="Times New Roman" w:hAnsi="Times New Roman" w:cs="Times New Roman"/>
                      <w:color w:val="000000" w:themeColor="text1"/>
                      <w:spacing w:val="6"/>
                      <w:sz w:val="21"/>
                      <w:szCs w:val="21"/>
                      <w14:textFill>
                        <w14:solidFill>
                          <w14:schemeClr w14:val="tx1"/>
                        </w14:solidFill>
                      </w14:textFill>
                    </w:rPr>
                    <w:t>收集后外售综合利用；废离子交换树</w:t>
                  </w:r>
                  <w:r>
                    <w:rPr>
                      <w:rFonts w:hint="default" w:ascii="Times New Roman" w:hAnsi="Times New Roman" w:cs="Times New Roman"/>
                      <w:color w:val="000000" w:themeColor="text1"/>
                      <w:spacing w:val="8"/>
                      <w:sz w:val="21"/>
                      <w:szCs w:val="21"/>
                      <w14:textFill>
                        <w14:solidFill>
                          <w14:schemeClr w14:val="tx1"/>
                        </w14:solidFill>
                      </w14:textFill>
                    </w:rPr>
                    <w:t>脂由原厂回收综合利用</w:t>
                  </w:r>
                  <w:r>
                    <w:rPr>
                      <w:rFonts w:hint="eastAsia" w:ascii="Times New Roman" w:hAnsi="Times New Roman" w:cs="Times New Roman"/>
                      <w:color w:val="000000" w:themeColor="text1"/>
                      <w:spacing w:val="8"/>
                      <w:sz w:val="21"/>
                      <w:szCs w:val="21"/>
                      <w:lang w:eastAsia="zh-CN"/>
                      <w14:textFill>
                        <w14:solidFill>
                          <w14:schemeClr w14:val="tx1"/>
                        </w14:solidFill>
                      </w14:textFill>
                    </w:rPr>
                    <w:t>，</w:t>
                  </w:r>
                  <w:r>
                    <w:rPr>
                      <w:rFonts w:hint="eastAsia" w:ascii="Times New Roman" w:hAnsi="Times New Roman" w:cs="Times New Roman"/>
                      <w:color w:val="000000" w:themeColor="text1"/>
                      <w:spacing w:val="8"/>
                      <w:sz w:val="21"/>
                      <w:szCs w:val="21"/>
                      <w:lang w:val="en-US" w:eastAsia="zh-CN"/>
                      <w14:textFill>
                        <w14:solidFill>
                          <w14:schemeClr w14:val="tx1"/>
                        </w14:solidFill>
                      </w14:textFill>
                    </w:rPr>
                    <w:t>回收粉尘回用于生产</w:t>
                  </w:r>
                </w:p>
              </w:tc>
              <w:tc>
                <w:tcPr>
                  <w:tcW w:w="925" w:type="pct"/>
                  <w:shd w:val="clear" w:color="auto" w:fill="auto"/>
                  <w:vAlign w:val="center"/>
                </w:tcPr>
                <w:p>
                  <w:pPr>
                    <w:adjustRightInd w:val="0"/>
                    <w:snapToGrid w:val="0"/>
                    <w:spacing w:line="320" w:lineRule="exact"/>
                    <w:jc w:val="center"/>
                    <w:textAlignment w:val="baseline"/>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473" w:type="pct"/>
                  <w:vMerge w:val="continue"/>
                  <w:vAlign w:val="center"/>
                </w:tcPr>
                <w:p>
                  <w:pPr>
                    <w:adjustRightInd w:val="0"/>
                    <w:snapToGrid w:val="0"/>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461" w:type="pct"/>
                  <w:shd w:val="clear" w:color="auto" w:fill="auto"/>
                  <w:vAlign w:val="center"/>
                </w:tcPr>
                <w:p>
                  <w:pPr>
                    <w:adjustRightInd w:val="0"/>
                    <w:snapToGrid w:val="0"/>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生态保护</w:t>
                  </w:r>
                </w:p>
              </w:tc>
              <w:tc>
                <w:tcPr>
                  <w:tcW w:w="591"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绿化</w:t>
                  </w:r>
                </w:p>
              </w:tc>
              <w:tc>
                <w:tcPr>
                  <w:tcW w:w="2548"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绿化</w:t>
                  </w:r>
                </w:p>
              </w:tc>
              <w:tc>
                <w:tcPr>
                  <w:tcW w:w="925" w:type="pct"/>
                  <w:shd w:val="clear" w:color="auto" w:fill="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473" w:type="pct"/>
                  <w:vMerge w:val="continue"/>
                  <w:vAlign w:val="center"/>
                </w:tcPr>
                <w:p>
                  <w:pPr>
                    <w:adjustRightInd w:val="0"/>
                    <w:snapToGrid w:val="0"/>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1052" w:type="pct"/>
                  <w:gridSpan w:val="2"/>
                  <w:vMerge w:val="restar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环境管理</w:t>
                  </w:r>
                </w:p>
              </w:tc>
              <w:tc>
                <w:tcPr>
                  <w:tcW w:w="2548"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排污许可、竣工环境保护验收、自行监测等</w:t>
                  </w:r>
                </w:p>
              </w:tc>
              <w:tc>
                <w:tcPr>
                  <w:tcW w:w="925"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473" w:type="pct"/>
                  <w:vMerge w:val="continue"/>
                  <w:vAlign w:val="center"/>
                </w:tcPr>
                <w:p>
                  <w:pPr>
                    <w:adjustRightInd w:val="0"/>
                    <w:snapToGrid w:val="0"/>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1052" w:type="pct"/>
                  <w:gridSpan w:val="2"/>
                  <w:vMerge w:val="continue"/>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2548"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分区防渗</w:t>
                  </w:r>
                </w:p>
              </w:tc>
              <w:tc>
                <w:tcPr>
                  <w:tcW w:w="925" w:type="pct"/>
                  <w:shd w:val="clear" w:color="auto" w:fill="auto"/>
                  <w:vAlign w:val="center"/>
                </w:tcPr>
                <w:p>
                  <w:pPr>
                    <w:adjustRightInd w:val="0"/>
                    <w:snapToGrid w:val="0"/>
                    <w:spacing w:line="320" w:lineRule="exact"/>
                    <w:jc w:val="center"/>
                    <w:textAlignment w:val="baseline"/>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473" w:type="pct"/>
                  <w:vMerge w:val="continue"/>
                  <w:vAlign w:val="center"/>
                </w:tcPr>
                <w:p>
                  <w:pPr>
                    <w:adjustRightInd w:val="0"/>
                    <w:snapToGrid w:val="0"/>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p>
              </w:tc>
              <w:tc>
                <w:tcPr>
                  <w:tcW w:w="1052" w:type="pct"/>
                  <w:gridSpan w:val="2"/>
                  <w:vMerge w:val="continue"/>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2548" w:type="pct"/>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环境风险防范</w:t>
                  </w:r>
                </w:p>
              </w:tc>
              <w:tc>
                <w:tcPr>
                  <w:tcW w:w="925" w:type="pct"/>
                  <w:shd w:val="clear" w:color="auto" w:fill="auto"/>
                  <w:vAlign w:val="center"/>
                </w:tcPr>
                <w:p>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473" w:type="pct"/>
                  <w:vMerge w:val="continue"/>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p>
              </w:tc>
              <w:tc>
                <w:tcPr>
                  <w:tcW w:w="3601" w:type="pct"/>
                  <w:gridSpan w:val="3"/>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合计</w:t>
                  </w:r>
                </w:p>
              </w:tc>
              <w:tc>
                <w:tcPr>
                  <w:tcW w:w="925" w:type="pct"/>
                  <w:shd w:val="clear" w:color="auto" w:fill="auto"/>
                  <w:vAlign w:val="center"/>
                </w:tcPr>
                <w:p>
                  <w:pPr>
                    <w:adjustRightInd w:val="0"/>
                    <w:snapToGrid w:val="0"/>
                    <w:spacing w:line="320" w:lineRule="exact"/>
                    <w:jc w:val="center"/>
                    <w:textAlignment w:val="baseline"/>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151</w:t>
                  </w:r>
                </w:p>
              </w:tc>
            </w:tr>
          </w:tbl>
          <w:p>
            <w:pPr>
              <w:keepNext/>
              <w:keepLines/>
              <w:spacing w:line="360" w:lineRule="auto"/>
              <w:outlineLvl w:val="2"/>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lang w:bidi="ar"/>
                <w14:textFill>
                  <w14:solidFill>
                    <w14:schemeClr w14:val="tx1"/>
                  </w14:solidFill>
                </w14:textFill>
              </w:rPr>
              <w:t>9. “三同时”验收</w:t>
            </w:r>
          </w:p>
          <w:p>
            <w:pPr>
              <w:adjustRightInd w:val="0"/>
              <w:spacing w:line="360" w:lineRule="auto"/>
              <w:ind w:firstLine="480" w:firstLineChars="200"/>
              <w:textAlignment w:val="baseline"/>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建设项</w:t>
            </w:r>
            <w:r>
              <w:rPr>
                <w:rFonts w:hint="default" w:ascii="Times New Roman" w:hAnsi="Times New Roman" w:eastAsia="宋体" w:cs="Times New Roman"/>
                <w:color w:val="000000" w:themeColor="text1"/>
                <w:kern w:val="0"/>
                <w:sz w:val="24"/>
                <w:lang w:bidi="ar"/>
                <w14:textFill>
                  <w14:solidFill>
                    <w14:schemeClr w14:val="tx1"/>
                  </w14:solidFill>
                </w14:textFill>
              </w:rPr>
              <w:t>目必须严格执行“三同时”制度。按工程质量和环保要求对项目进行全面环境管理。“三同时”验收内容详见表4-</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23</w:t>
            </w:r>
            <w:r>
              <w:rPr>
                <w:rFonts w:hint="default" w:ascii="Times New Roman" w:hAnsi="Times New Roman" w:eastAsia="宋体" w:cs="Times New Roman"/>
                <w:color w:val="000000" w:themeColor="text1"/>
                <w:kern w:val="0"/>
                <w:sz w:val="24"/>
                <w:lang w:bidi="ar"/>
                <w14:textFill>
                  <w14:solidFill>
                    <w14:schemeClr w14:val="tx1"/>
                  </w14:solidFill>
                </w14:textFill>
              </w:rPr>
              <w:t>。</w:t>
            </w:r>
          </w:p>
          <w:p>
            <w:pPr>
              <w:adjustRightInd w:val="0"/>
              <w:snapToGrid w:val="0"/>
              <w:spacing w:line="360" w:lineRule="auto"/>
              <w:ind w:firstLine="1762" w:firstLineChars="836"/>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Cs w:val="21"/>
                <w:lang w:bidi="ar"/>
                <w14:textFill>
                  <w14:solidFill>
                    <w14:schemeClr w14:val="tx1"/>
                  </w14:solidFill>
                </w14:textFill>
              </w:rPr>
              <w:t>表4-</w:t>
            </w:r>
            <w:r>
              <w:rPr>
                <w:rFonts w:hint="default" w:ascii="Times New Roman" w:hAnsi="Times New Roman" w:cs="Times New Roman"/>
                <w:b/>
                <w:bCs/>
                <w:color w:val="000000" w:themeColor="text1"/>
                <w:kern w:val="0"/>
                <w:szCs w:val="21"/>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Cs w:val="21"/>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Cs w:val="21"/>
                <w:lang w:bidi="ar"/>
                <w14:textFill>
                  <w14:solidFill>
                    <w14:schemeClr w14:val="tx1"/>
                  </w14:solidFill>
                </w14:textFill>
              </w:rPr>
              <w:t xml:space="preserve">         “三同时”验收一览表</w:t>
            </w:r>
          </w:p>
          <w:tbl>
            <w:tblPr>
              <w:tblStyle w:val="24"/>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13"/>
              <w:gridCol w:w="3671"/>
              <w:gridCol w:w="2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68"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时期</w:t>
                  </w:r>
                </w:p>
              </w:tc>
              <w:tc>
                <w:tcPr>
                  <w:tcW w:w="1113"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污染源</w:t>
                  </w:r>
                </w:p>
              </w:tc>
              <w:tc>
                <w:tcPr>
                  <w:tcW w:w="3671"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环保措施</w:t>
                  </w:r>
                </w:p>
              </w:tc>
              <w:tc>
                <w:tcPr>
                  <w:tcW w:w="2566"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bidi="ar"/>
                      <w14:textFill>
                        <w14:solidFill>
                          <w14:schemeClr w14:val="tx1"/>
                        </w14:solidFill>
                      </w14:textFill>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68" w:type="dxa"/>
                  <w:vMerge w:val="restart"/>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w:t>
                  </w:r>
                </w:p>
                <w:p>
                  <w:pPr>
                    <w:widowControl/>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w:t>
                  </w:r>
                </w:p>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期</w:t>
                  </w:r>
                </w:p>
              </w:tc>
              <w:tc>
                <w:tcPr>
                  <w:tcW w:w="1113"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粉尘</w:t>
                  </w:r>
                </w:p>
              </w:tc>
              <w:tc>
                <w:tcPr>
                  <w:tcW w:w="3671"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定时洒水、车辆运输时覆盖帆布。</w:t>
                  </w:r>
                </w:p>
              </w:tc>
              <w:tc>
                <w:tcPr>
                  <w:tcW w:w="2566"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《大气污染物综合排放标准》（GB16297-1996）新污染源颗粒物无组织排放浓度限值1.0mg/m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68" w:type="dxa"/>
                  <w:vMerge w:val="continue"/>
                  <w:tcBorders>
                    <w:tl2br w:val="nil"/>
                    <w:tr2bl w:val="nil"/>
                  </w:tcBorders>
                  <w:shd w:val="clear" w:color="auto" w:fill="auto"/>
                  <w:vAlign w:val="center"/>
                </w:tcPr>
                <w:p>
                  <w:pPr>
                    <w:widowControl/>
                    <w:jc w:val="left"/>
                    <w:rPr>
                      <w:rFonts w:hint="default" w:ascii="Times New Roman" w:hAnsi="Times New Roman" w:eastAsia="宋体" w:cs="Times New Roman"/>
                      <w:b/>
                      <w:color w:val="000000" w:themeColor="text1"/>
                      <w:sz w:val="21"/>
                      <w:szCs w:val="21"/>
                      <w:lang w:bidi="ar"/>
                      <w14:textFill>
                        <w14:solidFill>
                          <w14:schemeClr w14:val="tx1"/>
                        </w14:solidFill>
                      </w14:textFill>
                    </w:rPr>
                  </w:pPr>
                </w:p>
              </w:tc>
              <w:tc>
                <w:tcPr>
                  <w:tcW w:w="1113"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固体废物</w:t>
                  </w:r>
                </w:p>
              </w:tc>
              <w:tc>
                <w:tcPr>
                  <w:tcW w:w="3671"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建筑垃圾和能回收的废材料、废包装袋分别收集堆放，及时出售给废品回收公司处理</w:t>
                  </w:r>
                </w:p>
              </w:tc>
              <w:tc>
                <w:tcPr>
                  <w:tcW w:w="2566"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68" w:type="dxa"/>
                  <w:vMerge w:val="continue"/>
                  <w:tcBorders>
                    <w:tl2br w:val="nil"/>
                    <w:tr2bl w:val="nil"/>
                  </w:tcBorders>
                  <w:shd w:val="clear" w:color="auto" w:fill="auto"/>
                  <w:vAlign w:val="center"/>
                </w:tcPr>
                <w:p>
                  <w:pPr>
                    <w:widowControl/>
                    <w:jc w:val="left"/>
                    <w:rPr>
                      <w:rFonts w:hint="default" w:ascii="Times New Roman" w:hAnsi="Times New Roman" w:eastAsia="宋体" w:cs="Times New Roman"/>
                      <w:b/>
                      <w:color w:val="000000" w:themeColor="text1"/>
                      <w:sz w:val="21"/>
                      <w:szCs w:val="21"/>
                      <w:lang w:bidi="ar"/>
                      <w14:textFill>
                        <w14:solidFill>
                          <w14:schemeClr w14:val="tx1"/>
                        </w14:solidFill>
                      </w14:textFill>
                    </w:rPr>
                  </w:pPr>
                </w:p>
              </w:tc>
              <w:tc>
                <w:tcPr>
                  <w:tcW w:w="1113"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3671" w:type="dxa"/>
                  <w:tcBorders>
                    <w:tl2br w:val="nil"/>
                    <w:tr2bl w:val="nil"/>
                  </w:tcBorders>
                  <w:shd w:val="clear" w:color="auto" w:fill="auto"/>
                  <w:vAlign w:val="center"/>
                </w:tcPr>
                <w:p>
                  <w:pPr>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施工废水通过建设沉淀池，处理后回用于场地洒水降尘，不外排。生活污水</w:t>
                  </w:r>
                  <w:r>
                    <w:rPr>
                      <w:rFonts w:hint="default" w:ascii="Times New Roman" w:hAnsi="Times New Roman" w:eastAsia="宋体" w:cs="Times New Roman"/>
                      <w:color w:val="000000" w:themeColor="text1"/>
                      <w:kern w:val="0"/>
                      <w:sz w:val="21"/>
                      <w:szCs w:val="21"/>
                      <w14:textFill>
                        <w14:solidFill>
                          <w14:schemeClr w14:val="tx1"/>
                        </w14:solidFill>
                      </w14:textFill>
                    </w:rPr>
                    <w:t>经临时化粪池处理后用作绿化，待施工期结束后，临时化粪池覆土填埋。</w:t>
                  </w:r>
                </w:p>
              </w:tc>
              <w:tc>
                <w:tcPr>
                  <w:tcW w:w="2566"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68" w:type="dxa"/>
                  <w:vMerge w:val="continue"/>
                  <w:tcBorders>
                    <w:tl2br w:val="nil"/>
                    <w:tr2bl w:val="nil"/>
                  </w:tcBorders>
                  <w:shd w:val="clear" w:color="auto" w:fill="auto"/>
                  <w:vAlign w:val="center"/>
                </w:tcPr>
                <w:p>
                  <w:pPr>
                    <w:widowControl/>
                    <w:jc w:val="left"/>
                    <w:rPr>
                      <w:rFonts w:hint="default" w:ascii="Times New Roman" w:hAnsi="Times New Roman" w:eastAsia="宋体" w:cs="Times New Roman"/>
                      <w:b/>
                      <w:color w:val="000000" w:themeColor="text1"/>
                      <w:sz w:val="21"/>
                      <w:szCs w:val="21"/>
                      <w:lang w:bidi="ar"/>
                      <w14:textFill>
                        <w14:solidFill>
                          <w14:schemeClr w14:val="tx1"/>
                        </w14:solidFill>
                      </w14:textFill>
                    </w:rPr>
                  </w:pPr>
                </w:p>
              </w:tc>
              <w:tc>
                <w:tcPr>
                  <w:tcW w:w="1113"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3671"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采用消声、隔声等防治措施</w:t>
                  </w:r>
                </w:p>
              </w:tc>
              <w:tc>
                <w:tcPr>
                  <w:tcW w:w="2566"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《建筑施工场界环境噪声排放标准》（GB12523-2011）的标准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68" w:type="dxa"/>
                  <w:vMerge w:val="restart"/>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运</w:t>
                  </w:r>
                </w:p>
                <w:p>
                  <w:pPr>
                    <w:overflowPunct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营</w:t>
                  </w:r>
                </w:p>
                <w:p>
                  <w:pPr>
                    <w:overflowPunct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期</w:t>
                  </w:r>
                </w:p>
              </w:tc>
              <w:tc>
                <w:tcPr>
                  <w:tcW w:w="1113" w:type="dxa"/>
                  <w:vMerge w:val="restart"/>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3671"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各筒仓均配套脉冲除尘器，</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处理后排放，</w:t>
                  </w:r>
                  <w:r>
                    <w:rPr>
                      <w:rFonts w:hint="eastAsia" w:ascii="Times New Roman" w:hAnsi="Times New Roman" w:eastAsia="宋体" w:cs="Times New Roman"/>
                      <w:color w:val="000000" w:themeColor="text1"/>
                      <w:sz w:val="21"/>
                      <w:szCs w:val="21"/>
                      <w14:textFill>
                        <w14:solidFill>
                          <w14:schemeClr w14:val="tx1"/>
                        </w14:solidFill>
                      </w14:textFill>
                    </w:rPr>
                    <w:t>搅拌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粉尘经</w:t>
                  </w:r>
                  <w:r>
                    <w:rPr>
                      <w:rFonts w:hint="eastAsia" w:ascii="Times New Roman" w:hAnsi="Times New Roman" w:eastAsia="宋体" w:cs="Times New Roman"/>
                      <w:color w:val="000000" w:themeColor="text1"/>
                      <w:sz w:val="21"/>
                      <w:szCs w:val="21"/>
                      <w14:textFill>
                        <w14:solidFill>
                          <w14:schemeClr w14:val="tx1"/>
                        </w14:solidFill>
                      </w14:textFill>
                    </w:rPr>
                    <w:t>布袋除尘器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w:t>
                  </w:r>
                  <w:r>
                    <w:rPr>
                      <w:rFonts w:hint="eastAsia" w:cs="Times New Roman"/>
                      <w:color w:val="000000" w:themeColor="text1"/>
                      <w:sz w:val="21"/>
                      <w:szCs w:val="21"/>
                      <w:lang w:val="en-US" w:eastAsia="zh-CN"/>
                      <w14:textFill>
                        <w14:solidFill>
                          <w14:schemeClr w14:val="tx1"/>
                        </w14:solidFill>
                      </w14:textFill>
                    </w:rPr>
                    <w:t>无组织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排放</w:t>
                  </w:r>
                </w:p>
              </w:tc>
              <w:tc>
                <w:tcPr>
                  <w:tcW w:w="2566" w:type="dxa"/>
                  <w:vMerge w:val="restart"/>
                  <w:tcBorders>
                    <w:tl2br w:val="nil"/>
                    <w:tr2bl w:val="nil"/>
                  </w:tcBorders>
                  <w:shd w:val="clear" w:color="auto" w:fill="auto"/>
                  <w:vAlign w:val="center"/>
                </w:tcPr>
                <w:p>
                  <w:pPr>
                    <w:overflowPunct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《水泥工业大气污染物排放标准》（GB4915-2013）表 3 大气污染物无组织排放限值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68" w:type="dxa"/>
                  <w:vMerge w:val="continue"/>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113" w:type="dxa"/>
                  <w:vMerge w:val="continue"/>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671"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pacing w:val="7"/>
                      <w:sz w:val="21"/>
                      <w:szCs w:val="21"/>
                      <w14:textFill>
                        <w14:solidFill>
                          <w14:schemeClr w14:val="tx1"/>
                        </w14:solidFill>
                      </w14:textFill>
                    </w:rPr>
                    <w:t>项目</w:t>
                  </w:r>
                  <w:r>
                    <w:rPr>
                      <w:rFonts w:hint="eastAsia"/>
                      <w:color w:val="000000" w:themeColor="text1"/>
                      <w:spacing w:val="7"/>
                      <w:sz w:val="21"/>
                      <w:szCs w:val="21"/>
                      <w:lang w:val="en-US" w:eastAsia="zh-CN"/>
                      <w14:textFill>
                        <w14:solidFill>
                          <w14:schemeClr w14:val="tx1"/>
                        </w14:solidFill>
                      </w14:textFill>
                    </w:rPr>
                    <w:t>原料库</w:t>
                  </w:r>
                  <w:r>
                    <w:rPr>
                      <w:color w:val="000000" w:themeColor="text1"/>
                      <w:spacing w:val="7"/>
                      <w:sz w:val="21"/>
                      <w:szCs w:val="21"/>
                      <w14:textFill>
                        <w14:solidFill>
                          <w14:schemeClr w14:val="tx1"/>
                        </w14:solidFill>
                      </w14:textFill>
                    </w:rPr>
                    <w:t>设置在密闭厂房。厂区道路</w:t>
                  </w:r>
                  <w:r>
                    <w:rPr>
                      <w:color w:val="000000" w:themeColor="text1"/>
                      <w:spacing w:val="2"/>
                      <w:sz w:val="21"/>
                      <w:szCs w:val="21"/>
                      <w14:textFill>
                        <w14:solidFill>
                          <w14:schemeClr w14:val="tx1"/>
                        </w14:solidFill>
                      </w14:textFill>
                    </w:rPr>
                    <w:t xml:space="preserve"> </w:t>
                  </w:r>
                  <w:r>
                    <w:rPr>
                      <w:color w:val="000000" w:themeColor="text1"/>
                      <w:spacing w:val="7"/>
                      <w:sz w:val="21"/>
                      <w:szCs w:val="21"/>
                      <w14:textFill>
                        <w14:solidFill>
                          <w14:schemeClr w14:val="tx1"/>
                        </w14:solidFill>
                      </w14:textFill>
                    </w:rPr>
                    <w:t>硬化、控制车速、密封运输物料等措施</w:t>
                  </w:r>
                  <w:r>
                    <w:rPr>
                      <w:rFonts w:hint="eastAsia"/>
                      <w:color w:val="000000" w:themeColor="text1"/>
                      <w:spacing w:val="7"/>
                      <w:sz w:val="21"/>
                      <w:szCs w:val="21"/>
                      <w:lang w:eastAsia="zh-CN"/>
                      <w14:textFill>
                        <w14:solidFill>
                          <w14:schemeClr w14:val="tx1"/>
                        </w14:solidFill>
                      </w14:textFill>
                    </w:rPr>
                    <w:t>，</w:t>
                  </w:r>
                  <w:r>
                    <w:rPr>
                      <w:rFonts w:hint="eastAsia"/>
                      <w:color w:val="000000" w:themeColor="text1"/>
                      <w:kern w:val="0"/>
                      <w:sz w:val="21"/>
                      <w:szCs w:val="21"/>
                      <w14:textFill>
                        <w14:solidFill>
                          <w14:schemeClr w14:val="tx1"/>
                        </w14:solidFill>
                      </w14:textFill>
                    </w:rPr>
                    <w:t>焊接烟尘经移动式焊烟净化器处理后车间内无组织排放</w:t>
                  </w:r>
                </w:p>
              </w:tc>
              <w:tc>
                <w:tcPr>
                  <w:tcW w:w="2566" w:type="dxa"/>
                  <w:vMerge w:val="continue"/>
                  <w:tcBorders>
                    <w:tl2br w:val="nil"/>
                    <w:tr2bl w:val="nil"/>
                  </w:tcBorders>
                  <w:shd w:val="clear" w:color="auto" w:fill="auto"/>
                  <w:vAlign w:val="center"/>
                </w:tcPr>
                <w:p>
                  <w:pPr>
                    <w:overflowPunct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68" w:type="dxa"/>
                  <w:vMerge w:val="continue"/>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113" w:type="dxa"/>
                  <w:vMerge w:val="continue"/>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671"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锅炉采用低氮燃烧器经8m高排气筒排放</w:t>
                  </w:r>
                </w:p>
              </w:tc>
              <w:tc>
                <w:tcPr>
                  <w:tcW w:w="2566" w:type="dxa"/>
                  <w:tcBorders>
                    <w:tl2br w:val="nil"/>
                    <w:tr2bl w:val="nil"/>
                  </w:tcBorders>
                  <w:shd w:val="clear" w:color="auto" w:fill="auto"/>
                  <w:vAlign w:val="center"/>
                </w:tcPr>
                <w:p>
                  <w:pPr>
                    <w:overflowPunct w:val="0"/>
                    <w:snapToGrid w:val="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《锅炉大气污染物排放标准》（GB13271-2014）</w:t>
                  </w:r>
                  <w:r>
                    <w:rPr>
                      <w:rFonts w:hint="default" w:ascii="Times New Roman" w:hAnsi="Times New Roman" w:eastAsia="宋体" w:cs="Times New Roman"/>
                      <w:color w:val="000000" w:themeColor="text1"/>
                      <w:sz w:val="21"/>
                      <w:szCs w:val="21"/>
                      <w14:textFill>
                        <w14:solidFill>
                          <w14:schemeClr w14:val="tx1"/>
                        </w14:solidFill>
                      </w14:textFill>
                    </w:rPr>
                    <w:t>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新建锅炉大气污染物排放浓度限值中燃气锅炉标准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68" w:type="dxa"/>
                  <w:vMerge w:val="continue"/>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113" w:type="dxa"/>
                  <w:vMerge w:val="restart"/>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废水</w:t>
                  </w:r>
                </w:p>
              </w:tc>
              <w:tc>
                <w:tcPr>
                  <w:tcW w:w="3671"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经化粪池预处理后</w:t>
                  </w:r>
                  <w:r>
                    <w:rPr>
                      <w:rFonts w:hint="default" w:ascii="Times New Roman" w:hAnsi="Times New Roman" w:eastAsia="宋体" w:cs="Times New Roman"/>
                      <w:color w:val="000000" w:themeColor="text1"/>
                      <w:sz w:val="21"/>
                      <w:szCs w:val="21"/>
                      <w14:textFill>
                        <w14:solidFill>
                          <w14:schemeClr w14:val="tx1"/>
                        </w14:solidFill>
                      </w14:textFill>
                    </w:rPr>
                    <w:t>排入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市政污水</w:t>
                  </w:r>
                  <w:r>
                    <w:rPr>
                      <w:rFonts w:hint="default" w:ascii="Times New Roman" w:hAnsi="Times New Roman" w:eastAsia="宋体" w:cs="Times New Roman"/>
                      <w:color w:val="000000" w:themeColor="text1"/>
                      <w:sz w:val="21"/>
                      <w:szCs w:val="21"/>
                      <w14:textFill>
                        <w14:solidFill>
                          <w14:schemeClr w14:val="tx1"/>
                        </w14:solidFill>
                      </w14:textFill>
                    </w:rPr>
                    <w:t>管网，进入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园区污水处理厂</w:t>
                  </w:r>
                  <w:r>
                    <w:rPr>
                      <w:rFonts w:hint="default" w:ascii="Times New Roman" w:hAnsi="Times New Roman" w:eastAsia="宋体" w:cs="Times New Roman"/>
                      <w:color w:val="000000" w:themeColor="text1"/>
                      <w:sz w:val="21"/>
                      <w:szCs w:val="21"/>
                      <w14:textFill>
                        <w14:solidFill>
                          <w14:schemeClr w14:val="tx1"/>
                        </w14:solidFill>
                      </w14:textFill>
                    </w:rPr>
                    <w:t>处理</w:t>
                  </w:r>
                </w:p>
              </w:tc>
              <w:tc>
                <w:tcPr>
                  <w:tcW w:w="2566" w:type="dxa"/>
                  <w:tcBorders>
                    <w:tl2br w:val="nil"/>
                    <w:tr2bl w:val="nil"/>
                  </w:tcBorders>
                  <w:shd w:val="clear" w:color="auto" w:fill="auto"/>
                  <w:vAlign w:val="center"/>
                </w:tcPr>
                <w:p>
                  <w:pPr>
                    <w:pStyle w:val="100"/>
                    <w:spacing w:before="123" w:line="228"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《污水综合排放标准》</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eastAsia="Times New Roman" w:cs="Times New Roman"/>
                      <w:color w:val="000000" w:themeColor="text1"/>
                      <w:sz w:val="21"/>
                      <w:szCs w:val="21"/>
                      <w14:textFill>
                        <w14:solidFill>
                          <w14:schemeClr w14:val="tx1"/>
                        </w14:solidFill>
                      </w14:textFill>
                    </w:rPr>
                    <w:t>GB</w:t>
                  </w:r>
                  <w:r>
                    <w:rPr>
                      <w:rFonts w:hint="default" w:ascii="Times New Roman" w:hAnsi="Times New Roman" w:eastAsia="Times New Roman" w:cs="Times New Roman"/>
                      <w:color w:val="000000" w:themeColor="text1"/>
                      <w:spacing w:val="3"/>
                      <w:sz w:val="21"/>
                      <w:szCs w:val="21"/>
                      <w14:textFill>
                        <w14:solidFill>
                          <w14:schemeClr w14:val="tx1"/>
                        </w14:solidFill>
                      </w14:textFill>
                    </w:rPr>
                    <w:t>8978-</w:t>
                  </w:r>
                  <w:r>
                    <w:rPr>
                      <w:rFonts w:hint="default" w:ascii="Times New Roman" w:hAnsi="Times New Roman" w:eastAsia="Times New Roman" w:cs="Times New Roman"/>
                      <w:color w:val="000000" w:themeColor="text1"/>
                      <w:spacing w:val="-17"/>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3"/>
                      <w:sz w:val="21"/>
                      <w:szCs w:val="21"/>
                      <w14:textFill>
                        <w14:solidFill>
                          <w14:schemeClr w14:val="tx1"/>
                        </w14:solidFill>
                      </w14:textFill>
                    </w:rPr>
                    <w:t>1996</w:t>
                  </w:r>
                  <w:r>
                    <w:rPr>
                      <w:rFonts w:hint="default" w:ascii="Times New Roman" w:hAnsi="Times New Roman" w:cs="Times New Roman"/>
                      <w:color w:val="000000" w:themeColor="text1"/>
                      <w:spacing w:val="3"/>
                      <w:sz w:val="21"/>
                      <w:szCs w:val="21"/>
                      <w14:textFill>
                        <w14:solidFill>
                          <w14:schemeClr w14:val="tx1"/>
                        </w14:solidFill>
                      </w14:textFill>
                    </w:rPr>
                    <w:t>）表</w:t>
                  </w:r>
                  <w:r>
                    <w:rPr>
                      <w:rFonts w:hint="default" w:ascii="Times New Roman" w:hAnsi="Times New Roman" w:cs="Times New Roman"/>
                      <w:color w:val="000000" w:themeColor="text1"/>
                      <w:spacing w:val="-42"/>
                      <w:sz w:val="21"/>
                      <w:szCs w:val="21"/>
                      <w14:textFill>
                        <w14:solidFill>
                          <w14:schemeClr w14:val="tx1"/>
                        </w14:solidFill>
                      </w14:textFill>
                    </w:rPr>
                    <w:t xml:space="preserve"> </w:t>
                  </w:r>
                  <w:r>
                    <w:rPr>
                      <w:rFonts w:hint="default" w:ascii="Times New Roman" w:hAnsi="Times New Roman" w:eastAsia="Times New Roman" w:cs="Times New Roman"/>
                      <w:color w:val="000000" w:themeColor="text1"/>
                      <w:spacing w:val="3"/>
                      <w:sz w:val="21"/>
                      <w:szCs w:val="21"/>
                      <w14:textFill>
                        <w14:solidFill>
                          <w14:schemeClr w14:val="tx1"/>
                        </w14:solidFill>
                      </w14:textFill>
                    </w:rPr>
                    <w:t>4</w:t>
                  </w:r>
                  <w:r>
                    <w:rPr>
                      <w:rFonts w:hint="default" w:ascii="Times New Roman" w:hAnsi="Times New Roman" w:cs="Times New Roman"/>
                      <w:color w:val="000000" w:themeColor="text1"/>
                      <w:spacing w:val="3"/>
                      <w:sz w:val="21"/>
                      <w:szCs w:val="21"/>
                      <w14:textFill>
                        <w14:solidFill>
                          <w14:schemeClr w14:val="tx1"/>
                        </w14:solidFill>
                      </w14:textFill>
                    </w:rPr>
                    <w:t>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68" w:type="dxa"/>
                  <w:vMerge w:val="continue"/>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1113" w:type="dxa"/>
                  <w:vMerge w:val="continue"/>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3671"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生产废水经收集、沉淀后循环使用不外排</w:t>
                  </w:r>
                  <w:r>
                    <w:rPr>
                      <w:rFonts w:hint="default" w:ascii="Times New Roman" w:hAnsi="Times New Roman" w:cs="Times New Roman"/>
                      <w:color w:val="000000" w:themeColor="text1"/>
                      <w:kern w:val="0"/>
                      <w:sz w:val="21"/>
                      <w:szCs w:val="21"/>
                      <w14:textFill>
                        <w14:solidFill>
                          <w14:schemeClr w14:val="tx1"/>
                        </w14:solidFill>
                      </w14:textFill>
                    </w:rPr>
                    <w:t>。</w:t>
                  </w:r>
                </w:p>
              </w:tc>
              <w:tc>
                <w:tcPr>
                  <w:tcW w:w="2566"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68"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113" w:type="dxa"/>
                  <w:vMerge w:val="restart"/>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噪声</w:t>
                  </w:r>
                </w:p>
              </w:tc>
              <w:tc>
                <w:tcPr>
                  <w:tcW w:w="3671"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加强管理、</w:t>
                  </w:r>
                  <w:r>
                    <w:rPr>
                      <w:rFonts w:hint="default" w:ascii="Times New Roman" w:hAnsi="Times New Roman" w:eastAsia="宋体" w:cs="Times New Roman"/>
                      <w:snapToGrid w:val="0"/>
                      <w:color w:val="000000" w:themeColor="text1"/>
                      <w:kern w:val="0"/>
                      <w:sz w:val="21"/>
                      <w:szCs w:val="21"/>
                      <w:lang w:bidi="ar"/>
                      <w14:textFill>
                        <w14:solidFill>
                          <w14:schemeClr w14:val="tx1"/>
                        </w14:solidFill>
                      </w14:textFill>
                    </w:rPr>
                    <w:t>设置禁止鸣笛牌，限制车速牌</w:t>
                  </w:r>
                </w:p>
              </w:tc>
              <w:tc>
                <w:tcPr>
                  <w:tcW w:w="2566" w:type="dxa"/>
                  <w:vMerge w:val="restart"/>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满足</w:t>
                  </w: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《工业企业厂界环境噪声排放标准》（GB12348-2008）</w:t>
                  </w:r>
                  <w:r>
                    <w:rPr>
                      <w:rFonts w:hint="default" w:ascii="Times New Roman" w:hAnsi="Times New Roman" w:eastAsia="宋体" w:cs="Times New Roman"/>
                      <w:color w:val="000000" w:themeColor="text1"/>
                      <w:sz w:val="21"/>
                      <w:szCs w:val="21"/>
                      <w:lang w:bidi="ar"/>
                      <w14:textFill>
                        <w14:solidFill>
                          <w14:schemeClr w14:val="tx1"/>
                        </w14:solidFill>
                      </w14:textFill>
                    </w:rPr>
                    <w:t>3类标准限值。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68"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113"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3671"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bidi="ar"/>
                      <w14:textFill>
                        <w14:solidFill>
                          <w14:schemeClr w14:val="tx1"/>
                        </w14:solidFill>
                      </w14:textFill>
                    </w:rPr>
                    <w:t>采用消声、隔声等防治措施，厂界噪声是否达标。</w:t>
                  </w:r>
                </w:p>
              </w:tc>
              <w:tc>
                <w:tcPr>
                  <w:tcW w:w="2566"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68"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113" w:type="dxa"/>
                  <w:vMerge w:val="restart"/>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固废</w:t>
                  </w:r>
                </w:p>
              </w:tc>
              <w:tc>
                <w:tcPr>
                  <w:tcW w:w="3671"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生活垃圾收集于垃圾收集点后清运至垃圾处理场</w:t>
                  </w:r>
                </w:p>
              </w:tc>
              <w:tc>
                <w:tcPr>
                  <w:tcW w:w="2566" w:type="dxa"/>
                  <w:tcBorders>
                    <w:tl2br w:val="nil"/>
                    <w:tr2bl w:val="nil"/>
                  </w:tcBorders>
                  <w:shd w:val="clear" w:color="auto" w:fill="auto"/>
                  <w:vAlign w:val="center"/>
                </w:tcPr>
                <w:p>
                  <w:pPr>
                    <w:overflowPunct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68"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113"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3671" w:type="dxa"/>
                  <w:tcBorders>
                    <w:tl2br w:val="nil"/>
                    <w:tr2bl w:val="nil"/>
                  </w:tcBorders>
                  <w:shd w:val="clear" w:color="auto" w:fill="auto"/>
                  <w:vAlign w:val="center"/>
                </w:tcPr>
                <w:p>
                  <w:pPr>
                    <w:pStyle w:val="100"/>
                    <w:spacing w:before="66" w:line="228" w:lineRule="auto"/>
                    <w:ind w:left="8"/>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混凝土渣、废铁渣、废钢棒端头</w:t>
                  </w:r>
                  <w:r>
                    <w:rPr>
                      <w:rFonts w:hint="eastAsia" w:ascii="Times New Roman" w:hAnsi="Times New Roman" w:cs="Times New Roman"/>
                      <w:color w:val="000000" w:themeColor="text1"/>
                      <w:spacing w:val="7"/>
                      <w:sz w:val="21"/>
                      <w:szCs w:val="21"/>
                      <w:lang w:eastAsia="zh-CN"/>
                      <w14:textFill>
                        <w14:solidFill>
                          <w14:schemeClr w14:val="tx1"/>
                        </w14:solidFill>
                      </w14:textFill>
                    </w:rPr>
                    <w:t>、</w:t>
                  </w:r>
                  <w:r>
                    <w:rPr>
                      <w:rFonts w:hint="eastAsia" w:ascii="Times New Roman" w:hAnsi="Times New Roman" w:cs="Times New Roman"/>
                      <w:color w:val="000000" w:themeColor="text1"/>
                      <w:spacing w:val="7"/>
                      <w:sz w:val="21"/>
                      <w:szCs w:val="21"/>
                      <w:lang w:val="en-US" w:eastAsia="zh-CN"/>
                      <w14:textFill>
                        <w14:solidFill>
                          <w14:schemeClr w14:val="tx1"/>
                        </w14:solidFill>
                      </w14:textFill>
                    </w:rPr>
                    <w:t>沉淀池底泥</w:t>
                  </w:r>
                  <w:r>
                    <w:rPr>
                      <w:rFonts w:hint="default" w:ascii="Times New Roman" w:hAnsi="Times New Roman" w:cs="Times New Roman"/>
                      <w:color w:val="000000" w:themeColor="text1"/>
                      <w:spacing w:val="7"/>
                      <w:sz w:val="21"/>
                      <w:szCs w:val="21"/>
                      <w14:textFill>
                        <w14:solidFill>
                          <w14:schemeClr w14:val="tx1"/>
                        </w14:solidFill>
                      </w14:textFill>
                    </w:rPr>
                    <w:t>集中</w:t>
                  </w:r>
                  <w:r>
                    <w:rPr>
                      <w:rFonts w:hint="default" w:ascii="Times New Roman" w:hAnsi="Times New Roman" w:cs="Times New Roman"/>
                      <w:color w:val="000000" w:themeColor="text1"/>
                      <w:spacing w:val="6"/>
                      <w:sz w:val="21"/>
                      <w:szCs w:val="21"/>
                      <w14:textFill>
                        <w14:solidFill>
                          <w14:schemeClr w14:val="tx1"/>
                        </w14:solidFill>
                      </w14:textFill>
                    </w:rPr>
                    <w:t>收集后外售综合利用；废离子交换树</w:t>
                  </w:r>
                  <w:r>
                    <w:rPr>
                      <w:rFonts w:hint="default" w:ascii="Times New Roman" w:hAnsi="Times New Roman" w:cs="Times New Roman"/>
                      <w:color w:val="000000" w:themeColor="text1"/>
                      <w:spacing w:val="8"/>
                      <w:sz w:val="21"/>
                      <w:szCs w:val="21"/>
                      <w14:textFill>
                        <w14:solidFill>
                          <w14:schemeClr w14:val="tx1"/>
                        </w14:solidFill>
                      </w14:textFill>
                    </w:rPr>
                    <w:t>脂由原厂回收综合利用</w:t>
                  </w:r>
                  <w:r>
                    <w:rPr>
                      <w:rFonts w:hint="eastAsia" w:ascii="Times New Roman" w:hAnsi="Times New Roman" w:cs="Times New Roman"/>
                      <w:color w:val="000000" w:themeColor="text1"/>
                      <w:spacing w:val="8"/>
                      <w:sz w:val="21"/>
                      <w:szCs w:val="21"/>
                      <w:lang w:eastAsia="zh-CN"/>
                      <w14:textFill>
                        <w14:solidFill>
                          <w14:schemeClr w14:val="tx1"/>
                        </w14:solidFill>
                      </w14:textFill>
                    </w:rPr>
                    <w:t>，</w:t>
                  </w:r>
                  <w:r>
                    <w:rPr>
                      <w:rFonts w:hint="eastAsia" w:ascii="Times New Roman" w:hAnsi="Times New Roman" w:cs="Times New Roman"/>
                      <w:color w:val="000000" w:themeColor="text1"/>
                      <w:spacing w:val="8"/>
                      <w:sz w:val="21"/>
                      <w:szCs w:val="21"/>
                      <w:lang w:val="en-US" w:eastAsia="zh-CN"/>
                      <w14:textFill>
                        <w14:solidFill>
                          <w14:schemeClr w14:val="tx1"/>
                        </w14:solidFill>
                      </w14:textFill>
                    </w:rPr>
                    <w:t>回收粉尘回用于生产</w:t>
                  </w:r>
                </w:p>
              </w:tc>
              <w:tc>
                <w:tcPr>
                  <w:tcW w:w="2566" w:type="dxa"/>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《一般工业固体废物贮存和填埋污染控制标准》（GB 18599-2020）</w:t>
                  </w:r>
                </w:p>
              </w:tc>
            </w:tr>
          </w:tbl>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pStyle w:val="2"/>
              <w:rPr>
                <w:rFonts w:hint="eastAsia"/>
              </w:rPr>
            </w:pPr>
          </w:p>
          <w:p>
            <w:pPr>
              <w:pStyle w:val="3"/>
              <w:rPr>
                <w:rFonts w:hint="eastAsia"/>
              </w:rPr>
            </w:pPr>
          </w:p>
          <w:p>
            <w:pPr>
              <w:rPr>
                <w:rFonts w:hint="eastAsia"/>
              </w:rPr>
            </w:pPr>
          </w:p>
          <w:p>
            <w:pPr>
              <w:pStyle w:val="2"/>
              <w:rPr>
                <w:rFonts w:hint="eastAsia"/>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tc>
      </w:tr>
    </w:tbl>
    <w:p>
      <w:pPr>
        <w:adjustRightInd w:val="0"/>
        <w:snapToGrid w:val="0"/>
        <w:spacing w:line="360" w:lineRule="auto"/>
        <w:rPr>
          <w:rFonts w:ascii="宋体" w:cs="宋体"/>
          <w:b/>
          <w:color w:val="000000" w:themeColor="text1"/>
          <w:kern w:val="0"/>
          <w:sz w:val="28"/>
          <w:szCs w:val="28"/>
          <w14:textFill>
            <w14:solidFill>
              <w14:schemeClr w14:val="tx1"/>
            </w14:solidFill>
          </w14:textFill>
        </w:rPr>
        <w:sectPr>
          <w:pgSz w:w="11905" w:h="16838"/>
          <w:pgMar w:top="1701" w:right="1531" w:bottom="2126" w:left="1531" w:header="851" w:footer="850" w:gutter="0"/>
          <w:cols w:space="0" w:num="1"/>
          <w:docGrid w:linePitch="312" w:charSpace="0"/>
        </w:sectPr>
      </w:pPr>
    </w:p>
    <w:p>
      <w:pPr>
        <w:pStyle w:val="2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11"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11"/>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701"/>
        <w:gridCol w:w="1417"/>
        <w:gridCol w:w="2552"/>
        <w:gridCol w:w="23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tcBorders>
              <w:tl2br w:val="single" w:color="auto" w:sz="4" w:space="0"/>
            </w:tcBorders>
          </w:tcPr>
          <w:p>
            <w:pPr>
              <w:adjustRightInd w:val="0"/>
              <w:snapToGrid w:val="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内容</w:t>
            </w:r>
          </w:p>
          <w:p>
            <w:pPr>
              <w:adjustRightInd w:val="0"/>
              <w:snapToGrid w:val="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要素</w:t>
            </w:r>
          </w:p>
        </w:tc>
        <w:tc>
          <w:tcPr>
            <w:tcW w:w="1701"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排放口（编号、名称）/污染源</w:t>
            </w:r>
          </w:p>
        </w:tc>
        <w:tc>
          <w:tcPr>
            <w:tcW w:w="1417"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污染物项目</w:t>
            </w:r>
          </w:p>
        </w:tc>
        <w:tc>
          <w:tcPr>
            <w:tcW w:w="2552"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环境保护措施</w:t>
            </w:r>
          </w:p>
        </w:tc>
        <w:tc>
          <w:tcPr>
            <w:tcW w:w="2301"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vMerge w:val="restart"/>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大气环境</w:t>
            </w:r>
          </w:p>
        </w:tc>
        <w:tc>
          <w:tcPr>
            <w:tcW w:w="1701" w:type="dxa"/>
            <w:vAlign w:val="center"/>
          </w:tcPr>
          <w:p>
            <w:pPr>
              <w:adjustRightInd w:val="0"/>
              <w:snapToGrid w:val="0"/>
              <w:jc w:val="cente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cs="宋体"/>
                <w:color w:val="000000" w:themeColor="text1"/>
                <w:sz w:val="24"/>
                <w:szCs w:val="24"/>
                <w14:textFill>
                  <w14:solidFill>
                    <w14:schemeClr w14:val="tx1"/>
                  </w14:solidFill>
                </w14:textFill>
              </w:rPr>
              <w:t>DA00</w:t>
            </w:r>
            <w:r>
              <w:rPr>
                <w:rFonts w:hint="eastAsia" w:cs="宋体"/>
                <w:color w:val="000000" w:themeColor="text1"/>
                <w:sz w:val="24"/>
                <w:szCs w:val="24"/>
                <w:lang w:val="en-US" w:eastAsia="zh-CN"/>
                <w14:textFill>
                  <w14:solidFill>
                    <w14:schemeClr w14:val="tx1"/>
                  </w14:solidFill>
                </w14:textFill>
              </w:rPr>
              <w:t>1</w:t>
            </w:r>
            <w:r>
              <w:rPr>
                <w:rFonts w:hint="eastAsia" w:cs="宋体"/>
                <w:color w:val="000000" w:themeColor="text1"/>
                <w:sz w:val="24"/>
                <w:szCs w:val="24"/>
                <w14:textFill>
                  <w14:solidFill>
                    <w14:schemeClr w14:val="tx1"/>
                  </w14:solidFill>
                </w14:textFill>
              </w:rPr>
              <w:t xml:space="preserve"> 有组织：</w:t>
            </w:r>
            <w:r>
              <w:rPr>
                <w:rFonts w:hint="eastAsia" w:cs="宋体"/>
                <w:color w:val="000000" w:themeColor="text1"/>
                <w:sz w:val="24"/>
                <w:szCs w:val="24"/>
                <w:lang w:val="en-US" w:eastAsia="zh-CN"/>
                <w14:textFill>
                  <w14:solidFill>
                    <w14:schemeClr w14:val="tx1"/>
                  </w14:solidFill>
                </w14:textFill>
              </w:rPr>
              <w:t>锅炉</w:t>
            </w:r>
            <w:r>
              <w:rPr>
                <w:rFonts w:hint="eastAsia" w:cs="宋体"/>
                <w:color w:val="000000" w:themeColor="text1"/>
                <w:sz w:val="24"/>
                <w:szCs w:val="24"/>
                <w14:textFill>
                  <w14:solidFill>
                    <w14:schemeClr w14:val="tx1"/>
                  </w14:solidFill>
                </w14:textFill>
              </w:rPr>
              <w:t>排放口</w:t>
            </w:r>
          </w:p>
        </w:tc>
        <w:tc>
          <w:tcPr>
            <w:tcW w:w="1417" w:type="dxa"/>
            <w:vAlign w:val="center"/>
          </w:tcPr>
          <w:p>
            <w:pPr>
              <w:adjustRightInd w:val="0"/>
              <w:snapToGrid w:val="0"/>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颗粒物、二氧化硫、氮氧化物</w:t>
            </w:r>
          </w:p>
        </w:tc>
        <w:tc>
          <w:tcPr>
            <w:tcW w:w="2552" w:type="dxa"/>
            <w:vAlign w:val="center"/>
          </w:tcPr>
          <w:p>
            <w:pPr>
              <w:overflowPunct w:val="0"/>
              <w:snapToGrid w:val="0"/>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sz w:val="24"/>
                <w:szCs w:val="24"/>
                <w:lang w:val="en-US" w:eastAsia="zh-CN"/>
              </w:rPr>
              <w:t>锅炉采用低氮燃烧器经8m高排气筒排放</w:t>
            </w:r>
          </w:p>
        </w:tc>
        <w:tc>
          <w:tcPr>
            <w:tcW w:w="2301" w:type="dxa"/>
            <w:vAlign w:val="center"/>
          </w:tcPr>
          <w:p>
            <w:pPr>
              <w:overflowPunct w:val="0"/>
              <w:snapToGrid w:val="0"/>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sz w:val="24"/>
                <w:szCs w:val="24"/>
                <w:lang w:val="en-US" w:eastAsia="zh-CN"/>
              </w:rPr>
              <w:t>《锅炉大气污染物排放标准》（GB13271-2014）</w:t>
            </w:r>
            <w:r>
              <w:rPr>
                <w:rFonts w:hint="default" w:ascii="Times New Roman" w:hAnsi="Times New Roman" w:eastAsia="宋体" w:cs="Times New Roman"/>
                <w:color w:val="000000"/>
                <w:sz w:val="24"/>
                <w:szCs w:val="24"/>
              </w:rPr>
              <w:t>表</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新建锅炉大气污染物排放浓度限值中燃气锅炉标准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vMerge w:val="continue"/>
            <w:vAlign w:val="center"/>
          </w:tcPr>
          <w:p>
            <w:pPr>
              <w:adjustRightInd w:val="0"/>
              <w:snapToGrid w:val="0"/>
              <w:jc w:val="center"/>
              <w:rPr>
                <w:rFonts w:hint="eastAsia" w:cs="宋体"/>
                <w:color w:val="000000" w:themeColor="text1"/>
                <w:sz w:val="24"/>
                <w14:textFill>
                  <w14:solidFill>
                    <w14:schemeClr w14:val="tx1"/>
                  </w14:solidFill>
                </w14:textFill>
              </w:rPr>
            </w:pPr>
          </w:p>
        </w:tc>
        <w:tc>
          <w:tcPr>
            <w:tcW w:w="1701" w:type="dxa"/>
            <w:vMerge w:val="restart"/>
            <w:vAlign w:val="center"/>
          </w:tcPr>
          <w:p>
            <w:pPr>
              <w:adjustRightInd w:val="0"/>
              <w:snapToGrid w:val="0"/>
              <w:jc w:val="center"/>
              <w:rPr>
                <w:rFonts w:hint="eastAsia"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14:textFill>
                  <w14:solidFill>
                    <w14:schemeClr w14:val="tx1"/>
                  </w14:solidFill>
                </w14:textFill>
              </w:rPr>
              <w:t>无组织</w:t>
            </w:r>
            <w:r>
              <w:rPr>
                <w:rFonts w:hint="eastAsia" w:cs="宋体"/>
                <w:color w:val="000000" w:themeColor="text1"/>
                <w:sz w:val="24"/>
                <w:szCs w:val="24"/>
                <w:lang w:val="en-US" w:eastAsia="zh-CN"/>
                <w14:textFill>
                  <w14:solidFill>
                    <w14:schemeClr w14:val="tx1"/>
                  </w14:solidFill>
                </w14:textFill>
              </w:rPr>
              <w:t>颗粒物</w:t>
            </w:r>
          </w:p>
        </w:tc>
        <w:tc>
          <w:tcPr>
            <w:tcW w:w="1417" w:type="dxa"/>
            <w:vAlign w:val="center"/>
          </w:tcPr>
          <w:p>
            <w:pPr>
              <w:adjustRightInd w:val="0"/>
              <w:snapToGrid w:val="0"/>
              <w:jc w:val="cente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颗粒物</w:t>
            </w:r>
          </w:p>
        </w:tc>
        <w:tc>
          <w:tcPr>
            <w:tcW w:w="2552" w:type="dxa"/>
            <w:vAlign w:val="center"/>
          </w:tcPr>
          <w:p>
            <w:pPr>
              <w:overflowPunct w:val="0"/>
              <w:snapToGrid w:val="0"/>
              <w:jc w:val="cente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各筒仓均配套脉冲除尘器</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处理后</w:t>
            </w:r>
            <w:r>
              <w:rPr>
                <w:rFonts w:hint="eastAsia" w:cs="Times New Roman"/>
                <w:color w:val="000000" w:themeColor="text1"/>
                <w:kern w:val="0"/>
                <w:sz w:val="24"/>
                <w:szCs w:val="24"/>
                <w:lang w:val="en-US" w:eastAsia="zh-CN" w:bidi="ar-SA"/>
                <w14:textFill>
                  <w14:solidFill>
                    <w14:schemeClr w14:val="tx1"/>
                  </w14:solidFill>
                </w14:textFill>
              </w:rPr>
              <w:t>无组织</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排放，</w:t>
            </w:r>
            <w:r>
              <w:rPr>
                <w:rFonts w:hint="eastAsia" w:ascii="Times New Roman" w:hAnsi="Times New Roman" w:eastAsia="宋体" w:cs="Times New Roman"/>
                <w:color w:val="000000"/>
                <w:sz w:val="24"/>
                <w:szCs w:val="24"/>
              </w:rPr>
              <w:t>搅拌</w:t>
            </w:r>
            <w:r>
              <w:rPr>
                <w:rFonts w:hint="eastAsia" w:ascii="Times New Roman" w:hAnsi="Times New Roman" w:eastAsia="宋体" w:cs="Times New Roman"/>
                <w:color w:val="000000"/>
                <w:sz w:val="24"/>
                <w:szCs w:val="24"/>
                <w:lang w:val="en-US" w:eastAsia="zh-CN"/>
              </w:rPr>
              <w:t>粉尘经</w:t>
            </w:r>
            <w:r>
              <w:rPr>
                <w:rFonts w:hint="eastAsia" w:ascii="Times New Roman" w:hAnsi="Times New Roman" w:eastAsia="宋体" w:cs="Times New Roman"/>
                <w:color w:val="000000"/>
                <w:sz w:val="24"/>
                <w:szCs w:val="24"/>
              </w:rPr>
              <w:t>布袋除尘器</w:t>
            </w:r>
            <w:r>
              <w:rPr>
                <w:rFonts w:hint="eastAsia" w:ascii="Times New Roman" w:hAnsi="Times New Roman" w:eastAsia="宋体" w:cs="Times New Roman"/>
                <w:color w:val="000000"/>
                <w:sz w:val="24"/>
                <w:szCs w:val="24"/>
                <w:lang w:val="en-US" w:eastAsia="zh-CN"/>
              </w:rPr>
              <w:t>处理后</w:t>
            </w:r>
            <w:r>
              <w:rPr>
                <w:rFonts w:hint="eastAsia" w:cs="Times New Roman"/>
                <w:color w:val="000000"/>
                <w:sz w:val="24"/>
                <w:szCs w:val="24"/>
                <w:lang w:val="en-US" w:eastAsia="zh-CN"/>
              </w:rPr>
              <w:t>无组织</w:t>
            </w:r>
            <w:r>
              <w:rPr>
                <w:rFonts w:hint="eastAsia" w:ascii="Times New Roman" w:hAnsi="Times New Roman" w:eastAsia="宋体" w:cs="Times New Roman"/>
                <w:color w:val="000000"/>
                <w:sz w:val="24"/>
                <w:szCs w:val="24"/>
                <w:lang w:val="en-US" w:eastAsia="zh-CN"/>
              </w:rPr>
              <w:t>排放</w:t>
            </w:r>
          </w:p>
        </w:tc>
        <w:tc>
          <w:tcPr>
            <w:tcW w:w="2301" w:type="dxa"/>
            <w:vMerge w:val="restart"/>
            <w:vAlign w:val="center"/>
          </w:tcPr>
          <w:p>
            <w:pPr>
              <w:overflowPunct w:val="0"/>
              <w:snapToGrid w:val="0"/>
              <w:jc w:val="center"/>
              <w:rPr>
                <w:color w:val="000000" w:themeColor="text1"/>
                <w:sz w:val="24"/>
                <w:szCs w:val="24"/>
                <w14:textFill>
                  <w14:solidFill>
                    <w14:schemeClr w14:val="tx1"/>
                  </w14:solidFill>
                </w14:textFill>
              </w:rPr>
            </w:pPr>
            <w:r>
              <w:rPr>
                <w:rFonts w:hint="eastAsia" w:ascii="Times New Roman" w:hAnsi="Times New Roman" w:eastAsia="宋体" w:cs="Times New Roman"/>
                <w:color w:val="000000"/>
                <w:sz w:val="24"/>
                <w:szCs w:val="24"/>
              </w:rPr>
              <w:t>《水泥工业大气污染物排放标准》（GB4915-2013）表 3 大气污染物无组织排放限值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vMerge w:val="continue"/>
            <w:vAlign w:val="center"/>
          </w:tcPr>
          <w:p>
            <w:pPr>
              <w:adjustRightInd w:val="0"/>
              <w:snapToGrid w:val="0"/>
              <w:jc w:val="center"/>
              <w:rPr>
                <w:rFonts w:cs="宋体"/>
                <w:color w:val="000000" w:themeColor="text1"/>
                <w:sz w:val="24"/>
                <w14:textFill>
                  <w14:solidFill>
                    <w14:schemeClr w14:val="tx1"/>
                  </w14:solidFill>
                </w14:textFill>
              </w:rPr>
            </w:pPr>
          </w:p>
        </w:tc>
        <w:tc>
          <w:tcPr>
            <w:tcW w:w="1701" w:type="dxa"/>
            <w:vMerge w:val="continue"/>
            <w:vAlign w:val="center"/>
          </w:tcPr>
          <w:p>
            <w:pPr>
              <w:adjustRightInd w:val="0"/>
              <w:snapToGrid w:val="0"/>
              <w:jc w:val="center"/>
              <w:rPr>
                <w:rFonts w:hint="eastAsia" w:eastAsia="宋体" w:cs="宋体"/>
                <w:color w:val="000000" w:themeColor="text1"/>
                <w:sz w:val="24"/>
                <w:szCs w:val="24"/>
                <w:lang w:val="en-US" w:eastAsia="zh-CN"/>
                <w14:textFill>
                  <w14:solidFill>
                    <w14:schemeClr w14:val="tx1"/>
                  </w14:solidFill>
                </w14:textFill>
              </w:rPr>
            </w:pPr>
          </w:p>
        </w:tc>
        <w:tc>
          <w:tcPr>
            <w:tcW w:w="1417" w:type="dxa"/>
            <w:vAlign w:val="center"/>
          </w:tcPr>
          <w:p>
            <w:pPr>
              <w:adjustRightInd w:val="0"/>
              <w:snapToGrid w:val="0"/>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颗粒物</w:t>
            </w:r>
          </w:p>
        </w:tc>
        <w:tc>
          <w:tcPr>
            <w:tcW w:w="2552" w:type="dxa"/>
            <w:vAlign w:val="center"/>
          </w:tcPr>
          <w:p>
            <w:pPr>
              <w:overflowPunct w:val="0"/>
              <w:snapToGrid w:val="0"/>
              <w:jc w:val="center"/>
              <w:rPr>
                <w:color w:val="000000" w:themeColor="text1"/>
                <w:sz w:val="24"/>
                <w:szCs w:val="24"/>
                <w14:textFill>
                  <w14:solidFill>
                    <w14:schemeClr w14:val="tx1"/>
                  </w14:solidFill>
                </w14:textFill>
              </w:rPr>
            </w:pPr>
            <w:r>
              <w:rPr>
                <w:spacing w:val="7"/>
                <w:sz w:val="24"/>
                <w:szCs w:val="24"/>
              </w:rPr>
              <w:t>项目</w:t>
            </w:r>
            <w:r>
              <w:rPr>
                <w:rFonts w:hint="eastAsia"/>
                <w:spacing w:val="7"/>
                <w:sz w:val="24"/>
                <w:szCs w:val="24"/>
                <w:lang w:val="en-US" w:eastAsia="zh-CN"/>
              </w:rPr>
              <w:t>原料库</w:t>
            </w:r>
            <w:r>
              <w:rPr>
                <w:spacing w:val="7"/>
                <w:sz w:val="24"/>
                <w:szCs w:val="24"/>
              </w:rPr>
              <w:t>设置在密闭厂房。厂区道路硬化、控制车速、密封运输物料等措施</w:t>
            </w:r>
            <w:r>
              <w:rPr>
                <w:rFonts w:hint="eastAsia"/>
                <w:spacing w:val="7"/>
                <w:sz w:val="24"/>
                <w:szCs w:val="24"/>
                <w:lang w:eastAsia="zh-CN"/>
              </w:rPr>
              <w:t>，</w:t>
            </w:r>
            <w:r>
              <w:rPr>
                <w:rFonts w:hint="eastAsia"/>
                <w:color w:val="000000"/>
                <w:kern w:val="0"/>
                <w:sz w:val="24"/>
                <w:szCs w:val="24"/>
              </w:rPr>
              <w:t>焊接烟尘经移动式焊烟净化器处理后车间内无组织排放</w:t>
            </w:r>
          </w:p>
        </w:tc>
        <w:tc>
          <w:tcPr>
            <w:tcW w:w="2301" w:type="dxa"/>
            <w:vMerge w:val="continue"/>
            <w:vAlign w:val="center"/>
          </w:tcPr>
          <w:p>
            <w:pPr>
              <w:overflowPunct w:val="0"/>
              <w:snapToGrid w:val="0"/>
              <w:jc w:val="center"/>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vMerge w:val="restart"/>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地表水环境</w:t>
            </w:r>
          </w:p>
        </w:tc>
        <w:tc>
          <w:tcPr>
            <w:tcW w:w="1701" w:type="dxa"/>
            <w:vAlign w:val="center"/>
          </w:tcPr>
          <w:p>
            <w:pPr>
              <w:adjustRightInd w:val="0"/>
              <w:snapToGrid w:val="0"/>
              <w:jc w:val="center"/>
              <w:rPr>
                <w:rFonts w:hint="default"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生活污水</w:t>
            </w:r>
          </w:p>
        </w:tc>
        <w:tc>
          <w:tcPr>
            <w:tcW w:w="1417" w:type="dxa"/>
            <w:vAlign w:val="center"/>
          </w:tcPr>
          <w:p>
            <w:pPr>
              <w:adjustRightInd w:val="0"/>
              <w:snapToGrid w:val="0"/>
              <w:jc w:val="center"/>
              <w:rPr>
                <w:rFonts w:cs="宋体"/>
                <w:color w:val="000000" w:themeColor="text1"/>
                <w:sz w:val="24"/>
                <w:szCs w:val="24"/>
                <w14:textFill>
                  <w14:solidFill>
                    <w14:schemeClr w14:val="tx1"/>
                  </w14:solidFill>
                </w14:textFill>
              </w:rPr>
            </w:pPr>
            <w:r>
              <w:rPr>
                <w:rFonts w:hint="eastAsia" w:ascii="Times New Roman" w:hAnsi="Times New Roman" w:eastAsia="宋体" w:cs="Times New Roman"/>
                <w:sz w:val="24"/>
                <w:szCs w:val="24"/>
                <w:lang w:val="en-US" w:eastAsia="zh-CN"/>
              </w:rPr>
              <w:t>BOD、</w:t>
            </w:r>
            <w:r>
              <w:rPr>
                <w:rFonts w:ascii="Times New Roman" w:hAnsi="Times New Roman" w:eastAsia="Times New Roman" w:cs="Times New Roman"/>
                <w:sz w:val="24"/>
                <w:szCs w:val="24"/>
              </w:rPr>
              <w:t>COD</w:t>
            </w:r>
            <w:r>
              <w:rPr>
                <w:spacing w:val="6"/>
                <w:sz w:val="24"/>
                <w:szCs w:val="24"/>
              </w:rPr>
              <w:t>、</w:t>
            </w:r>
            <w:r>
              <w:rPr>
                <w:rFonts w:ascii="Times New Roman" w:hAnsi="Times New Roman" w:eastAsia="Times New Roman" w:cs="Times New Roman"/>
                <w:sz w:val="24"/>
                <w:szCs w:val="24"/>
              </w:rPr>
              <w:t>SS</w:t>
            </w:r>
          </w:p>
        </w:tc>
        <w:tc>
          <w:tcPr>
            <w:tcW w:w="2552" w:type="dxa"/>
            <w:vAlign w:val="center"/>
          </w:tcPr>
          <w:p>
            <w:pPr>
              <w:overflowPunct w:val="0"/>
              <w:snapToGrid w:val="0"/>
              <w:jc w:val="center"/>
              <w:rPr>
                <w:rFonts w:cs="宋体"/>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生活污水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经化粪池预处理后</w:t>
            </w:r>
            <w:r>
              <w:rPr>
                <w:rFonts w:hint="default" w:ascii="Times New Roman" w:hAnsi="Times New Roman" w:eastAsia="宋体" w:cs="Times New Roman"/>
                <w:color w:val="000000" w:themeColor="text1"/>
                <w:sz w:val="24"/>
                <w:szCs w:val="24"/>
                <w14:textFill>
                  <w14:solidFill>
                    <w14:schemeClr w14:val="tx1"/>
                  </w14:solidFill>
                </w14:textFill>
              </w:rPr>
              <w:t>排入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市政污水</w:t>
            </w:r>
            <w:r>
              <w:rPr>
                <w:rFonts w:hint="default" w:ascii="Times New Roman" w:hAnsi="Times New Roman" w:eastAsia="宋体" w:cs="Times New Roman"/>
                <w:color w:val="000000" w:themeColor="text1"/>
                <w:sz w:val="24"/>
                <w:szCs w:val="24"/>
                <w14:textFill>
                  <w14:solidFill>
                    <w14:schemeClr w14:val="tx1"/>
                  </w14:solidFill>
                </w14:textFill>
              </w:rPr>
              <w:t>管网，进入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园区污水处理厂</w:t>
            </w:r>
            <w:r>
              <w:rPr>
                <w:rFonts w:hint="default" w:ascii="Times New Roman" w:hAnsi="Times New Roman" w:eastAsia="宋体" w:cs="Times New Roman"/>
                <w:color w:val="000000" w:themeColor="text1"/>
                <w:sz w:val="24"/>
                <w:szCs w:val="24"/>
                <w14:textFill>
                  <w14:solidFill>
                    <w14:schemeClr w14:val="tx1"/>
                  </w14:solidFill>
                </w14:textFill>
              </w:rPr>
              <w:t>处理</w:t>
            </w:r>
          </w:p>
        </w:tc>
        <w:tc>
          <w:tcPr>
            <w:tcW w:w="2301" w:type="dxa"/>
            <w:vAlign w:val="center"/>
          </w:tcPr>
          <w:p>
            <w:pPr>
              <w:pStyle w:val="100"/>
              <w:spacing w:before="123" w:line="228" w:lineRule="auto"/>
              <w:rPr>
                <w:rFonts w:cs="宋体"/>
                <w:color w:val="000000" w:themeColor="text1"/>
                <w:sz w:val="24"/>
                <w:szCs w:val="24"/>
                <w14:textFill>
                  <w14:solidFill>
                    <w14:schemeClr w14:val="tx1"/>
                  </w14:solidFill>
                </w14:textFill>
              </w:rPr>
            </w:pPr>
            <w:r>
              <w:rPr>
                <w:rFonts w:hint="default" w:ascii="Times New Roman" w:hAnsi="Times New Roman" w:cs="Times New Roman"/>
                <w:spacing w:val="7"/>
                <w:sz w:val="24"/>
                <w:szCs w:val="24"/>
              </w:rPr>
              <w:t>《污水综合排放标准》</w:t>
            </w:r>
            <w:r>
              <w:rPr>
                <w:rFonts w:hint="default" w:ascii="Times New Roman" w:hAnsi="Times New Roman" w:cs="Times New Roman"/>
                <w:spacing w:val="3"/>
                <w:sz w:val="24"/>
                <w:szCs w:val="24"/>
              </w:rPr>
              <w:t>（</w:t>
            </w:r>
            <w:r>
              <w:rPr>
                <w:rFonts w:hint="default" w:ascii="Times New Roman" w:hAnsi="Times New Roman" w:eastAsia="Times New Roman" w:cs="Times New Roman"/>
                <w:sz w:val="24"/>
                <w:szCs w:val="24"/>
              </w:rPr>
              <w:t>GB</w:t>
            </w:r>
            <w:r>
              <w:rPr>
                <w:rFonts w:hint="default" w:ascii="Times New Roman" w:hAnsi="Times New Roman" w:eastAsia="Times New Roman" w:cs="Times New Roman"/>
                <w:spacing w:val="3"/>
                <w:sz w:val="24"/>
                <w:szCs w:val="24"/>
              </w:rPr>
              <w:t>8978-</w:t>
            </w:r>
            <w:r>
              <w:rPr>
                <w:rFonts w:hint="default" w:ascii="Times New Roman" w:hAnsi="Times New Roman" w:eastAsia="Times New Roman" w:cs="Times New Roman"/>
                <w:spacing w:val="-17"/>
                <w:sz w:val="24"/>
                <w:szCs w:val="24"/>
              </w:rPr>
              <w:t xml:space="preserve"> </w:t>
            </w:r>
            <w:r>
              <w:rPr>
                <w:rFonts w:hint="default" w:ascii="Times New Roman" w:hAnsi="Times New Roman" w:eastAsia="Times New Roman" w:cs="Times New Roman"/>
                <w:spacing w:val="3"/>
                <w:sz w:val="24"/>
                <w:szCs w:val="24"/>
              </w:rPr>
              <w:t>1996</w:t>
            </w:r>
            <w:r>
              <w:rPr>
                <w:rFonts w:hint="default" w:ascii="Times New Roman" w:hAnsi="Times New Roman" w:cs="Times New Roman"/>
                <w:spacing w:val="3"/>
                <w:sz w:val="24"/>
                <w:szCs w:val="24"/>
              </w:rPr>
              <w:t>）表</w:t>
            </w:r>
            <w:r>
              <w:rPr>
                <w:rFonts w:hint="default" w:ascii="Times New Roman" w:hAnsi="Times New Roman" w:cs="Times New Roman"/>
                <w:spacing w:val="-42"/>
                <w:sz w:val="24"/>
                <w:szCs w:val="24"/>
              </w:rPr>
              <w:t xml:space="preserve"> </w:t>
            </w:r>
            <w:r>
              <w:rPr>
                <w:rFonts w:hint="default" w:ascii="Times New Roman" w:hAnsi="Times New Roman" w:eastAsia="Times New Roman" w:cs="Times New Roman"/>
                <w:spacing w:val="3"/>
                <w:sz w:val="24"/>
                <w:szCs w:val="24"/>
              </w:rPr>
              <w:t>4</w:t>
            </w:r>
            <w:r>
              <w:rPr>
                <w:rFonts w:hint="default" w:ascii="Times New Roman" w:hAnsi="Times New Roman" w:cs="Times New Roman"/>
                <w:spacing w:val="3"/>
                <w:sz w:val="24"/>
                <w:szCs w:val="24"/>
              </w:rPr>
              <w:t>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vMerge w:val="continue"/>
            <w:vAlign w:val="center"/>
          </w:tcPr>
          <w:p>
            <w:pPr>
              <w:adjustRightInd w:val="0"/>
              <w:snapToGrid w:val="0"/>
              <w:jc w:val="center"/>
              <w:rPr>
                <w:rFonts w:hint="eastAsia" w:cs="宋体"/>
                <w:color w:val="000000" w:themeColor="text1"/>
                <w:sz w:val="24"/>
                <w14:textFill>
                  <w14:solidFill>
                    <w14:schemeClr w14:val="tx1"/>
                  </w14:solidFill>
                </w14:textFill>
              </w:rPr>
            </w:pPr>
          </w:p>
        </w:tc>
        <w:tc>
          <w:tcPr>
            <w:tcW w:w="1701" w:type="dxa"/>
            <w:vAlign w:val="center"/>
          </w:tcPr>
          <w:p>
            <w:pPr>
              <w:adjustRightInd w:val="0"/>
              <w:snapToGrid w:val="0"/>
              <w:jc w:val="center"/>
              <w:rPr>
                <w:rFonts w:hint="default"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生产废水</w:t>
            </w:r>
          </w:p>
        </w:tc>
        <w:tc>
          <w:tcPr>
            <w:tcW w:w="1417" w:type="dxa"/>
            <w:vAlign w:val="center"/>
          </w:tcPr>
          <w:p>
            <w:pPr>
              <w:adjustRightInd w:val="0"/>
              <w:snapToGrid w:val="0"/>
              <w:jc w:val="center"/>
              <w:rPr>
                <w:rFonts w:hint="default"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SS</w:t>
            </w:r>
          </w:p>
        </w:tc>
        <w:tc>
          <w:tcPr>
            <w:tcW w:w="2552" w:type="dxa"/>
            <w:vAlign w:val="center"/>
          </w:tcPr>
          <w:p>
            <w:pPr>
              <w:adjustRightInd w:val="0"/>
              <w:snapToGrid w:val="0"/>
              <w:jc w:val="center"/>
              <w:rPr>
                <w:rFonts w:cs="宋体"/>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生产废水经收集、沉淀后循环使用不外排</w:t>
            </w:r>
            <w:r>
              <w:rPr>
                <w:rFonts w:hint="default" w:ascii="Times New Roman" w:hAnsi="Times New Roman" w:cs="Times New Roman"/>
                <w:color w:val="000000" w:themeColor="text1"/>
                <w:kern w:val="0"/>
                <w:sz w:val="24"/>
                <w:szCs w:val="24"/>
                <w14:textFill>
                  <w14:solidFill>
                    <w14:schemeClr w14:val="tx1"/>
                  </w14:solidFill>
                </w14:textFill>
              </w:rPr>
              <w:t>。</w:t>
            </w:r>
          </w:p>
        </w:tc>
        <w:tc>
          <w:tcPr>
            <w:tcW w:w="2301" w:type="dxa"/>
            <w:vAlign w:val="center"/>
          </w:tcPr>
          <w:p>
            <w:pPr>
              <w:adjustRightInd w:val="0"/>
              <w:snapToGrid w:val="0"/>
              <w:jc w:val="center"/>
              <w:rPr>
                <w:rFonts w:hint="eastAsia"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829"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声环境</w:t>
            </w:r>
          </w:p>
        </w:tc>
        <w:tc>
          <w:tcPr>
            <w:tcW w:w="1701" w:type="dxa"/>
            <w:vAlign w:val="center"/>
          </w:tcPr>
          <w:p>
            <w:pPr>
              <w:adjustRightInd w:val="0"/>
              <w:snapToGrid w:val="0"/>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机械设备</w:t>
            </w:r>
          </w:p>
        </w:tc>
        <w:tc>
          <w:tcPr>
            <w:tcW w:w="1417" w:type="dxa"/>
            <w:vAlign w:val="center"/>
          </w:tcPr>
          <w:p>
            <w:pPr>
              <w:widowControl/>
              <w:tabs>
                <w:tab w:val="left" w:pos="0"/>
                <w:tab w:val="left" w:pos="2089"/>
              </w:tabs>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等效连续A声级</w:t>
            </w:r>
          </w:p>
        </w:tc>
        <w:tc>
          <w:tcPr>
            <w:tcW w:w="2552" w:type="dxa"/>
            <w:vAlign w:val="center"/>
          </w:tcPr>
          <w:p>
            <w:pPr>
              <w:widowControl/>
              <w:tabs>
                <w:tab w:val="left" w:pos="0"/>
                <w:tab w:val="left" w:pos="2089"/>
              </w:tabs>
              <w:adjustRightInd w:val="0"/>
              <w:snapToGrid w:val="0"/>
              <w:jc w:val="center"/>
              <w:rPr>
                <w:color w:val="000000" w:themeColor="text1"/>
                <w:sz w:val="24"/>
                <w:szCs w:val="24"/>
                <w14:textFill>
                  <w14:solidFill>
                    <w14:schemeClr w14:val="tx1"/>
                  </w14:solidFill>
                </w14:textFill>
              </w:rPr>
            </w:pPr>
            <w:r>
              <w:rPr>
                <w:rFonts w:hint="eastAsia"/>
                <w:color w:val="000000" w:themeColor="text1"/>
                <w:kern w:val="24"/>
                <w:sz w:val="24"/>
                <w:szCs w:val="24"/>
                <w14:textFill>
                  <w14:solidFill>
                    <w14:schemeClr w14:val="tx1"/>
                  </w14:solidFill>
                </w14:textFill>
              </w:rPr>
              <w:t>选用低噪声设备，隔声、减振安装</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设备定期维护保养</w:t>
            </w:r>
          </w:p>
        </w:tc>
        <w:tc>
          <w:tcPr>
            <w:tcW w:w="2301"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《工业企业厂界环境噪声排放标准》（GB12348-2008）</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9"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电磁辐射</w:t>
            </w:r>
          </w:p>
        </w:tc>
        <w:tc>
          <w:tcPr>
            <w:tcW w:w="7971" w:type="dxa"/>
            <w:gridSpan w:val="4"/>
            <w:vAlign w:val="center"/>
          </w:tcPr>
          <w:p>
            <w:pPr>
              <w:adjustRightInd w:val="0"/>
              <w:snapToGrid w:val="0"/>
              <w:jc w:val="center"/>
              <w:rPr>
                <w:rFonts w:cs="宋体"/>
                <w:color w:val="000000" w:themeColor="text1"/>
                <w:sz w:val="24"/>
                <w14:textFill>
                  <w14:solidFill>
                    <w14:schemeClr w14:val="tx1"/>
                  </w14:solidFill>
                </w14:textFill>
              </w:rPr>
            </w:pPr>
            <w:r>
              <w:rPr>
                <w:rFonts w:cs="宋体"/>
                <w:color w:val="000000" w:themeColor="text1"/>
                <w:sz w:val="24"/>
                <w14:textFill>
                  <w14:solidFill>
                    <w14:schemeClr w14:val="tx1"/>
                  </w14:solidFill>
                </w14:textFill>
              </w:rPr>
              <w:t>本项目不涉及电磁辐射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29"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固体废物</w:t>
            </w:r>
          </w:p>
        </w:tc>
        <w:tc>
          <w:tcPr>
            <w:tcW w:w="7971" w:type="dxa"/>
            <w:gridSpan w:val="4"/>
            <w:vAlign w:val="center"/>
          </w:tcPr>
          <w:p>
            <w:pPr>
              <w:adjustRightInd w:val="0"/>
              <w:snapToGrid w:val="0"/>
              <w:spacing w:line="360" w:lineRule="auto"/>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 1 \* GB3</w:instrText>
            </w:r>
            <w:r>
              <w:rPr>
                <w:color w:val="000000" w:themeColor="text1"/>
                <w:sz w:val="24"/>
                <w:szCs w:val="24"/>
                <w14:textFill>
                  <w14:solidFill>
                    <w14:schemeClr w14:val="tx1"/>
                  </w14:solidFill>
                </w14:textFill>
              </w:rPr>
              <w:instrText xml:space="preserve"> </w:instrText>
            </w:r>
            <w:r>
              <w:rPr>
                <w:color w:val="000000" w:themeColor="text1"/>
                <w:sz w:val="24"/>
                <w:szCs w:val="24"/>
                <w14:textFill>
                  <w14:solidFill>
                    <w14:schemeClr w14:val="tx1"/>
                  </w14:solidFill>
                </w14:textFill>
              </w:rPr>
              <w:fldChar w:fldCharType="separate"/>
            </w:r>
            <w:r>
              <w:rPr>
                <w:rFonts w:hint="eastAsia"/>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生活垃圾：收集后由环卫部门统一清运；</w:t>
            </w:r>
          </w:p>
          <w:p>
            <w:pPr>
              <w:adjustRightInd w:val="0"/>
              <w:snapToGrid w:val="0"/>
              <w:spacing w:line="360" w:lineRule="auto"/>
              <w:jc w:val="left"/>
              <w:rPr>
                <w:rFonts w:cs="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②一般工业固体废物：</w:t>
            </w:r>
            <w:r>
              <w:rPr>
                <w:rFonts w:hint="default" w:ascii="Times New Roman" w:hAnsi="Times New Roman" w:cs="Times New Roman"/>
                <w:spacing w:val="7"/>
                <w:sz w:val="24"/>
                <w:szCs w:val="24"/>
              </w:rPr>
              <w:t>混凝土渣、废铁渣、废钢棒端头</w:t>
            </w:r>
            <w:r>
              <w:rPr>
                <w:rFonts w:hint="eastAsia" w:cs="Times New Roman"/>
                <w:spacing w:val="7"/>
                <w:sz w:val="24"/>
                <w:szCs w:val="24"/>
                <w:lang w:eastAsia="zh-CN"/>
              </w:rPr>
              <w:t>、</w:t>
            </w:r>
            <w:r>
              <w:rPr>
                <w:rFonts w:hint="eastAsia" w:cs="Times New Roman"/>
                <w:spacing w:val="7"/>
                <w:sz w:val="24"/>
                <w:szCs w:val="24"/>
                <w:lang w:val="en-US" w:eastAsia="zh-CN"/>
              </w:rPr>
              <w:t>沉淀池底泥</w:t>
            </w:r>
            <w:r>
              <w:rPr>
                <w:rFonts w:hint="default" w:ascii="Times New Roman" w:hAnsi="Times New Roman" w:cs="Times New Roman"/>
                <w:spacing w:val="7"/>
                <w:sz w:val="24"/>
                <w:szCs w:val="24"/>
              </w:rPr>
              <w:t>集中</w:t>
            </w:r>
            <w:r>
              <w:rPr>
                <w:rFonts w:hint="default" w:ascii="Times New Roman" w:hAnsi="Times New Roman" w:cs="Times New Roman"/>
                <w:spacing w:val="6"/>
                <w:sz w:val="24"/>
                <w:szCs w:val="24"/>
              </w:rPr>
              <w:t>收集后外售综合利用；废离子交换树</w:t>
            </w:r>
            <w:r>
              <w:rPr>
                <w:rFonts w:hint="default" w:ascii="Times New Roman" w:hAnsi="Times New Roman" w:cs="Times New Roman"/>
                <w:spacing w:val="8"/>
                <w:sz w:val="24"/>
                <w:szCs w:val="24"/>
              </w:rPr>
              <w:t>脂由原厂回收综</w:t>
            </w:r>
            <w:r>
              <w:rPr>
                <w:rFonts w:hint="default" w:ascii="Times New Roman" w:hAnsi="Times New Roman" w:cs="Times New Roman"/>
                <w:color w:val="000000" w:themeColor="text1"/>
                <w:spacing w:val="8"/>
                <w:sz w:val="24"/>
                <w:szCs w:val="24"/>
                <w14:textFill>
                  <w14:solidFill>
                    <w14:schemeClr w14:val="tx1"/>
                  </w14:solidFill>
                </w14:textFill>
              </w:rPr>
              <w:t>合利用</w:t>
            </w:r>
            <w:r>
              <w:rPr>
                <w:rFonts w:hint="eastAsia"/>
                <w:color w:val="000000" w:themeColor="text1"/>
                <w:sz w:val="24"/>
                <w:szCs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29"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土壤及地下水</w:t>
            </w:r>
          </w:p>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污染防治措施</w:t>
            </w:r>
          </w:p>
        </w:tc>
        <w:tc>
          <w:tcPr>
            <w:tcW w:w="7971" w:type="dxa"/>
            <w:gridSpan w:val="4"/>
            <w:vAlign w:val="center"/>
          </w:tcPr>
          <w:p>
            <w:pPr>
              <w:adjustRightInd w:val="0"/>
              <w:snapToGrid w:val="0"/>
              <w:spacing w:line="360" w:lineRule="auto"/>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一般防渗区：</w:t>
            </w:r>
            <w:r>
              <w:rPr>
                <w:rFonts w:hint="eastAsia"/>
                <w:color w:val="000000" w:themeColor="text1"/>
                <w:sz w:val="24"/>
                <w:szCs w:val="24"/>
                <w:lang w:val="en-US" w:eastAsia="zh-CN"/>
                <w14:textFill>
                  <w14:solidFill>
                    <w14:schemeClr w14:val="tx1"/>
                  </w14:solidFill>
                </w14:textFill>
              </w:rPr>
              <w:t>循环水池、原料库、生产车间</w:t>
            </w:r>
            <w:r>
              <w:rPr>
                <w:rFonts w:hint="eastAsia"/>
                <w:color w:val="000000" w:themeColor="text1"/>
                <w:spacing w:val="3"/>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采取粘土铺底+抗渗混凝土进行防渗，使一般污染防治区各单元防渗层满足:等效黏土防护层Mb≥1.5m，K≤1×10</w:t>
            </w:r>
            <w:r>
              <w:rPr>
                <w:rFonts w:hint="eastAsia"/>
                <w:color w:val="000000" w:themeColor="text1"/>
                <w:sz w:val="24"/>
                <w:szCs w:val="24"/>
                <w:vertAlign w:val="superscript"/>
                <w14:textFill>
                  <w14:solidFill>
                    <w14:schemeClr w14:val="tx1"/>
                  </w14:solidFill>
                </w14:textFill>
              </w:rPr>
              <w:t>-7</w:t>
            </w:r>
            <w:r>
              <w:rPr>
                <w:rFonts w:hint="eastAsia"/>
                <w:color w:val="000000" w:themeColor="text1"/>
                <w:sz w:val="24"/>
                <w:szCs w:val="24"/>
                <w14:textFill>
                  <w14:solidFill>
                    <w14:schemeClr w14:val="tx1"/>
                  </w14:solidFill>
                </w14:textFill>
              </w:rPr>
              <w:t>cm/s。</w:t>
            </w:r>
          </w:p>
          <w:p>
            <w:pPr>
              <w:adjustRightInd w:val="0"/>
              <w:snapToGrid w:val="0"/>
              <w:spacing w:line="360" w:lineRule="auto"/>
              <w:jc w:val="left"/>
              <w:rPr>
                <w:rFonts w:cs="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简单防渗区：</w:t>
            </w:r>
            <w:r>
              <w:rPr>
                <w:color w:val="000000" w:themeColor="text1"/>
                <w:spacing w:val="7"/>
                <w:sz w:val="24"/>
                <w:szCs w:val="24"/>
                <w14:textFill>
                  <w14:solidFill>
                    <w14:schemeClr w14:val="tx1"/>
                  </w14:solidFill>
                </w14:textFill>
              </w:rPr>
              <w:t>厂区道路等其他厂区地面</w:t>
            </w:r>
            <w:r>
              <w:rPr>
                <w:rFonts w:hint="eastAsia"/>
                <w:color w:val="000000" w:themeColor="text1"/>
                <w:spacing w:val="7"/>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简单地面硬化。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29" w:type="dxa"/>
            <w:vAlign w:val="center"/>
          </w:tcPr>
          <w:p>
            <w:pPr>
              <w:adjustRightInd w:val="0"/>
              <w:snapToGrid w:val="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生态保护措施</w:t>
            </w:r>
          </w:p>
        </w:tc>
        <w:tc>
          <w:tcPr>
            <w:tcW w:w="7971" w:type="dxa"/>
            <w:gridSpan w:val="4"/>
            <w:vAlign w:val="center"/>
          </w:tcPr>
          <w:p>
            <w:pPr>
              <w:adjustRightInd w:val="0"/>
              <w:snapToGrid w:val="0"/>
              <w:spacing w:line="360" w:lineRule="auto"/>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加强厂区绿化；规范废气、废水、噪声、固体废物污染防治措施管理。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29" w:type="dxa"/>
            <w:vAlign w:val="center"/>
          </w:tcPr>
          <w:p>
            <w:pPr>
              <w:adjustRightInd w:val="0"/>
              <w:snapToGrid w:val="0"/>
              <w:jc w:val="center"/>
              <w:rPr>
                <w:rFonts w:cs="宋体"/>
                <w:color w:val="000000" w:themeColor="text1"/>
                <w:spacing w:val="-8"/>
                <w:sz w:val="24"/>
                <w14:textFill>
                  <w14:solidFill>
                    <w14:schemeClr w14:val="tx1"/>
                  </w14:solidFill>
                </w14:textFill>
              </w:rPr>
            </w:pPr>
            <w:r>
              <w:rPr>
                <w:rFonts w:hint="eastAsia" w:cs="宋体"/>
                <w:color w:val="000000" w:themeColor="text1"/>
                <w:spacing w:val="-8"/>
                <w:sz w:val="24"/>
                <w14:textFill>
                  <w14:solidFill>
                    <w14:schemeClr w14:val="tx1"/>
                  </w14:solidFill>
                </w14:textFill>
              </w:rPr>
              <w:t>环境风险</w:t>
            </w:r>
          </w:p>
          <w:p>
            <w:pPr>
              <w:adjustRightInd w:val="0"/>
              <w:snapToGrid w:val="0"/>
              <w:jc w:val="center"/>
              <w:rPr>
                <w:rFonts w:cs="宋体"/>
                <w:color w:val="000000" w:themeColor="text1"/>
                <w:spacing w:val="-8"/>
                <w:sz w:val="24"/>
                <w14:textFill>
                  <w14:solidFill>
                    <w14:schemeClr w14:val="tx1"/>
                  </w14:solidFill>
                </w14:textFill>
              </w:rPr>
            </w:pPr>
            <w:r>
              <w:rPr>
                <w:rFonts w:hint="eastAsia" w:cs="宋体"/>
                <w:color w:val="000000" w:themeColor="text1"/>
                <w:spacing w:val="-8"/>
                <w:sz w:val="24"/>
                <w14:textFill>
                  <w14:solidFill>
                    <w14:schemeClr w14:val="tx1"/>
                  </w14:solidFill>
                </w14:textFill>
              </w:rPr>
              <w:t>防范措施</w:t>
            </w:r>
          </w:p>
        </w:tc>
        <w:tc>
          <w:tcPr>
            <w:tcW w:w="7971" w:type="dxa"/>
            <w:gridSpan w:val="4"/>
            <w:vAlign w:val="center"/>
          </w:tcPr>
          <w:p>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①本项目要进行合理设计和规划，各相关设施的布置应符合相关防火距离的要求，投产前要检查厂房的消防设施，物料贮存区应设有较完善的消防系统及火灾报警系统；</w:t>
            </w:r>
          </w:p>
          <w:p>
            <w:pPr>
              <w:adjustRightInd w:val="0"/>
              <w:snapToGrid w:val="0"/>
              <w:spacing w:line="360" w:lineRule="auto"/>
              <w:jc w:val="left"/>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②严格岗位管理，确保废气处理设施正常运行，加强废气处理设施的运行管理和日常维护，若发现废气处理设施运行异常应立即检修，必要情况下停止生产；</w:t>
            </w:r>
          </w:p>
          <w:p>
            <w:pPr>
              <w:adjustRightInd w:val="0"/>
              <w:snapToGrid w:val="0"/>
              <w:spacing w:line="360" w:lineRule="auto"/>
              <w:jc w:val="left"/>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③根据《建设项目竣工环境保护验收暂行办法》的规定，建设项 目竣工后，建设单位应当自行开展竣工环境保护工作，编制验收监测报告，经验收合格后方可投入使用。</w:t>
            </w:r>
          </w:p>
          <w:p>
            <w:pPr>
              <w:adjustRightInd w:val="0"/>
              <w:snapToGrid w:val="0"/>
              <w:spacing w:line="360" w:lineRule="auto"/>
              <w:jc w:val="left"/>
              <w:rPr>
                <w:rFonts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④根据《企业事业单位环境信息公开办法》定期公布企业环境保护相关信息。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9" w:type="dxa"/>
            <w:vAlign w:val="center"/>
          </w:tcPr>
          <w:p>
            <w:pPr>
              <w:adjustRightInd w:val="0"/>
              <w:snapToGrid w:val="0"/>
              <w:jc w:val="center"/>
              <w:rPr>
                <w:rFonts w:cs="宋体"/>
                <w:color w:val="000000" w:themeColor="text1"/>
                <w:spacing w:val="-8"/>
                <w:sz w:val="24"/>
                <w14:textFill>
                  <w14:solidFill>
                    <w14:schemeClr w14:val="tx1"/>
                  </w14:solidFill>
                </w14:textFill>
              </w:rPr>
            </w:pPr>
            <w:r>
              <w:rPr>
                <w:rFonts w:hint="eastAsia" w:cs="宋体"/>
                <w:color w:val="000000" w:themeColor="text1"/>
                <w:spacing w:val="-8"/>
                <w:sz w:val="24"/>
                <w14:textFill>
                  <w14:solidFill>
                    <w14:schemeClr w14:val="tx1"/>
                  </w14:solidFill>
                </w14:textFill>
              </w:rPr>
              <w:t>其他环境</w:t>
            </w:r>
          </w:p>
          <w:p>
            <w:pPr>
              <w:adjustRightInd w:val="0"/>
              <w:snapToGrid w:val="0"/>
              <w:jc w:val="center"/>
              <w:rPr>
                <w:rFonts w:cs="宋体"/>
                <w:color w:val="000000" w:themeColor="text1"/>
                <w:spacing w:val="-8"/>
                <w:sz w:val="24"/>
                <w14:textFill>
                  <w14:solidFill>
                    <w14:schemeClr w14:val="tx1"/>
                  </w14:solidFill>
                </w14:textFill>
              </w:rPr>
            </w:pPr>
            <w:r>
              <w:rPr>
                <w:rFonts w:hint="eastAsia" w:cs="宋体"/>
                <w:color w:val="000000" w:themeColor="text1"/>
                <w:spacing w:val="-8"/>
                <w:sz w:val="24"/>
                <w14:textFill>
                  <w14:solidFill>
                    <w14:schemeClr w14:val="tx1"/>
                  </w14:solidFill>
                </w14:textFill>
              </w:rPr>
              <w:t>管理要求</w:t>
            </w:r>
          </w:p>
        </w:tc>
        <w:tc>
          <w:tcPr>
            <w:tcW w:w="7971" w:type="dxa"/>
            <w:gridSpan w:val="4"/>
            <w:vAlign w:val="center"/>
          </w:tcPr>
          <w:p>
            <w:pPr>
              <w:adjustRightInd w:val="0"/>
              <w:snapToGrid w:val="0"/>
              <w:spacing w:line="360" w:lineRule="auto"/>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①建立完善的安全、环境管理制度，设立专门安环部门；制定环境管理制度体系；建立环境管理台账；</w:t>
            </w:r>
          </w:p>
          <w:p>
            <w:pPr>
              <w:adjustRightInd w:val="0"/>
              <w:snapToGrid w:val="0"/>
              <w:spacing w:line="360" w:lineRule="auto"/>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②建立完善的环境监测制度，按照环境监测计划对项目废气、废水、厂界噪声等定期进行监测；</w:t>
            </w:r>
          </w:p>
          <w:p>
            <w:pPr>
              <w:adjustRightInd w:val="0"/>
              <w:snapToGrid w:val="0"/>
              <w:spacing w:line="360" w:lineRule="auto"/>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③按照要求设置在线检测设施；</w:t>
            </w:r>
          </w:p>
          <w:p>
            <w:pPr>
              <w:adjustRightInd w:val="0"/>
              <w:snapToGrid w:val="0"/>
              <w:spacing w:line="360" w:lineRule="auto"/>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④按照《固定污染源排污许可分类管理名录》（2019 年版），严格落实排污许可制度；</w:t>
            </w:r>
          </w:p>
          <w:p>
            <w:pPr>
              <w:adjustRightInd w:val="0"/>
              <w:snapToGrid w:val="0"/>
              <w:spacing w:line="360" w:lineRule="auto"/>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⑤落实环保资金，强化责任意识，加强员工安全培训和开展应急演练。</w:t>
            </w:r>
          </w:p>
          <w:p>
            <w:pPr>
              <w:adjustRightInd w:val="0"/>
              <w:snapToGrid w:val="0"/>
              <w:spacing w:line="360" w:lineRule="auto"/>
              <w:jc w:val="left"/>
              <w:rPr>
                <w:rFonts w:cs="宋体"/>
                <w:color w:val="000000" w:themeColor="text1"/>
                <w:sz w:val="24"/>
                <w14:textFill>
                  <w14:solidFill>
                    <w14:schemeClr w14:val="tx1"/>
                  </w14:solidFill>
                </w14:textFill>
              </w:rPr>
            </w:pPr>
          </w:p>
          <w:p/>
        </w:tc>
      </w:tr>
    </w:tbl>
    <w:p>
      <w:pPr>
        <w:pStyle w:val="20"/>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104"/>
              <w:spacing w:line="360" w:lineRule="auto"/>
              <w:ind w:firstLine="480" w:firstLineChars="200"/>
              <w:rPr>
                <w:rFonts w:ascii="宋体" w:cs="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本项目采取“三废”及噪声的治理措施经济技术可行，措施有效，在严格落实报告中各项措施后对周围环境质量影响较小。</w:t>
            </w:r>
            <w:r>
              <w:rPr>
                <w:rFonts w:hint="eastAsia" w:ascii="宋体" w:hAnsi="宋体"/>
                <w:color w:val="000000" w:themeColor="text1"/>
                <w:spacing w:val="2"/>
                <w:sz w:val="24"/>
                <w:szCs w:val="24"/>
                <w14:textFill>
                  <w14:solidFill>
                    <w14:schemeClr w14:val="tx1"/>
                  </w14:solidFill>
                </w14:textFill>
              </w:rPr>
              <w:t>建设单</w:t>
            </w:r>
            <w:r>
              <w:rPr>
                <w:rFonts w:hint="eastAsia" w:ascii="宋体" w:hAnsi="宋体"/>
                <w:color w:val="000000" w:themeColor="text1"/>
                <w:spacing w:val="3"/>
                <w:sz w:val="24"/>
                <w:szCs w:val="24"/>
                <w14:textFill>
                  <w14:solidFill>
                    <w14:schemeClr w14:val="tx1"/>
                  </w14:solidFill>
                </w14:textFill>
              </w:rPr>
              <w:t>位严格遵守环境保护</w:t>
            </w:r>
            <w:r>
              <w:rPr>
                <w:color w:val="000000" w:themeColor="text1"/>
                <w:spacing w:val="3"/>
                <w:sz w:val="24"/>
                <w:szCs w:val="24"/>
                <w14:textFill>
                  <w14:solidFill>
                    <w14:schemeClr w14:val="tx1"/>
                  </w14:solidFill>
                </w14:textFill>
              </w:rPr>
              <w:t>“</w:t>
            </w:r>
            <w:r>
              <w:rPr>
                <w:rFonts w:hint="eastAsia" w:ascii="宋体" w:hAnsi="宋体"/>
                <w:color w:val="000000" w:themeColor="text1"/>
                <w:spacing w:val="3"/>
                <w:sz w:val="24"/>
                <w:szCs w:val="24"/>
                <w14:textFill>
                  <w14:solidFill>
                    <w14:schemeClr w14:val="tx1"/>
                  </w14:solidFill>
                </w14:textFill>
              </w:rPr>
              <w:t>三同时</w:t>
            </w:r>
            <w:r>
              <w:rPr>
                <w:color w:val="000000" w:themeColor="text1"/>
                <w:spacing w:val="3"/>
                <w:sz w:val="24"/>
                <w:szCs w:val="24"/>
                <w14:textFill>
                  <w14:solidFill>
                    <w14:schemeClr w14:val="tx1"/>
                  </w14:solidFill>
                </w14:textFill>
              </w:rPr>
              <w:t>”</w:t>
            </w:r>
            <w:r>
              <w:rPr>
                <w:color w:val="000000" w:themeColor="text1"/>
                <w:spacing w:val="-41"/>
                <w:sz w:val="24"/>
                <w:szCs w:val="24"/>
                <w14:textFill>
                  <w14:solidFill>
                    <w14:schemeClr w14:val="tx1"/>
                  </w14:solidFill>
                </w14:textFill>
              </w:rPr>
              <w:t xml:space="preserve"> </w:t>
            </w:r>
            <w:r>
              <w:rPr>
                <w:rFonts w:hint="eastAsia" w:ascii="宋体" w:hAnsi="宋体"/>
                <w:color w:val="000000" w:themeColor="text1"/>
                <w:spacing w:val="3"/>
                <w:sz w:val="24"/>
                <w:szCs w:val="24"/>
                <w14:textFill>
                  <w14:solidFill>
                    <w14:schemeClr w14:val="tx1"/>
                  </w14:solidFill>
                </w14:textFill>
              </w:rPr>
              <w:t>管理制度，切实落</w:t>
            </w:r>
            <w:r>
              <w:rPr>
                <w:rFonts w:hint="eastAsia" w:ascii="宋体" w:hAnsi="宋体"/>
                <w:color w:val="000000" w:themeColor="text1"/>
                <w:spacing w:val="2"/>
                <w:sz w:val="24"/>
                <w:szCs w:val="24"/>
                <w14:textFill>
                  <w14:solidFill>
                    <w14:schemeClr w14:val="tx1"/>
                  </w14:solidFill>
                </w14:textFill>
              </w:rPr>
              <w:t>实本评价提出的各项环境保护措施，加强环境管理，认真对待和解决环境问题，做好环境保护工作，使各类污染</w:t>
            </w:r>
            <w:r>
              <w:rPr>
                <w:rFonts w:ascii="宋体" w:hAnsi="宋体"/>
                <w:color w:val="000000" w:themeColor="text1"/>
                <w:spacing w:val="-1"/>
                <w:sz w:val="24"/>
                <w:szCs w:val="24"/>
                <w14:textFill>
                  <w14:solidFill>
                    <w14:schemeClr w14:val="tx1"/>
                  </w14:solidFill>
                </w14:textFill>
              </w:rPr>
              <w:t>物做到达标排放，</w:t>
            </w:r>
            <w:r>
              <w:rPr>
                <w:rFonts w:hint="eastAsia" w:ascii="宋体" w:cs="宋体"/>
                <w:color w:val="000000" w:themeColor="text1"/>
                <w:sz w:val="24"/>
                <w14:textFill>
                  <w14:solidFill>
                    <w14:schemeClr w14:val="tx1"/>
                  </w14:solidFill>
                </w14:textFill>
              </w:rPr>
              <w:t>从环境保护角度而言，建设项目环境影响可行。</w:t>
            </w:r>
          </w:p>
          <w:p>
            <w:pPr>
              <w:spacing w:line="560" w:lineRule="exact"/>
              <w:ind w:firstLine="480" w:firstLineChars="200"/>
              <w:rPr>
                <w:rFonts w:ascii="宋体" w:cs="宋体"/>
                <w:color w:val="000000" w:themeColor="text1"/>
                <w:sz w:val="24"/>
                <w14:textFill>
                  <w14:solidFill>
                    <w14:schemeClr w14:val="tx1"/>
                  </w14:solidFill>
                </w14:textFill>
              </w:rPr>
            </w:pPr>
          </w:p>
          <w:p>
            <w:pPr>
              <w:spacing w:line="560" w:lineRule="exact"/>
              <w:ind w:firstLine="480" w:firstLineChars="200"/>
              <w:rPr>
                <w:rFonts w:ascii="宋体" w:cs="宋体"/>
                <w:color w:val="000000" w:themeColor="text1"/>
                <w:sz w:val="24"/>
                <w14:textFill>
                  <w14:solidFill>
                    <w14:schemeClr w14:val="tx1"/>
                  </w14:solidFill>
                </w14:textFill>
              </w:rPr>
            </w:pPr>
          </w:p>
        </w:tc>
      </w:tr>
    </w:tbl>
    <w:p>
      <w:pPr>
        <w:rPr>
          <w:rFonts w:ascii="宋体"/>
          <w:color w:val="000000" w:themeColor="text1"/>
          <w14:textFill>
            <w14:solidFill>
              <w14:schemeClr w14:val="tx1"/>
            </w14:solidFill>
          </w14:textFill>
        </w:rPr>
        <w:sectPr>
          <w:pgSz w:w="11905" w:h="16838"/>
          <w:pgMar w:top="1701" w:right="1531" w:bottom="2126" w:left="1531" w:header="851" w:footer="850" w:gutter="0"/>
          <w:cols w:space="0" w:num="1"/>
          <w:docGrid w:linePitch="312" w:charSpace="0"/>
        </w:sectPr>
      </w:pPr>
    </w:p>
    <w:p>
      <w:pPr>
        <w:pStyle w:val="19"/>
        <w:spacing w:after="0" w:line="240" w:lineRule="atLeas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附表</w:t>
      </w:r>
    </w:p>
    <w:p>
      <w:pPr>
        <w:spacing w:line="240" w:lineRule="atLeast"/>
        <w:ind w:firstLine="4819" w:firstLineChars="1500"/>
        <w:rPr>
          <w:rFonts w:ascii="方正小标宋_GBK" w:hAnsi="黑体" w:eastAsia="方正小标宋_GBK"/>
          <w:b/>
          <w:bCs/>
          <w:snapToGrid w:val="0"/>
          <w:color w:val="000000" w:themeColor="text1"/>
          <w:szCs w:val="38"/>
          <w14:textFill>
            <w14:solidFill>
              <w14:schemeClr w14:val="tx1"/>
            </w14:solidFill>
          </w14:textFill>
        </w:rPr>
      </w:pPr>
      <w:r>
        <w:rPr>
          <w:rFonts w:hint="eastAsia"/>
          <w:b/>
          <w:bCs/>
          <w:color w:val="000000" w:themeColor="text1"/>
          <w:sz w:val="32"/>
          <w:szCs w:val="32"/>
          <w14:textFill>
            <w14:solidFill>
              <w14:schemeClr w14:val="tx1"/>
            </w14:solidFill>
          </w14:textFill>
        </w:rPr>
        <w:t>建设项目污染物排放量汇总表</w:t>
      </w:r>
    </w:p>
    <w:tbl>
      <w:tblPr>
        <w:tblStyle w:val="24"/>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451"/>
        <w:gridCol w:w="1498"/>
        <w:gridCol w:w="1145"/>
        <w:gridCol w:w="1537"/>
        <w:gridCol w:w="1590"/>
        <w:gridCol w:w="1514"/>
        <w:gridCol w:w="1848"/>
        <w:gridCol w:w="13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39" w:type="pct"/>
            <w:tcBorders>
              <w:tl2br w:val="single" w:color="auto" w:sz="4" w:space="0"/>
            </w:tcBorders>
            <w:tcMar>
              <w:left w:w="28" w:type="dxa"/>
              <w:right w:w="28" w:type="dxa"/>
            </w:tcMar>
            <w:vAlign w:val="center"/>
          </w:tcPr>
          <w:p>
            <w:pPr>
              <w:pStyle w:val="42"/>
              <w:spacing w:beforeLines="0" w:afterLines="0" w:line="240" w:lineRule="auto"/>
              <w:rPr>
                <w:rFonts w:ascii="Times New Roman" w:cs="宋体"/>
                <w:snapToGrid w:val="0"/>
                <w:color w:val="000000" w:themeColor="text1"/>
                <w:spacing w:val="-6"/>
                <w:kern w:val="21"/>
                <w:szCs w:val="21"/>
                <w14:textFill>
                  <w14:solidFill>
                    <w14:schemeClr w14:val="tx1"/>
                  </w14:solidFill>
                </w14:textFill>
              </w:rPr>
            </w:pPr>
            <w:r>
              <w:rPr>
                <w:rFonts w:hint="eastAsia" w:ascii="Times New Roman" w:cs="宋体"/>
                <w:snapToGrid w:val="0"/>
                <w:color w:val="000000" w:themeColor="text1"/>
                <w:spacing w:val="-6"/>
                <w:kern w:val="21"/>
                <w:szCs w:val="21"/>
                <w14:textFill>
                  <w14:solidFill>
                    <w14:schemeClr w14:val="tx1"/>
                  </w14:solidFill>
                </w14:textFill>
              </w:rPr>
              <w:t xml:space="preserve">      项目</w:t>
            </w:r>
          </w:p>
          <w:p>
            <w:pPr>
              <w:pStyle w:val="42"/>
              <w:spacing w:beforeLines="0" w:afterLines="0" w:line="240" w:lineRule="auto"/>
              <w:jc w:val="both"/>
              <w:rPr>
                <w:rFonts w:ascii="Times New Roman" w:cs="宋体"/>
                <w:snapToGrid w:val="0"/>
                <w:color w:val="000000" w:themeColor="text1"/>
                <w:spacing w:val="-6"/>
                <w:kern w:val="21"/>
                <w:szCs w:val="21"/>
                <w14:textFill>
                  <w14:solidFill>
                    <w14:schemeClr w14:val="tx1"/>
                  </w14:solidFill>
                </w14:textFill>
              </w:rPr>
            </w:pPr>
            <w:r>
              <w:rPr>
                <w:rFonts w:hint="eastAsia" w:ascii="Times New Roman" w:cs="宋体"/>
                <w:snapToGrid w:val="0"/>
                <w:color w:val="000000" w:themeColor="text1"/>
                <w:spacing w:val="-6"/>
                <w:kern w:val="21"/>
                <w:szCs w:val="21"/>
                <w14:textFill>
                  <w14:solidFill>
                    <w14:schemeClr w14:val="tx1"/>
                  </w14:solidFill>
                </w14:textFill>
              </w:rPr>
              <w:t>分类</w:t>
            </w:r>
          </w:p>
        </w:tc>
        <w:tc>
          <w:tcPr>
            <w:tcW w:w="555" w:type="pct"/>
            <w:tcMar>
              <w:left w:w="28" w:type="dxa"/>
              <w:right w:w="28" w:type="dxa"/>
            </w:tcMar>
            <w:vAlign w:val="center"/>
          </w:tcPr>
          <w:p>
            <w:pPr>
              <w:pStyle w:val="42"/>
              <w:spacing w:beforeLines="0" w:afterLines="0" w:line="240" w:lineRule="auto"/>
              <w:rPr>
                <w:rFonts w:ascii="Times New Roman" w:cs="宋体"/>
                <w:snapToGrid w:val="0"/>
                <w:color w:val="000000" w:themeColor="text1"/>
                <w:spacing w:val="-6"/>
                <w:kern w:val="21"/>
                <w:szCs w:val="21"/>
                <w14:textFill>
                  <w14:solidFill>
                    <w14:schemeClr w14:val="tx1"/>
                  </w14:solidFill>
                </w14:textFill>
              </w:rPr>
            </w:pPr>
            <w:r>
              <w:rPr>
                <w:rFonts w:hint="eastAsia" w:ascii="Times New Roman" w:cs="宋体"/>
                <w:snapToGrid w:val="0"/>
                <w:color w:val="000000" w:themeColor="text1"/>
                <w:spacing w:val="-6"/>
                <w:kern w:val="21"/>
                <w:szCs w:val="21"/>
                <w14:textFill>
                  <w14:solidFill>
                    <w14:schemeClr w14:val="tx1"/>
                  </w14:solidFill>
                </w14:textFill>
              </w:rPr>
              <w:t>污染物名称</w:t>
            </w:r>
          </w:p>
        </w:tc>
        <w:tc>
          <w:tcPr>
            <w:tcW w:w="573" w:type="pct"/>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现有工程</w:t>
            </w:r>
          </w:p>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w:t>
            </w:r>
            <w:r>
              <w:rPr>
                <w:rFonts w:hint="eastAsia" w:ascii="Times New Roman"/>
                <w:snapToGrid w:val="0"/>
                <w:color w:val="000000" w:themeColor="text1"/>
                <w:spacing w:val="-6"/>
                <w:kern w:val="21"/>
                <w:szCs w:val="21"/>
                <w14:textFill>
                  <w14:solidFill>
                    <w14:schemeClr w14:val="tx1"/>
                  </w14:solidFill>
                </w14:textFill>
              </w:rPr>
              <w:t>体</w:t>
            </w:r>
            <w:r>
              <w:rPr>
                <w:rFonts w:ascii="Times New Roman"/>
                <w:snapToGrid w:val="0"/>
                <w:color w:val="000000" w:themeColor="text1"/>
                <w:spacing w:val="-6"/>
                <w:kern w:val="21"/>
                <w:szCs w:val="21"/>
                <w14:textFill>
                  <w14:solidFill>
                    <w14:schemeClr w14:val="tx1"/>
                  </w14:solidFill>
                </w14:textFill>
              </w:rPr>
              <w:t>废</w:t>
            </w:r>
            <w:r>
              <w:rPr>
                <w:rFonts w:hint="eastAsia" w:ascii="Times New Roman"/>
                <w:snapToGrid w:val="0"/>
                <w:color w:val="000000" w:themeColor="text1"/>
                <w:spacing w:val="-6"/>
                <w:kern w:val="21"/>
                <w:szCs w:val="21"/>
                <w14:textFill>
                  <w14:solidFill>
                    <w14:schemeClr w14:val="tx1"/>
                  </w14:solidFill>
                </w14:textFill>
              </w:rPr>
              <w:t>物</w:t>
            </w:r>
            <w:r>
              <w:rPr>
                <w:rFonts w:ascii="Times New Roman"/>
                <w:snapToGrid w:val="0"/>
                <w:color w:val="000000" w:themeColor="text1"/>
                <w:spacing w:val="-6"/>
                <w:kern w:val="21"/>
                <w:szCs w:val="21"/>
                <w14:textFill>
                  <w14:solidFill>
                    <w14:schemeClr w14:val="tx1"/>
                  </w14:solidFill>
                </w14:textFill>
              </w:rPr>
              <w:t>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s="宋体"/>
                <w:color w:val="000000" w:themeColor="text1"/>
                <w:kern w:val="2"/>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tc>
        <w:tc>
          <w:tcPr>
            <w:tcW w:w="438" w:type="pct"/>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现有工程</w:t>
            </w:r>
          </w:p>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许可排放量</w:t>
            </w:r>
          </w:p>
          <w:p>
            <w:pPr>
              <w:pStyle w:val="42"/>
              <w:spacing w:beforeLines="0" w:afterLine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2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s="宋体"/>
                <w:snapToGrid w:val="0"/>
                <w:color w:val="000000" w:themeColor="text1"/>
                <w:spacing w:val="-6"/>
                <w:kern w:val="21"/>
                <w:szCs w:val="21"/>
                <w14:textFill>
                  <w14:solidFill>
                    <w14:schemeClr w14:val="tx1"/>
                  </w14:solidFill>
                </w14:textFill>
              </w:rPr>
              <w:t>②</w:t>
            </w:r>
            <w:r>
              <w:rPr>
                <w:rFonts w:ascii="Times New Roman"/>
                <w:snapToGrid w:val="0"/>
                <w:color w:val="000000" w:themeColor="text1"/>
                <w:spacing w:val="-6"/>
                <w:kern w:val="21"/>
                <w:szCs w:val="21"/>
                <w14:textFill>
                  <w14:solidFill>
                    <w14:schemeClr w14:val="tx1"/>
                  </w14:solidFill>
                </w14:textFill>
              </w:rPr>
              <w:fldChar w:fldCharType="end"/>
            </w:r>
          </w:p>
        </w:tc>
        <w:tc>
          <w:tcPr>
            <w:tcW w:w="588" w:type="pct"/>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在建工程</w:t>
            </w:r>
          </w:p>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w:t>
            </w:r>
            <w:r>
              <w:rPr>
                <w:rFonts w:hint="eastAsia" w:ascii="Times New Roman"/>
                <w:snapToGrid w:val="0"/>
                <w:color w:val="000000" w:themeColor="text1"/>
                <w:spacing w:val="-6"/>
                <w:kern w:val="21"/>
                <w:szCs w:val="21"/>
                <w14:textFill>
                  <w14:solidFill>
                    <w14:schemeClr w14:val="tx1"/>
                  </w14:solidFill>
                </w14:textFill>
              </w:rPr>
              <w:t>体</w:t>
            </w:r>
            <w:r>
              <w:rPr>
                <w:rFonts w:ascii="Times New Roman"/>
                <w:snapToGrid w:val="0"/>
                <w:color w:val="000000" w:themeColor="text1"/>
                <w:spacing w:val="-6"/>
                <w:kern w:val="21"/>
                <w:szCs w:val="21"/>
                <w14:textFill>
                  <w14:solidFill>
                    <w14:schemeClr w14:val="tx1"/>
                  </w14:solidFill>
                </w14:textFill>
              </w:rPr>
              <w:t>废</w:t>
            </w:r>
            <w:r>
              <w:rPr>
                <w:rFonts w:hint="eastAsia" w:ascii="Times New Roman"/>
                <w:snapToGrid w:val="0"/>
                <w:color w:val="000000" w:themeColor="text1"/>
                <w:spacing w:val="-6"/>
                <w:kern w:val="21"/>
                <w:szCs w:val="21"/>
                <w14:textFill>
                  <w14:solidFill>
                    <w14:schemeClr w14:val="tx1"/>
                  </w14:solidFill>
                </w14:textFill>
              </w:rPr>
              <w:t>物</w:t>
            </w:r>
            <w:r>
              <w:rPr>
                <w:rFonts w:ascii="Times New Roman"/>
                <w:snapToGrid w:val="0"/>
                <w:color w:val="000000" w:themeColor="text1"/>
                <w:spacing w:val="-6"/>
                <w:kern w:val="21"/>
                <w:szCs w:val="21"/>
                <w14:textFill>
                  <w14:solidFill>
                    <w14:schemeClr w14:val="tx1"/>
                  </w14:solidFill>
                </w14:textFill>
              </w:rPr>
              <w:t>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s="宋体"/>
                <w:color w:val="000000" w:themeColor="text1"/>
                <w:kern w:val="2"/>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p>
        </w:tc>
        <w:tc>
          <w:tcPr>
            <w:tcW w:w="608" w:type="pct"/>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本项目</w:t>
            </w:r>
          </w:p>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w:t>
            </w:r>
            <w:r>
              <w:rPr>
                <w:rFonts w:hint="eastAsia" w:ascii="Times New Roman"/>
                <w:snapToGrid w:val="0"/>
                <w:color w:val="000000" w:themeColor="text1"/>
                <w:spacing w:val="-6"/>
                <w:kern w:val="21"/>
                <w:szCs w:val="21"/>
                <w14:textFill>
                  <w14:solidFill>
                    <w14:schemeClr w14:val="tx1"/>
                  </w14:solidFill>
                </w14:textFill>
              </w:rPr>
              <w:t>体</w:t>
            </w:r>
            <w:r>
              <w:rPr>
                <w:rFonts w:ascii="Times New Roman"/>
                <w:snapToGrid w:val="0"/>
                <w:color w:val="000000" w:themeColor="text1"/>
                <w:spacing w:val="-6"/>
                <w:kern w:val="21"/>
                <w:szCs w:val="21"/>
                <w14:textFill>
                  <w14:solidFill>
                    <w14:schemeClr w14:val="tx1"/>
                  </w14:solidFill>
                </w14:textFill>
              </w:rPr>
              <w:t>废</w:t>
            </w:r>
            <w:r>
              <w:rPr>
                <w:rFonts w:hint="eastAsia" w:ascii="Times New Roman"/>
                <w:snapToGrid w:val="0"/>
                <w:color w:val="000000" w:themeColor="text1"/>
                <w:spacing w:val="-6"/>
                <w:kern w:val="21"/>
                <w:szCs w:val="21"/>
                <w14:textFill>
                  <w14:solidFill>
                    <w14:schemeClr w14:val="tx1"/>
                  </w14:solidFill>
                </w14:textFill>
              </w:rPr>
              <w:t>物</w:t>
            </w:r>
            <w:r>
              <w:rPr>
                <w:rFonts w:ascii="Times New Roman"/>
                <w:snapToGrid w:val="0"/>
                <w:color w:val="000000" w:themeColor="text1"/>
                <w:spacing w:val="-6"/>
                <w:kern w:val="21"/>
                <w:szCs w:val="21"/>
                <w14:textFill>
                  <w14:solidFill>
                    <w14:schemeClr w14:val="tx1"/>
                  </w14:solidFill>
                </w14:textFill>
              </w:rPr>
              <w:t>产生量）</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s="宋体"/>
                <w:color w:val="000000" w:themeColor="text1"/>
                <w:kern w:val="2"/>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p>
        </w:tc>
        <w:tc>
          <w:tcPr>
            <w:tcW w:w="579" w:type="pct"/>
            <w:tcMar>
              <w:left w:w="28" w:type="dxa"/>
              <w:right w:w="28" w:type="dxa"/>
            </w:tcMar>
            <w:vAlign w:val="center"/>
          </w:tcPr>
          <w:p>
            <w:pPr>
              <w:pStyle w:val="42"/>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以新带老削减量</w:t>
            </w:r>
          </w:p>
          <w:p>
            <w:pPr>
              <w:pStyle w:val="42"/>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（新建项目不填）</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ascii="Times New Roman" w:cs="宋体"/>
                <w:color w:val="000000" w:themeColor="text1"/>
                <w:kern w:val="2"/>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p>
        </w:tc>
        <w:tc>
          <w:tcPr>
            <w:tcW w:w="707" w:type="pct"/>
            <w:tcMar>
              <w:left w:w="28" w:type="dxa"/>
              <w:right w:w="28" w:type="dxa"/>
            </w:tcMar>
            <w:vAlign w:val="center"/>
          </w:tcPr>
          <w:p>
            <w:pPr>
              <w:pStyle w:val="42"/>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本项目建成后</w:t>
            </w:r>
          </w:p>
          <w:p>
            <w:pPr>
              <w:pStyle w:val="42"/>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hint="eastAsia" w:ascii="Times New Roman"/>
                <w:snapToGrid w:val="0"/>
                <w:color w:val="000000" w:themeColor="text1"/>
                <w:spacing w:val="-16"/>
                <w:kern w:val="21"/>
                <w:szCs w:val="21"/>
                <w14:textFill>
                  <w14:solidFill>
                    <w14:schemeClr w14:val="tx1"/>
                  </w14:solidFill>
                </w14:textFill>
              </w:rPr>
              <w:t>全厂</w:t>
            </w:r>
            <w:r>
              <w:rPr>
                <w:rFonts w:ascii="Times New Roman"/>
                <w:snapToGrid w:val="0"/>
                <w:color w:val="000000" w:themeColor="text1"/>
                <w:spacing w:val="-16"/>
                <w:kern w:val="21"/>
                <w:szCs w:val="21"/>
                <w14:textFill>
                  <w14:solidFill>
                    <w14:schemeClr w14:val="tx1"/>
                  </w14:solidFill>
                </w14:textFill>
              </w:rPr>
              <w:t>排放量（固</w:t>
            </w:r>
            <w:r>
              <w:rPr>
                <w:rFonts w:hint="eastAsia" w:ascii="Times New Roman"/>
                <w:snapToGrid w:val="0"/>
                <w:color w:val="000000" w:themeColor="text1"/>
                <w:spacing w:val="-16"/>
                <w:kern w:val="21"/>
                <w:szCs w:val="21"/>
                <w14:textFill>
                  <w14:solidFill>
                    <w14:schemeClr w14:val="tx1"/>
                  </w14:solidFill>
                </w14:textFill>
              </w:rPr>
              <w:t>体</w:t>
            </w:r>
            <w:r>
              <w:rPr>
                <w:rFonts w:ascii="Times New Roman"/>
                <w:snapToGrid w:val="0"/>
                <w:color w:val="000000" w:themeColor="text1"/>
                <w:spacing w:val="-16"/>
                <w:kern w:val="21"/>
                <w:szCs w:val="21"/>
                <w14:textFill>
                  <w14:solidFill>
                    <w14:schemeClr w14:val="tx1"/>
                  </w14:solidFill>
                </w14:textFill>
              </w:rPr>
              <w:t>废</w:t>
            </w:r>
            <w:r>
              <w:rPr>
                <w:rFonts w:hint="eastAsia" w:ascii="Times New Roman"/>
                <w:snapToGrid w:val="0"/>
                <w:color w:val="000000" w:themeColor="text1"/>
                <w:spacing w:val="-16"/>
                <w:kern w:val="21"/>
                <w:szCs w:val="21"/>
                <w14:textFill>
                  <w14:solidFill>
                    <w14:schemeClr w14:val="tx1"/>
                  </w14:solidFill>
                </w14:textFill>
              </w:rPr>
              <w:t>物</w:t>
            </w:r>
            <w:r>
              <w:rPr>
                <w:rFonts w:ascii="Times New Roman"/>
                <w:snapToGrid w:val="0"/>
                <w:color w:val="000000" w:themeColor="text1"/>
                <w:spacing w:val="-16"/>
                <w:kern w:val="21"/>
                <w:szCs w:val="21"/>
                <w14:textFill>
                  <w14:solidFill>
                    <w14:schemeClr w14:val="tx1"/>
                  </w14:solidFill>
                </w14:textFill>
              </w:rPr>
              <w:t>产生量）</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ascii="Times New Roman" w:cs="宋体"/>
                <w:color w:val="000000" w:themeColor="text1"/>
                <w:kern w:val="2"/>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p>
        </w:tc>
        <w:tc>
          <w:tcPr>
            <w:tcW w:w="509" w:type="pct"/>
            <w:tcMar>
              <w:left w:w="28" w:type="dxa"/>
              <w:right w:w="28" w:type="dxa"/>
            </w:tcMar>
            <w:vAlign w:val="center"/>
          </w:tcPr>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变化量</w:t>
            </w:r>
          </w:p>
          <w:p>
            <w:pPr>
              <w:pStyle w:val="42"/>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s="宋体"/>
                <w:color w:val="000000" w:themeColor="text1"/>
                <w:kern w:val="2"/>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restar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废气</w:t>
            </w:r>
          </w:p>
        </w:tc>
        <w:tc>
          <w:tcPr>
            <w:tcW w:w="555" w:type="pct"/>
            <w:vAlign w:val="top"/>
          </w:tcPr>
          <w:p>
            <w:pPr>
              <w:pStyle w:val="42"/>
              <w:spacing w:beforeLines="0" w:afterLines="0" w:line="240" w:lineRule="auto"/>
              <w:rPr>
                <w:rFonts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颗粒物</w:t>
            </w:r>
          </w:p>
        </w:tc>
        <w:tc>
          <w:tcPr>
            <w:tcW w:w="573"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2.08</w:t>
            </w:r>
            <w:r>
              <w:rPr>
                <w:rFonts w:hint="eastAsia" w:ascii="Times New Roman" w:cs="宋体"/>
                <w:snapToGrid w:val="0"/>
                <w:color w:val="000000" w:themeColor="text1"/>
                <w:kern w:val="21"/>
                <w:szCs w:val="21"/>
                <w14:textFill>
                  <w14:solidFill>
                    <w14:schemeClr w14:val="tx1"/>
                  </w14:solidFill>
                </w14:textFill>
              </w:rPr>
              <w:t>t/a</w:t>
            </w:r>
          </w:p>
        </w:tc>
        <w:tc>
          <w:tcPr>
            <w:tcW w:w="579"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1848" w:type="dxa"/>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2.08</w:t>
            </w:r>
            <w:r>
              <w:rPr>
                <w:rFonts w:hint="eastAsia" w:ascii="Times New Roman" w:cs="宋体"/>
                <w:snapToGrid w:val="0"/>
                <w:color w:val="000000" w:themeColor="text1"/>
                <w:kern w:val="21"/>
                <w:szCs w:val="21"/>
                <w14:textFill>
                  <w14:solidFill>
                    <w14:schemeClr w14:val="tx1"/>
                  </w14:solidFill>
                </w14:textFill>
              </w:rPr>
              <w:t>t/a</w:t>
            </w:r>
          </w:p>
        </w:tc>
        <w:tc>
          <w:tcPr>
            <w:tcW w:w="1331" w:type="dxa"/>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+2.08</w:t>
            </w:r>
            <w:r>
              <w:rPr>
                <w:rFonts w:hint="eastAsia" w:ascii="Times New Roman" w:cs="宋体"/>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p>
        </w:tc>
        <w:tc>
          <w:tcPr>
            <w:tcW w:w="555" w:type="pct"/>
            <w:vAlign w:val="top"/>
          </w:tcPr>
          <w:p>
            <w:pPr>
              <w:pStyle w:val="42"/>
              <w:spacing w:beforeLines="0" w:afterLines="0" w:line="240" w:lineRule="auto"/>
              <w:jc w:val="center"/>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t>二氧化硫</w:t>
            </w:r>
          </w:p>
        </w:tc>
        <w:tc>
          <w:tcPr>
            <w:tcW w:w="573"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0.215</w:t>
            </w:r>
            <w:r>
              <w:rPr>
                <w:rFonts w:hint="eastAsia" w:ascii="Times New Roman" w:cs="宋体"/>
                <w:snapToGrid w:val="0"/>
                <w:color w:val="000000" w:themeColor="text1"/>
                <w:kern w:val="21"/>
                <w:szCs w:val="21"/>
                <w14:textFill>
                  <w14:solidFill>
                    <w14:schemeClr w14:val="tx1"/>
                  </w14:solidFill>
                </w14:textFill>
              </w:rPr>
              <w:t>t/a</w:t>
            </w:r>
          </w:p>
        </w:tc>
        <w:tc>
          <w:tcPr>
            <w:tcW w:w="579"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1848" w:type="dxa"/>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0.215</w:t>
            </w:r>
            <w:r>
              <w:rPr>
                <w:rFonts w:hint="eastAsia" w:ascii="Times New Roman" w:cs="宋体"/>
                <w:snapToGrid w:val="0"/>
                <w:color w:val="000000" w:themeColor="text1"/>
                <w:kern w:val="21"/>
                <w:szCs w:val="21"/>
                <w14:textFill>
                  <w14:solidFill>
                    <w14:schemeClr w14:val="tx1"/>
                  </w14:solidFill>
                </w14:textFill>
              </w:rPr>
              <w:t>t/a</w:t>
            </w:r>
          </w:p>
        </w:tc>
        <w:tc>
          <w:tcPr>
            <w:tcW w:w="1331" w:type="dxa"/>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+0.215</w:t>
            </w:r>
            <w:r>
              <w:rPr>
                <w:rFonts w:hint="eastAsia" w:ascii="Times New Roman" w:cs="宋体"/>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p>
        </w:tc>
        <w:tc>
          <w:tcPr>
            <w:tcW w:w="555" w:type="pct"/>
            <w:vAlign w:val="top"/>
          </w:tcPr>
          <w:p>
            <w:pPr>
              <w:pStyle w:val="42"/>
              <w:spacing w:beforeLines="0" w:afterLines="0" w:line="240" w:lineRule="auto"/>
              <w:rPr>
                <w:rFonts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氮氧化物</w:t>
            </w:r>
          </w:p>
        </w:tc>
        <w:tc>
          <w:tcPr>
            <w:tcW w:w="573" w:type="pct"/>
            <w:vAlign w:val="center"/>
          </w:tcPr>
          <w:p>
            <w:pPr>
              <w:pStyle w:val="42"/>
              <w:spacing w:beforeLines="0" w:afterLines="0" w:line="240" w:lineRule="auto"/>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pStyle w:val="42"/>
              <w:spacing w:beforeLines="0" w:afterLines="0" w:line="240" w:lineRule="auto"/>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1.499</w:t>
            </w:r>
            <w:r>
              <w:rPr>
                <w:rFonts w:hint="eastAsia" w:ascii="Times New Roman" w:cs="宋体"/>
                <w:snapToGrid w:val="0"/>
                <w:color w:val="000000" w:themeColor="text1"/>
                <w:kern w:val="21"/>
                <w:szCs w:val="21"/>
                <w14:textFill>
                  <w14:solidFill>
                    <w14:schemeClr w14:val="tx1"/>
                  </w14:solidFill>
                </w14:textFill>
              </w:rPr>
              <w:t>t/a</w:t>
            </w:r>
          </w:p>
        </w:tc>
        <w:tc>
          <w:tcPr>
            <w:tcW w:w="579" w:type="pct"/>
            <w:vAlign w:val="center"/>
          </w:tcPr>
          <w:p>
            <w:pPr>
              <w:pStyle w:val="42"/>
              <w:spacing w:beforeLines="0" w:afterLines="0" w:line="240" w:lineRule="auto"/>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1848" w:type="dxa"/>
            <w:vAlign w:val="center"/>
          </w:tcPr>
          <w:p>
            <w:pPr>
              <w:pStyle w:val="42"/>
              <w:spacing w:beforeLines="0" w:afterLines="0" w:line="240" w:lineRule="auto"/>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1.499</w:t>
            </w:r>
            <w:r>
              <w:rPr>
                <w:rFonts w:hint="eastAsia" w:ascii="Times New Roman" w:cs="宋体"/>
                <w:snapToGrid w:val="0"/>
                <w:color w:val="000000" w:themeColor="text1"/>
                <w:kern w:val="21"/>
                <w:szCs w:val="21"/>
                <w14:textFill>
                  <w14:solidFill>
                    <w14:schemeClr w14:val="tx1"/>
                  </w14:solidFill>
                </w14:textFill>
              </w:rPr>
              <w:t>t/a</w:t>
            </w:r>
          </w:p>
        </w:tc>
        <w:tc>
          <w:tcPr>
            <w:tcW w:w="1331" w:type="dxa"/>
            <w:vAlign w:val="center"/>
          </w:tcPr>
          <w:p>
            <w:pPr>
              <w:pStyle w:val="42"/>
              <w:spacing w:beforeLines="0" w:afterLines="0" w:line="240" w:lineRule="auto"/>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+1.499</w:t>
            </w:r>
            <w:r>
              <w:rPr>
                <w:rFonts w:hint="eastAsia" w:ascii="Times New Roman" w:cs="宋体"/>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restar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废水</w:t>
            </w:r>
          </w:p>
        </w:tc>
        <w:tc>
          <w:tcPr>
            <w:tcW w:w="555" w:type="pct"/>
            <w:vAlign w:val="top"/>
          </w:tcPr>
          <w:p>
            <w:pPr>
              <w:pStyle w:val="42"/>
              <w:spacing w:beforeLines="0" w:afterLines="0" w:line="240" w:lineRule="auto"/>
              <w:rPr>
                <w:rFonts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化学需氧量</w:t>
            </w:r>
          </w:p>
        </w:tc>
        <w:tc>
          <w:tcPr>
            <w:tcW w:w="573"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1.62</w:t>
            </w:r>
            <w:r>
              <w:rPr>
                <w:rFonts w:hint="eastAsia"/>
                <w:color w:val="000000" w:themeColor="text1"/>
                <w:szCs w:val="21"/>
                <w14:textFill>
                  <w14:solidFill>
                    <w14:schemeClr w14:val="tx1"/>
                  </w14:solidFill>
                </w14:textFill>
              </w:rPr>
              <w:t>t/a</w:t>
            </w:r>
          </w:p>
        </w:tc>
        <w:tc>
          <w:tcPr>
            <w:tcW w:w="579"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1848" w:type="dxa"/>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1.62</w:t>
            </w:r>
            <w:r>
              <w:rPr>
                <w:rFonts w:hint="eastAsia"/>
                <w:color w:val="000000" w:themeColor="text1"/>
                <w:szCs w:val="21"/>
                <w14:textFill>
                  <w14:solidFill>
                    <w14:schemeClr w14:val="tx1"/>
                  </w14:solidFill>
                </w14:textFill>
              </w:rPr>
              <w:t>t/a</w:t>
            </w:r>
          </w:p>
        </w:tc>
        <w:tc>
          <w:tcPr>
            <w:tcW w:w="1331" w:type="dxa"/>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+1.62</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p>
        </w:tc>
        <w:tc>
          <w:tcPr>
            <w:tcW w:w="555" w:type="pct"/>
            <w:vAlign w:val="top"/>
          </w:tcPr>
          <w:p>
            <w:pPr>
              <w:pStyle w:val="42"/>
              <w:spacing w:beforeLines="0" w:afterLines="0" w:line="240" w:lineRule="auto"/>
              <w:rPr>
                <w:rFonts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五日生化需 氧量</w:t>
            </w:r>
          </w:p>
        </w:tc>
        <w:tc>
          <w:tcPr>
            <w:tcW w:w="573"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0.97</w:t>
            </w:r>
            <w:r>
              <w:rPr>
                <w:rFonts w:hint="eastAsia"/>
                <w:color w:val="000000" w:themeColor="text1"/>
                <w:szCs w:val="21"/>
                <w14:textFill>
                  <w14:solidFill>
                    <w14:schemeClr w14:val="tx1"/>
                  </w14:solidFill>
                </w14:textFill>
              </w:rPr>
              <w:t>t/a</w:t>
            </w:r>
          </w:p>
        </w:tc>
        <w:tc>
          <w:tcPr>
            <w:tcW w:w="579"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1848" w:type="dxa"/>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0.97</w:t>
            </w:r>
            <w:r>
              <w:rPr>
                <w:rFonts w:hint="eastAsia"/>
                <w:color w:val="000000" w:themeColor="text1"/>
                <w:szCs w:val="21"/>
                <w14:textFill>
                  <w14:solidFill>
                    <w14:schemeClr w14:val="tx1"/>
                  </w14:solidFill>
                </w14:textFill>
              </w:rPr>
              <w:t>t/a</w:t>
            </w:r>
          </w:p>
        </w:tc>
        <w:tc>
          <w:tcPr>
            <w:tcW w:w="1331" w:type="dxa"/>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+0.97</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p>
        </w:tc>
        <w:tc>
          <w:tcPr>
            <w:tcW w:w="555" w:type="pct"/>
            <w:vAlign w:val="top"/>
          </w:tcPr>
          <w:p>
            <w:pPr>
              <w:pStyle w:val="42"/>
              <w:spacing w:beforeLines="0" w:afterLines="0" w:line="240" w:lineRule="auto"/>
              <w:rPr>
                <w:rFonts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悬浮物</w:t>
            </w:r>
          </w:p>
        </w:tc>
        <w:tc>
          <w:tcPr>
            <w:tcW w:w="573"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1.30</w:t>
            </w:r>
            <w:r>
              <w:rPr>
                <w:rFonts w:hint="eastAsia"/>
                <w:color w:val="000000" w:themeColor="text1"/>
                <w:szCs w:val="21"/>
                <w14:textFill>
                  <w14:solidFill>
                    <w14:schemeClr w14:val="tx1"/>
                  </w14:solidFill>
                </w14:textFill>
              </w:rPr>
              <w:t>t/a</w:t>
            </w:r>
          </w:p>
        </w:tc>
        <w:tc>
          <w:tcPr>
            <w:tcW w:w="579"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1848" w:type="dxa"/>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1.30</w:t>
            </w:r>
            <w:r>
              <w:rPr>
                <w:rFonts w:hint="eastAsia"/>
                <w:color w:val="000000" w:themeColor="text1"/>
                <w:szCs w:val="21"/>
                <w14:textFill>
                  <w14:solidFill>
                    <w14:schemeClr w14:val="tx1"/>
                  </w14:solidFill>
                </w14:textFill>
              </w:rPr>
              <w:t>t/a</w:t>
            </w:r>
          </w:p>
        </w:tc>
        <w:tc>
          <w:tcPr>
            <w:tcW w:w="1331" w:type="dxa"/>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+1.30</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p>
        </w:tc>
        <w:tc>
          <w:tcPr>
            <w:tcW w:w="555" w:type="pct"/>
            <w:vAlign w:val="top"/>
          </w:tcPr>
          <w:p>
            <w:pPr>
              <w:pStyle w:val="42"/>
              <w:spacing w:beforeLines="0" w:afterLines="0" w:line="240" w:lineRule="auto"/>
              <w:rPr>
                <w:rFonts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氨氮</w:t>
            </w:r>
          </w:p>
        </w:tc>
        <w:tc>
          <w:tcPr>
            <w:tcW w:w="573"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0.19</w:t>
            </w:r>
            <w:r>
              <w:rPr>
                <w:rFonts w:hint="eastAsia"/>
                <w:color w:val="000000" w:themeColor="text1"/>
                <w:szCs w:val="21"/>
                <w14:textFill>
                  <w14:solidFill>
                    <w14:schemeClr w14:val="tx1"/>
                  </w14:solidFill>
                </w14:textFill>
              </w:rPr>
              <w:t>t/a</w:t>
            </w:r>
          </w:p>
        </w:tc>
        <w:tc>
          <w:tcPr>
            <w:tcW w:w="579"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1848" w:type="dxa"/>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0.19</w:t>
            </w:r>
            <w:r>
              <w:rPr>
                <w:rFonts w:hint="eastAsia"/>
                <w:color w:val="000000" w:themeColor="text1"/>
                <w:szCs w:val="21"/>
                <w14:textFill>
                  <w14:solidFill>
                    <w14:schemeClr w14:val="tx1"/>
                  </w14:solidFill>
                </w14:textFill>
              </w:rPr>
              <w:t>t/a</w:t>
            </w:r>
          </w:p>
        </w:tc>
        <w:tc>
          <w:tcPr>
            <w:tcW w:w="1331" w:type="dxa"/>
            <w:vAlign w:val="center"/>
          </w:tcPr>
          <w:p>
            <w:pPr>
              <w:jc w:val="center"/>
              <w:rPr>
                <w:rFonts w:cs="宋体"/>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+0.19</w:t>
            </w:r>
            <w:r>
              <w:rPr>
                <w:rFonts w:hint="eastAsia"/>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restar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一般工业</w:t>
            </w:r>
          </w:p>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固体废物</w:t>
            </w:r>
          </w:p>
        </w:tc>
        <w:tc>
          <w:tcPr>
            <w:tcW w:w="555" w:type="pct"/>
            <w:vAlign w:val="top"/>
          </w:tcPr>
          <w:p>
            <w:pPr>
              <w:pStyle w:val="42"/>
              <w:spacing w:beforeLines="0" w:afterLines="0" w:line="240" w:lineRule="auto"/>
              <w:rPr>
                <w:rFonts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废铁渣</w:t>
            </w:r>
          </w:p>
        </w:tc>
        <w:tc>
          <w:tcPr>
            <w:tcW w:w="573"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80</w:t>
            </w:r>
            <w:r>
              <w:rPr>
                <w:rFonts w:hint="eastAsia" w:ascii="Times New Roman" w:cs="宋体"/>
                <w:snapToGrid w:val="0"/>
                <w:color w:val="000000" w:themeColor="text1"/>
                <w:kern w:val="21"/>
                <w:szCs w:val="21"/>
                <w14:textFill>
                  <w14:solidFill>
                    <w14:schemeClr w14:val="tx1"/>
                  </w14:solidFill>
                </w14:textFill>
              </w:rPr>
              <w:t>t/a</w:t>
            </w:r>
          </w:p>
        </w:tc>
        <w:tc>
          <w:tcPr>
            <w:tcW w:w="579"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1848" w:type="dxa"/>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80</w:t>
            </w:r>
            <w:r>
              <w:rPr>
                <w:rFonts w:hint="eastAsia" w:ascii="Times New Roman" w:cs="宋体"/>
                <w:snapToGrid w:val="0"/>
                <w:color w:val="000000" w:themeColor="text1"/>
                <w:kern w:val="21"/>
                <w:szCs w:val="21"/>
                <w14:textFill>
                  <w14:solidFill>
                    <w14:schemeClr w14:val="tx1"/>
                  </w14:solidFill>
                </w14:textFill>
              </w:rPr>
              <w:t>t/a</w:t>
            </w:r>
          </w:p>
        </w:tc>
        <w:tc>
          <w:tcPr>
            <w:tcW w:w="1331" w:type="dxa"/>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+80</w:t>
            </w:r>
            <w:r>
              <w:rPr>
                <w:rFonts w:hint="eastAsia" w:ascii="Times New Roman" w:cs="宋体"/>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p>
        </w:tc>
        <w:tc>
          <w:tcPr>
            <w:tcW w:w="555" w:type="pct"/>
            <w:vAlign w:val="top"/>
          </w:tcPr>
          <w:p>
            <w:pPr>
              <w:pStyle w:val="42"/>
              <w:spacing w:beforeLines="0" w:afterLines="0" w:line="240" w:lineRule="auto"/>
              <w:rPr>
                <w:rFonts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废钢棒端头</w:t>
            </w:r>
          </w:p>
        </w:tc>
        <w:tc>
          <w:tcPr>
            <w:tcW w:w="573"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240</w:t>
            </w:r>
            <w:r>
              <w:rPr>
                <w:rFonts w:hint="eastAsia" w:ascii="Times New Roman" w:cs="宋体"/>
                <w:snapToGrid w:val="0"/>
                <w:color w:val="000000" w:themeColor="text1"/>
                <w:kern w:val="21"/>
                <w:szCs w:val="21"/>
                <w14:textFill>
                  <w14:solidFill>
                    <w14:schemeClr w14:val="tx1"/>
                  </w14:solidFill>
                </w14:textFill>
              </w:rPr>
              <w:t>t/a</w:t>
            </w:r>
          </w:p>
        </w:tc>
        <w:tc>
          <w:tcPr>
            <w:tcW w:w="579"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1848" w:type="dxa"/>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240</w:t>
            </w:r>
            <w:r>
              <w:rPr>
                <w:rFonts w:hint="eastAsia" w:ascii="Times New Roman" w:cs="宋体"/>
                <w:snapToGrid w:val="0"/>
                <w:color w:val="000000" w:themeColor="text1"/>
                <w:kern w:val="21"/>
                <w:szCs w:val="21"/>
                <w14:textFill>
                  <w14:solidFill>
                    <w14:schemeClr w14:val="tx1"/>
                  </w14:solidFill>
                </w14:textFill>
              </w:rPr>
              <w:t>t/a</w:t>
            </w:r>
          </w:p>
        </w:tc>
        <w:tc>
          <w:tcPr>
            <w:tcW w:w="1331" w:type="dxa"/>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+240</w:t>
            </w:r>
            <w:r>
              <w:rPr>
                <w:rFonts w:hint="eastAsia" w:ascii="Times New Roman" w:cs="宋体"/>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p>
        </w:tc>
        <w:tc>
          <w:tcPr>
            <w:tcW w:w="555" w:type="pct"/>
            <w:vAlign w:val="top"/>
          </w:tcPr>
          <w:p>
            <w:pPr>
              <w:pStyle w:val="42"/>
              <w:spacing w:beforeLines="0" w:afterLines="0" w:line="240" w:lineRule="auto"/>
              <w:rPr>
                <w:rFonts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混凝土渣</w:t>
            </w:r>
          </w:p>
        </w:tc>
        <w:tc>
          <w:tcPr>
            <w:tcW w:w="573"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jc w:val="center"/>
              <w:rPr>
                <w:rFonts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rFonts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196</w:t>
            </w:r>
            <w:r>
              <w:rPr>
                <w:rFonts w:hint="eastAsia" w:ascii="Times New Roman" w:cs="宋体"/>
                <w:snapToGrid w:val="0"/>
                <w:color w:val="000000" w:themeColor="text1"/>
                <w:kern w:val="21"/>
                <w:szCs w:val="21"/>
                <w14:textFill>
                  <w14:solidFill>
                    <w14:schemeClr w14:val="tx1"/>
                  </w14:solidFill>
                </w14:textFill>
              </w:rPr>
              <w:t>t/a</w:t>
            </w:r>
          </w:p>
        </w:tc>
        <w:tc>
          <w:tcPr>
            <w:tcW w:w="579" w:type="pct"/>
            <w:vAlign w:val="center"/>
          </w:tcPr>
          <w:p>
            <w:pPr>
              <w:jc w:val="center"/>
              <w:rPr>
                <w:color w:val="000000" w:themeColor="text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1848" w:type="dxa"/>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196</w:t>
            </w:r>
            <w:r>
              <w:rPr>
                <w:rFonts w:hint="eastAsia" w:ascii="Times New Roman" w:cs="宋体"/>
                <w:snapToGrid w:val="0"/>
                <w:color w:val="000000" w:themeColor="text1"/>
                <w:kern w:val="21"/>
                <w:szCs w:val="21"/>
                <w14:textFill>
                  <w14:solidFill>
                    <w14:schemeClr w14:val="tx1"/>
                  </w14:solidFill>
                </w14:textFill>
              </w:rPr>
              <w:t>t/a</w:t>
            </w:r>
          </w:p>
        </w:tc>
        <w:tc>
          <w:tcPr>
            <w:tcW w:w="1331" w:type="dxa"/>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+196</w:t>
            </w:r>
            <w:r>
              <w:rPr>
                <w:rFonts w:hint="eastAsia" w:ascii="Times New Roman" w:cs="宋体"/>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p>
        </w:tc>
        <w:tc>
          <w:tcPr>
            <w:tcW w:w="555" w:type="pct"/>
            <w:vAlign w:val="top"/>
          </w:tcPr>
          <w:p>
            <w:pPr>
              <w:pStyle w:val="42"/>
              <w:spacing w:beforeLines="0" w:afterLines="0" w:line="240" w:lineRule="auto"/>
              <w:rPr>
                <w:rFonts w:hint="default"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hint="eastAsia" w:ascii="Times New Roman" w:cs="Times New Roman"/>
                <w:snapToGrid w:val="0"/>
                <w:color w:val="000000" w:themeColor="text1"/>
                <w:spacing w:val="-6"/>
                <w:kern w:val="21"/>
                <w:szCs w:val="21"/>
                <w:lang w:val="en-US" w:eastAsia="zh-CN"/>
                <w14:textFill>
                  <w14:solidFill>
                    <w14:schemeClr w14:val="tx1"/>
                  </w14:solidFill>
                </w14:textFill>
              </w:rPr>
              <w:t>沉淀池底泥</w:t>
            </w:r>
          </w:p>
        </w:tc>
        <w:tc>
          <w:tcPr>
            <w:tcW w:w="573" w:type="pct"/>
            <w:vAlign w:val="center"/>
          </w:tcPr>
          <w:p>
            <w:pPr>
              <w:pStyle w:val="42"/>
              <w:spacing w:beforeLines="0" w:afterLines="0" w:line="240" w:lineRule="auto"/>
              <w:rPr>
                <w:rFonts w:hint="eastAsia" w:ascii="Times New Roman"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438" w:type="pct"/>
            <w:vAlign w:val="center"/>
          </w:tcPr>
          <w:p>
            <w:pPr>
              <w:jc w:val="center"/>
              <w:rPr>
                <w:rFonts w:hint="eastAsia"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rFonts w:hint="eastAsia"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pStyle w:val="42"/>
              <w:spacing w:beforeLines="0" w:afterLines="0" w:line="240" w:lineRule="auto"/>
              <w:rPr>
                <w:rFonts w:hint="eastAsia" w:ascii="Times New Roman" w:cs="宋体"/>
                <w:snapToGrid w:val="0"/>
                <w:color w:val="000000" w:themeColor="text1"/>
                <w:kern w:val="21"/>
                <w:szCs w:val="21"/>
                <w:lang w:val="en-US" w:eastAsia="zh-CN"/>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6</w:t>
            </w:r>
            <w:r>
              <w:rPr>
                <w:rFonts w:hint="eastAsia" w:ascii="Times New Roman" w:cs="宋体"/>
                <w:snapToGrid w:val="0"/>
                <w:color w:val="000000" w:themeColor="text1"/>
                <w:kern w:val="21"/>
                <w:szCs w:val="21"/>
                <w14:textFill>
                  <w14:solidFill>
                    <w14:schemeClr w14:val="tx1"/>
                  </w14:solidFill>
                </w14:textFill>
              </w:rPr>
              <w:t>t/a</w:t>
            </w:r>
          </w:p>
        </w:tc>
        <w:tc>
          <w:tcPr>
            <w:tcW w:w="579" w:type="pct"/>
            <w:vAlign w:val="center"/>
          </w:tcPr>
          <w:p>
            <w:pPr>
              <w:jc w:val="center"/>
              <w:rPr>
                <w:rFonts w:hint="eastAsia"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1848" w:type="dxa"/>
            <w:vAlign w:val="center"/>
          </w:tcPr>
          <w:p>
            <w:pPr>
              <w:pStyle w:val="42"/>
              <w:spacing w:beforeLines="0" w:afterLines="0" w:line="240" w:lineRule="auto"/>
              <w:rPr>
                <w:rFonts w:hint="eastAsia" w:ascii="Times New Roman" w:cs="宋体"/>
                <w:snapToGrid w:val="0"/>
                <w:color w:val="000000" w:themeColor="text1"/>
                <w:kern w:val="21"/>
                <w:szCs w:val="21"/>
                <w:lang w:val="en-US" w:eastAsia="zh-CN"/>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6</w:t>
            </w:r>
            <w:r>
              <w:rPr>
                <w:rFonts w:hint="eastAsia" w:ascii="Times New Roman" w:cs="宋体"/>
                <w:snapToGrid w:val="0"/>
                <w:color w:val="000000" w:themeColor="text1"/>
                <w:kern w:val="21"/>
                <w:szCs w:val="21"/>
                <w14:textFill>
                  <w14:solidFill>
                    <w14:schemeClr w14:val="tx1"/>
                  </w14:solidFill>
                </w14:textFill>
              </w:rPr>
              <w:t>t/a</w:t>
            </w:r>
          </w:p>
        </w:tc>
        <w:tc>
          <w:tcPr>
            <w:tcW w:w="1331" w:type="dxa"/>
            <w:vAlign w:val="center"/>
          </w:tcPr>
          <w:p>
            <w:pPr>
              <w:pStyle w:val="42"/>
              <w:spacing w:beforeLines="0" w:afterLines="0" w:line="240" w:lineRule="auto"/>
              <w:rPr>
                <w:rFonts w:hint="eastAsia" w:ascii="Times New Roman" w:cs="宋体"/>
                <w:snapToGrid w:val="0"/>
                <w:color w:val="000000" w:themeColor="text1"/>
                <w:kern w:val="21"/>
                <w:szCs w:val="21"/>
                <w:lang w:val="en-US" w:eastAsia="zh-CN"/>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+6</w:t>
            </w:r>
            <w:r>
              <w:rPr>
                <w:rFonts w:hint="eastAsia" w:ascii="Times New Roman" w:cs="宋体"/>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p>
        </w:tc>
        <w:tc>
          <w:tcPr>
            <w:tcW w:w="555" w:type="pct"/>
            <w:vAlign w:val="top"/>
          </w:tcPr>
          <w:p>
            <w:pPr>
              <w:pStyle w:val="42"/>
              <w:spacing w:beforeLines="0" w:afterLines="0" w:line="240" w:lineRule="auto"/>
              <w:rPr>
                <w:rFonts w:hint="default" w:ascii="Times New Roman" w:cs="Times New Roman"/>
                <w:snapToGrid w:val="0"/>
                <w:color w:val="000000" w:themeColor="text1"/>
                <w:spacing w:val="-6"/>
                <w:kern w:val="21"/>
                <w:szCs w:val="21"/>
                <w:lang w:val="en-US" w:eastAsia="zh-CN"/>
                <w14:textFill>
                  <w14:solidFill>
                    <w14:schemeClr w14:val="tx1"/>
                  </w14:solidFill>
                </w14:textFill>
              </w:rPr>
            </w:pPr>
            <w:r>
              <w:rPr>
                <w:rFonts w:hint="eastAsia" w:ascii="Times New Roman" w:cs="Times New Roman"/>
                <w:snapToGrid w:val="0"/>
                <w:color w:val="000000" w:themeColor="text1"/>
                <w:spacing w:val="-6"/>
                <w:kern w:val="21"/>
                <w:szCs w:val="21"/>
                <w:lang w:val="en-US" w:eastAsia="zh-CN"/>
                <w14:textFill>
                  <w14:solidFill>
                    <w14:schemeClr w14:val="tx1"/>
                  </w14:solidFill>
                </w14:textFill>
              </w:rPr>
              <w:t>回收粉尘</w:t>
            </w:r>
          </w:p>
        </w:tc>
        <w:tc>
          <w:tcPr>
            <w:tcW w:w="573" w:type="pct"/>
            <w:vAlign w:val="center"/>
          </w:tcPr>
          <w:p>
            <w:pPr>
              <w:pStyle w:val="42"/>
              <w:spacing w:beforeLines="0" w:afterLines="0" w:line="240" w:lineRule="auto"/>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438" w:type="pct"/>
            <w:vAlign w:val="center"/>
          </w:tcPr>
          <w:p>
            <w:pPr>
              <w:jc w:val="center"/>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588" w:type="pct"/>
            <w:vAlign w:val="center"/>
          </w:tcPr>
          <w:p>
            <w:pPr>
              <w:jc w:val="center"/>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608" w:type="pct"/>
            <w:vAlign w:val="center"/>
          </w:tcPr>
          <w:p>
            <w:pPr>
              <w:pStyle w:val="42"/>
              <w:spacing w:beforeLines="0" w:afterLines="0" w:line="240" w:lineRule="auto"/>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314.084</w:t>
            </w:r>
            <w:r>
              <w:rPr>
                <w:rFonts w:hint="eastAsia" w:ascii="Times New Roman" w:cs="宋体"/>
                <w:snapToGrid w:val="0"/>
                <w:color w:val="000000" w:themeColor="text1"/>
                <w:kern w:val="21"/>
                <w:szCs w:val="21"/>
                <w14:textFill>
                  <w14:solidFill>
                    <w14:schemeClr w14:val="tx1"/>
                  </w14:solidFill>
                </w14:textFill>
              </w:rPr>
              <w:t>t/a</w:t>
            </w:r>
          </w:p>
        </w:tc>
        <w:tc>
          <w:tcPr>
            <w:tcW w:w="579" w:type="pct"/>
            <w:vAlign w:val="center"/>
          </w:tcPr>
          <w:p>
            <w:pPr>
              <w:jc w:val="center"/>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w:t>
            </w:r>
          </w:p>
        </w:tc>
        <w:tc>
          <w:tcPr>
            <w:tcW w:w="1848" w:type="dxa"/>
            <w:vAlign w:val="center"/>
          </w:tcPr>
          <w:p>
            <w:pPr>
              <w:pStyle w:val="42"/>
              <w:spacing w:beforeLines="0" w:afterLines="0" w:line="240" w:lineRule="auto"/>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314.084</w:t>
            </w:r>
            <w:r>
              <w:rPr>
                <w:rFonts w:hint="eastAsia" w:ascii="Times New Roman" w:cs="宋体"/>
                <w:snapToGrid w:val="0"/>
                <w:color w:val="000000" w:themeColor="text1"/>
                <w:kern w:val="21"/>
                <w:szCs w:val="21"/>
                <w14:textFill>
                  <w14:solidFill>
                    <w14:schemeClr w14:val="tx1"/>
                  </w14:solidFill>
                </w14:textFill>
              </w:rPr>
              <w:t>t/a</w:t>
            </w:r>
          </w:p>
        </w:tc>
        <w:tc>
          <w:tcPr>
            <w:tcW w:w="1331" w:type="dxa"/>
            <w:vAlign w:val="center"/>
          </w:tcPr>
          <w:p>
            <w:pPr>
              <w:pStyle w:val="42"/>
              <w:spacing w:beforeLines="0" w:afterLines="0" w:line="240" w:lineRule="auto"/>
              <w:rPr>
                <w:rFonts w:hint="eastAsia" w:ascii="Times New Roman" w:hAnsi="Times New Roman" w:eastAsia="宋体" w:cs="宋体"/>
                <w:snapToGrid w:val="0"/>
                <w:color w:val="000000" w:themeColor="text1"/>
                <w:kern w:val="21"/>
                <w:sz w:val="21"/>
                <w:szCs w:val="21"/>
                <w:lang w:val="en-US" w:eastAsia="zh-CN" w:bidi="ar-SA"/>
                <w14:textFill>
                  <w14:solidFill>
                    <w14:schemeClr w14:val="tx1"/>
                  </w14:solidFill>
                </w14:textFill>
              </w:rPr>
            </w:pPr>
            <w:r>
              <w:rPr>
                <w:rFonts w:hint="eastAsia" w:ascii="Times New Roman" w:cs="宋体"/>
                <w:snapToGrid w:val="0"/>
                <w:color w:val="000000" w:themeColor="text1"/>
                <w:kern w:val="21"/>
                <w:szCs w:val="21"/>
                <w:lang w:val="en-US" w:eastAsia="zh-CN"/>
                <w14:textFill>
                  <w14:solidFill>
                    <w14:schemeClr w14:val="tx1"/>
                  </w14:solidFill>
                </w14:textFill>
              </w:rPr>
              <w:t>+314.084</w:t>
            </w:r>
            <w:r>
              <w:rPr>
                <w:rFonts w:hint="eastAsia" w:ascii="Times New Roman" w:cs="宋体"/>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9" w:type="pct"/>
            <w:vMerge w:val="continue"/>
            <w:vAlign w:val="center"/>
          </w:tcPr>
          <w:p>
            <w:pPr>
              <w:pStyle w:val="42"/>
              <w:spacing w:beforeLines="0" w:afterLines="0" w:line="240" w:lineRule="auto"/>
              <w:rPr>
                <w:rFonts w:ascii="Times New Roman" w:cs="宋体"/>
                <w:snapToGrid w:val="0"/>
                <w:color w:val="000000" w:themeColor="text1"/>
                <w:kern w:val="21"/>
                <w:szCs w:val="21"/>
                <w14:textFill>
                  <w14:solidFill>
                    <w14:schemeClr w14:val="tx1"/>
                  </w14:solidFill>
                </w14:textFill>
              </w:rPr>
            </w:pPr>
          </w:p>
        </w:tc>
        <w:tc>
          <w:tcPr>
            <w:tcW w:w="555" w:type="pct"/>
            <w:vAlign w:val="top"/>
          </w:tcPr>
          <w:p>
            <w:pPr>
              <w:pStyle w:val="42"/>
              <w:spacing w:beforeLines="0" w:afterLines="0" w:line="240" w:lineRule="auto"/>
              <w:rPr>
                <w:rFonts w:hint="eastAsia" w:ascii="Times New Roman" w:hAnsi="Times New Roman" w:eastAsia="宋体" w:cs="Times New Roman"/>
                <w:snapToGrid w:val="0"/>
                <w:color w:val="000000" w:themeColor="text1"/>
                <w:spacing w:val="-6"/>
                <w:kern w:val="21"/>
                <w:szCs w:val="21"/>
                <w:lang w:val="en-US" w:eastAsia="zh-CN"/>
                <w14:textFill>
                  <w14:solidFill>
                    <w14:schemeClr w14:val="tx1"/>
                  </w14:solidFill>
                </w14:textFill>
              </w:rPr>
            </w:pPr>
            <w:r>
              <w:rPr>
                <w:rFonts w:ascii="Times New Roman" w:hAnsi="Times New Roman" w:eastAsia="宋体" w:cs="Times New Roman"/>
                <w:snapToGrid w:val="0"/>
                <w:color w:val="000000" w:themeColor="text1"/>
                <w:spacing w:val="-6"/>
                <w:kern w:val="21"/>
                <w:szCs w:val="21"/>
                <w14:textFill>
                  <w14:solidFill>
                    <w14:schemeClr w14:val="tx1"/>
                  </w14:solidFill>
                </w14:textFill>
              </w:rPr>
              <w:t>废离子交换 树脂</w:t>
            </w:r>
          </w:p>
        </w:tc>
        <w:tc>
          <w:tcPr>
            <w:tcW w:w="573" w:type="pct"/>
            <w:vAlign w:val="center"/>
          </w:tcPr>
          <w:p>
            <w:pPr>
              <w:pStyle w:val="42"/>
              <w:spacing w:beforeLines="0" w:afterLines="0" w:line="240" w:lineRule="auto"/>
              <w:rPr>
                <w:rFonts w:hint="eastAsia" w:ascii="Times New Roman"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438" w:type="pct"/>
            <w:vAlign w:val="center"/>
          </w:tcPr>
          <w:p>
            <w:pPr>
              <w:pStyle w:val="42"/>
              <w:spacing w:beforeLines="0" w:afterLines="0" w:line="240" w:lineRule="auto"/>
              <w:rPr>
                <w:rFonts w:hint="eastAsia"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588" w:type="pct"/>
            <w:vAlign w:val="center"/>
          </w:tcPr>
          <w:p>
            <w:pPr>
              <w:pStyle w:val="42"/>
              <w:spacing w:beforeLines="0" w:afterLines="0" w:line="240" w:lineRule="auto"/>
              <w:rPr>
                <w:rFonts w:hint="eastAsia"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608" w:type="pct"/>
            <w:vAlign w:val="center"/>
          </w:tcPr>
          <w:p>
            <w:pPr>
              <w:pStyle w:val="42"/>
              <w:spacing w:beforeLines="0" w:afterLines="0" w:line="240" w:lineRule="auto"/>
              <w:rPr>
                <w:rFonts w:hint="eastAsia" w:ascii="Times New Roman" w:cs="宋体"/>
                <w:snapToGrid w:val="0"/>
                <w:color w:val="000000" w:themeColor="text1"/>
                <w:kern w:val="21"/>
                <w:szCs w:val="21"/>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0.2</w:t>
            </w:r>
            <w:r>
              <w:rPr>
                <w:rFonts w:ascii="Times New Roman" w:eastAsia="宋体"/>
                <w:color w:val="000000" w:themeColor="text1"/>
                <w:sz w:val="21"/>
                <w:szCs w:val="21"/>
                <w14:textFill>
                  <w14:solidFill>
                    <w14:schemeClr w14:val="tx1"/>
                  </w14:solidFill>
                </w14:textFill>
              </w:rPr>
              <w:t>t/</w:t>
            </w:r>
            <w:r>
              <w:rPr>
                <w:rFonts w:hint="eastAsia" w:ascii="Times New Roman"/>
                <w:color w:val="000000" w:themeColor="text1"/>
                <w:sz w:val="21"/>
                <w:szCs w:val="21"/>
                <w:lang w:val="en-US" w:eastAsia="zh-CN"/>
                <w14:textFill>
                  <w14:solidFill>
                    <w14:schemeClr w14:val="tx1"/>
                  </w14:solidFill>
                </w14:textFill>
              </w:rPr>
              <w:t>2</w:t>
            </w:r>
            <w:r>
              <w:rPr>
                <w:rFonts w:ascii="Times New Roman" w:eastAsia="宋体"/>
                <w:color w:val="000000" w:themeColor="text1"/>
                <w:sz w:val="21"/>
                <w:szCs w:val="21"/>
                <w14:textFill>
                  <w14:solidFill>
                    <w14:schemeClr w14:val="tx1"/>
                  </w14:solidFill>
                </w14:textFill>
              </w:rPr>
              <w:t>a</w:t>
            </w:r>
          </w:p>
        </w:tc>
        <w:tc>
          <w:tcPr>
            <w:tcW w:w="579" w:type="pct"/>
            <w:vAlign w:val="center"/>
          </w:tcPr>
          <w:p>
            <w:pPr>
              <w:pStyle w:val="42"/>
              <w:spacing w:beforeLines="0" w:afterLines="0" w:line="240" w:lineRule="auto"/>
              <w:rPr>
                <w:rFonts w:hint="eastAsia" w:cs="宋体"/>
                <w:snapToGrid w:val="0"/>
                <w:color w:val="000000" w:themeColor="text1"/>
                <w:kern w:val="21"/>
                <w:szCs w:val="21"/>
                <w14:textFill>
                  <w14:solidFill>
                    <w14:schemeClr w14:val="tx1"/>
                  </w14:solidFill>
                </w14:textFill>
              </w:rPr>
            </w:pPr>
            <w:r>
              <w:rPr>
                <w:rFonts w:hint="eastAsia" w:ascii="Times New Roman" w:cs="宋体"/>
                <w:snapToGrid w:val="0"/>
                <w:color w:val="000000" w:themeColor="text1"/>
                <w:kern w:val="21"/>
                <w:szCs w:val="21"/>
                <w14:textFill>
                  <w14:solidFill>
                    <w14:schemeClr w14:val="tx1"/>
                  </w14:solidFill>
                </w14:textFill>
              </w:rPr>
              <w:t>/</w:t>
            </w:r>
          </w:p>
        </w:tc>
        <w:tc>
          <w:tcPr>
            <w:tcW w:w="1848" w:type="dxa"/>
            <w:vAlign w:val="center"/>
          </w:tcPr>
          <w:p>
            <w:pPr>
              <w:pStyle w:val="42"/>
              <w:spacing w:beforeLines="0" w:afterLines="0" w:line="240" w:lineRule="auto"/>
              <w:rPr>
                <w:rFonts w:hint="eastAsia" w:ascii="Times New Roman" w:cs="宋体"/>
                <w:snapToGrid w:val="0"/>
                <w:color w:val="000000" w:themeColor="text1"/>
                <w:kern w:val="21"/>
                <w:szCs w:val="21"/>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0.2</w:t>
            </w:r>
            <w:r>
              <w:rPr>
                <w:rFonts w:ascii="Times New Roman" w:eastAsia="宋体"/>
                <w:color w:val="000000" w:themeColor="text1"/>
                <w:sz w:val="21"/>
                <w:szCs w:val="21"/>
                <w14:textFill>
                  <w14:solidFill>
                    <w14:schemeClr w14:val="tx1"/>
                  </w14:solidFill>
                </w14:textFill>
              </w:rPr>
              <w:t>t/</w:t>
            </w:r>
            <w:r>
              <w:rPr>
                <w:rFonts w:hint="eastAsia" w:ascii="Times New Roman"/>
                <w:color w:val="000000" w:themeColor="text1"/>
                <w:sz w:val="21"/>
                <w:szCs w:val="21"/>
                <w:lang w:val="en-US" w:eastAsia="zh-CN"/>
                <w14:textFill>
                  <w14:solidFill>
                    <w14:schemeClr w14:val="tx1"/>
                  </w14:solidFill>
                </w14:textFill>
              </w:rPr>
              <w:t>2</w:t>
            </w:r>
            <w:r>
              <w:rPr>
                <w:rFonts w:ascii="Times New Roman" w:eastAsia="宋体"/>
                <w:color w:val="000000" w:themeColor="text1"/>
                <w:sz w:val="21"/>
                <w:szCs w:val="21"/>
                <w14:textFill>
                  <w14:solidFill>
                    <w14:schemeClr w14:val="tx1"/>
                  </w14:solidFill>
                </w14:textFill>
              </w:rPr>
              <w:t>a</w:t>
            </w:r>
          </w:p>
        </w:tc>
        <w:tc>
          <w:tcPr>
            <w:tcW w:w="1331" w:type="dxa"/>
            <w:vAlign w:val="center"/>
          </w:tcPr>
          <w:p>
            <w:pPr>
              <w:pStyle w:val="42"/>
              <w:spacing w:beforeLines="0" w:afterLines="0" w:line="240" w:lineRule="auto"/>
              <w:rPr>
                <w:rFonts w:hint="eastAsia" w:ascii="Times New Roman" w:cs="宋体"/>
                <w:snapToGrid w:val="0"/>
                <w:color w:val="000000" w:themeColor="text1"/>
                <w:kern w:val="21"/>
                <w:szCs w:val="21"/>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+0.2</w:t>
            </w:r>
            <w:r>
              <w:rPr>
                <w:rFonts w:ascii="Times New Roman" w:eastAsia="宋体"/>
                <w:color w:val="000000" w:themeColor="text1"/>
                <w:sz w:val="21"/>
                <w:szCs w:val="21"/>
                <w14:textFill>
                  <w14:solidFill>
                    <w14:schemeClr w14:val="tx1"/>
                  </w14:solidFill>
                </w14:textFill>
              </w:rPr>
              <w:t>t/</w:t>
            </w:r>
            <w:r>
              <w:rPr>
                <w:rFonts w:hint="eastAsia" w:ascii="Times New Roman"/>
                <w:color w:val="000000" w:themeColor="text1"/>
                <w:sz w:val="21"/>
                <w:szCs w:val="21"/>
                <w:lang w:val="en-US" w:eastAsia="zh-CN"/>
                <w14:textFill>
                  <w14:solidFill>
                    <w14:schemeClr w14:val="tx1"/>
                  </w14:solidFill>
                </w14:textFill>
              </w:rPr>
              <w:t>2</w:t>
            </w:r>
            <w:r>
              <w:rPr>
                <w:rFonts w:ascii="Times New Roman" w:eastAsia="宋体"/>
                <w:color w:val="000000" w:themeColor="text1"/>
                <w:sz w:val="21"/>
                <w:szCs w:val="21"/>
                <w14:textFill>
                  <w14:solidFill>
                    <w14:schemeClr w14:val="tx1"/>
                  </w14:solidFill>
                </w14:textFill>
              </w:rPr>
              <w:t>a</w:t>
            </w:r>
          </w:p>
        </w:tc>
      </w:tr>
    </w:tbl>
    <w:p>
      <w:pPr>
        <w:pStyle w:val="42"/>
        <w:spacing w:before="192" w:beforeLines="80" w:after="24"/>
        <w:jc w:val="left"/>
        <w:rPr>
          <w:rFonts w:hAnsi="宋体" w:eastAsia="黑体"/>
          <w:color w:val="000000" w:themeColor="text1"/>
          <w14:textFill>
            <w14:solidFill>
              <w14:schemeClr w14:val="tx1"/>
            </w14:solidFill>
          </w14:textFill>
        </w:r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sectPr>
      <w:footerReference r:id="rId5" w:type="default"/>
      <w:pgSz w:w="16838" w:h="11905" w:orient="landscape"/>
      <w:pgMar w:top="1531" w:right="2126" w:bottom="1531" w:left="1701" w:header="851" w:footer="85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C9AFBDC-7255-420D-BEA8-0CA65EF50CE7}"/>
  </w:font>
  <w:font w:name="黑体">
    <w:panose1 w:val="02010609060101010101"/>
    <w:charset w:val="86"/>
    <w:family w:val="auto"/>
    <w:pitch w:val="default"/>
    <w:sig w:usb0="800002BF" w:usb1="38CF7CFA" w:usb2="00000016" w:usb3="00000000" w:csb0="00040001" w:csb1="00000000"/>
    <w:embedRegular r:id="rId2" w:fontKey="{ED993D78-1202-48C3-85B6-55A67955D68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Noto Sans CJK JP Medium">
    <w:altName w:val="Segoe Print"/>
    <w:panose1 w:val="00000000000000000000"/>
    <w:charset w:val="00"/>
    <w:family w:val="swiss"/>
    <w:pitch w:val="default"/>
    <w:sig w:usb0="00000000" w:usb1="00000000" w:usb2="00000000" w:usb3="00000000" w:csb0="00040001" w:csb1="00000000"/>
    <w:embedRegular r:id="rId3" w:fontKey="{D51F0B91-967C-4378-BB9B-ED1C8A956326}"/>
  </w:font>
  <w:font w:name="楷体_GB2312">
    <w:altName w:val="楷体"/>
    <w:panose1 w:val="00000000000000000000"/>
    <w:charset w:val="86"/>
    <w:family w:val="modern"/>
    <w:pitch w:val="default"/>
    <w:sig w:usb0="00000000" w:usb1="00000000" w:usb2="00000000" w:usb3="00000000" w:csb0="00040000" w:csb1="00000000"/>
    <w:embedRegular r:id="rId4" w:fontKey="{0240EAF9-CC6B-4927-B94E-369E9ECD8778}"/>
  </w:font>
  <w:font w:name="方正仿宋_GBK">
    <w:panose1 w:val="02000000000000000000"/>
    <w:charset w:val="86"/>
    <w:family w:val="script"/>
    <w:pitch w:val="default"/>
    <w:sig w:usb0="A00002BF" w:usb1="38CF7CFA" w:usb2="00082016" w:usb3="00000000" w:csb0="00040001" w:csb1="00000000"/>
  </w:font>
  <w:font w:name="仿宋_GB2312">
    <w:altName w:val="仿宋"/>
    <w:panose1 w:val="00000000000000000000"/>
    <w:charset w:val="86"/>
    <w:family w:val="modern"/>
    <w:pitch w:val="default"/>
    <w:sig w:usb0="00000000" w:usb1="00000000" w:usb2="00000010" w:usb3="00000000" w:csb0="00040000" w:csb1="00000000"/>
    <w:embedRegular r:id="rId5" w:fontKey="{B71473E2-493C-4288-8078-FA42266913E4}"/>
  </w:font>
  <w:font w:name="华文仿宋">
    <w:altName w:val="仿宋"/>
    <w:panose1 w:val="02010600040101010101"/>
    <w:charset w:val="86"/>
    <w:family w:val="auto"/>
    <w:pitch w:val="default"/>
    <w:sig w:usb0="00000000" w:usb1="00000000" w:usb2="00000000" w:usb3="00000000" w:csb0="0004009F" w:csb1="DFD70000"/>
    <w:embedRegular r:id="rId6" w:fontKey="{E78209AF-3627-450C-8665-A1E30A04B53F}"/>
  </w:font>
  <w:font w:name="方正小标宋_GBK">
    <w:panose1 w:val="02000000000000000000"/>
    <w:charset w:val="86"/>
    <w:family w:val="script"/>
    <w:pitch w:val="default"/>
    <w:sig w:usb0="A00002BF" w:usb1="38CF7CFA" w:usb2="00082016" w:usb3="00000000" w:csb0="00040001" w:csb1="00000000"/>
    <w:embedRegular r:id="rId7" w:fontKey="{9E555CDF-14B9-4F4F-8106-E1A879BBE633}"/>
  </w:font>
  <w:font w:name="Wingdings 2">
    <w:altName w:val="Wingdings"/>
    <w:panose1 w:val="05020102010507070707"/>
    <w:charset w:val="02"/>
    <w:family w:val="roman"/>
    <w:pitch w:val="default"/>
    <w:sig w:usb0="00000000" w:usb1="00000000" w:usb2="00000000" w:usb3="00000000" w:csb0="80000000" w:csb1="00000000"/>
    <w:embedRegular r:id="rId8" w:fontKey="{8499B930-DC1E-45F6-BDB0-BFB4CE706471}"/>
  </w:font>
  <w:font w:name="微软雅黑">
    <w:panose1 w:val="020B0503020204020204"/>
    <w:charset w:val="86"/>
    <w:family w:val="auto"/>
    <w:pitch w:val="default"/>
    <w:sig w:usb0="80000287" w:usb1="2ACF3C50" w:usb2="00000016" w:usb3="00000000" w:csb0="0004001F" w:csb1="00000000"/>
    <w:embedRegular r:id="rId9" w:fontKey="{7986EC77-E292-4E96-B981-B625953ABA63}"/>
  </w:font>
  <w:font w:name="Cambria Math">
    <w:panose1 w:val="02040503050406030204"/>
    <w:charset w:val="00"/>
    <w:family w:val="roman"/>
    <w:pitch w:val="default"/>
    <w:sig w:usb0="E00006FF" w:usb1="420024FF" w:usb2="02000000" w:usb3="00000000" w:csb0="2000019F" w:csb1="00000000"/>
    <w:embedRegular r:id="rId10" w:fontKey="{F1DB1EE2-13EE-4C5E-97BB-A5CABCB3342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8"/>
      </w:rPr>
    </w:pPr>
    <w:r>
      <w:fldChar w:fldCharType="begin"/>
    </w:r>
    <w:r>
      <w:rPr>
        <w:rStyle w:val="28"/>
      </w:rPr>
      <w:instrText xml:space="preserve">PAGE  </w:instrText>
    </w:r>
    <w:r>
      <w:fldChar w:fldCharType="end"/>
    </w:r>
  </w:p>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34</w:t>
    </w:r>
    <w:r>
      <w:rPr>
        <w:rStyle w:val="28"/>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pPr>
      <w:pStyle w:val="1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98</w:t>
    </w:r>
    <w:r>
      <w:rPr>
        <w:rStyle w:val="28"/>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pPr>
      <w:pStyle w:val="1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7B99AC"/>
    <w:multiLevelType w:val="singleLevel"/>
    <w:tmpl w:val="9E7B99AC"/>
    <w:lvl w:ilvl="0" w:tentative="0">
      <w:start w:val="3"/>
      <w:numFmt w:val="decimal"/>
      <w:suff w:val="nothing"/>
      <w:lvlText w:val="（%1）"/>
      <w:lvlJc w:val="left"/>
    </w:lvl>
  </w:abstractNum>
  <w:abstractNum w:abstractNumId="1">
    <w:nsid w:val="EF5AC518"/>
    <w:multiLevelType w:val="singleLevel"/>
    <w:tmpl w:val="EF5AC518"/>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2">
    <w:nsid w:val="5A58FDEC"/>
    <w:multiLevelType w:val="singleLevel"/>
    <w:tmpl w:val="5A58FDEC"/>
    <w:lvl w:ilvl="0" w:tentative="0">
      <w:start w:val="2"/>
      <w:numFmt w:val="decimal"/>
      <w:suff w:val="nothing"/>
      <w:lvlText w:val="（%1）"/>
      <w:lvlJc w:val="left"/>
    </w:lvl>
  </w:abstractNum>
  <w:abstractNum w:abstractNumId="3">
    <w:nsid w:val="7179F470"/>
    <w:multiLevelType w:val="singleLevel"/>
    <w:tmpl w:val="7179F470"/>
    <w:lvl w:ilvl="0" w:tentative="0">
      <w:start w:val="5"/>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xYTJhMzg3MTNiYzU4YWJjMmFkMGMzZjQzMTljYWUifQ=="/>
  </w:docVars>
  <w:rsids>
    <w:rsidRoot w:val="00172A27"/>
    <w:rsid w:val="00002789"/>
    <w:rsid w:val="00004049"/>
    <w:rsid w:val="00005802"/>
    <w:rsid w:val="00005C4E"/>
    <w:rsid w:val="000060B3"/>
    <w:rsid w:val="00006A57"/>
    <w:rsid w:val="00017F50"/>
    <w:rsid w:val="00017F96"/>
    <w:rsid w:val="0002769E"/>
    <w:rsid w:val="000301CC"/>
    <w:rsid w:val="000330DD"/>
    <w:rsid w:val="0003704E"/>
    <w:rsid w:val="00040947"/>
    <w:rsid w:val="00040F19"/>
    <w:rsid w:val="00041058"/>
    <w:rsid w:val="0004364B"/>
    <w:rsid w:val="00044D2D"/>
    <w:rsid w:val="00045D03"/>
    <w:rsid w:val="00046D05"/>
    <w:rsid w:val="00051313"/>
    <w:rsid w:val="000534C9"/>
    <w:rsid w:val="00055887"/>
    <w:rsid w:val="00057AEB"/>
    <w:rsid w:val="00060AE1"/>
    <w:rsid w:val="00061B1F"/>
    <w:rsid w:val="00064791"/>
    <w:rsid w:val="00072056"/>
    <w:rsid w:val="000733C4"/>
    <w:rsid w:val="000737DF"/>
    <w:rsid w:val="00074783"/>
    <w:rsid w:val="00074AF0"/>
    <w:rsid w:val="000751DD"/>
    <w:rsid w:val="00075B83"/>
    <w:rsid w:val="000763C5"/>
    <w:rsid w:val="000800E7"/>
    <w:rsid w:val="0008070B"/>
    <w:rsid w:val="000810AC"/>
    <w:rsid w:val="00081A02"/>
    <w:rsid w:val="00082231"/>
    <w:rsid w:val="00082C39"/>
    <w:rsid w:val="000846C2"/>
    <w:rsid w:val="00084976"/>
    <w:rsid w:val="00085312"/>
    <w:rsid w:val="0008597F"/>
    <w:rsid w:val="00085A4A"/>
    <w:rsid w:val="00087251"/>
    <w:rsid w:val="00087398"/>
    <w:rsid w:val="00091019"/>
    <w:rsid w:val="00091D2E"/>
    <w:rsid w:val="00092D38"/>
    <w:rsid w:val="0009377B"/>
    <w:rsid w:val="00095A85"/>
    <w:rsid w:val="00096F17"/>
    <w:rsid w:val="000973D3"/>
    <w:rsid w:val="000978DE"/>
    <w:rsid w:val="000A20C9"/>
    <w:rsid w:val="000A4693"/>
    <w:rsid w:val="000A5BC8"/>
    <w:rsid w:val="000B058F"/>
    <w:rsid w:val="000B210C"/>
    <w:rsid w:val="000B4467"/>
    <w:rsid w:val="000B4DB9"/>
    <w:rsid w:val="000B5B45"/>
    <w:rsid w:val="000B789B"/>
    <w:rsid w:val="000C09AC"/>
    <w:rsid w:val="000C0BCA"/>
    <w:rsid w:val="000C2853"/>
    <w:rsid w:val="000C2983"/>
    <w:rsid w:val="000C5339"/>
    <w:rsid w:val="000C54BF"/>
    <w:rsid w:val="000C767F"/>
    <w:rsid w:val="000D21EC"/>
    <w:rsid w:val="000D4E60"/>
    <w:rsid w:val="000D5A44"/>
    <w:rsid w:val="000E086A"/>
    <w:rsid w:val="000E3ED2"/>
    <w:rsid w:val="000E65F8"/>
    <w:rsid w:val="000E6BAA"/>
    <w:rsid w:val="000E7698"/>
    <w:rsid w:val="000F2954"/>
    <w:rsid w:val="000F58A3"/>
    <w:rsid w:val="0010151B"/>
    <w:rsid w:val="001018CF"/>
    <w:rsid w:val="001028CC"/>
    <w:rsid w:val="0010321D"/>
    <w:rsid w:val="0011235B"/>
    <w:rsid w:val="001127A9"/>
    <w:rsid w:val="00116ED6"/>
    <w:rsid w:val="001256A6"/>
    <w:rsid w:val="00126981"/>
    <w:rsid w:val="00131D69"/>
    <w:rsid w:val="00131F42"/>
    <w:rsid w:val="00132564"/>
    <w:rsid w:val="00132628"/>
    <w:rsid w:val="00133F88"/>
    <w:rsid w:val="00135556"/>
    <w:rsid w:val="001357F1"/>
    <w:rsid w:val="001377E3"/>
    <w:rsid w:val="00140FA8"/>
    <w:rsid w:val="00142371"/>
    <w:rsid w:val="00142FEB"/>
    <w:rsid w:val="00143A2D"/>
    <w:rsid w:val="00145A41"/>
    <w:rsid w:val="00145ADC"/>
    <w:rsid w:val="00146464"/>
    <w:rsid w:val="0014674F"/>
    <w:rsid w:val="00147CDC"/>
    <w:rsid w:val="001507F4"/>
    <w:rsid w:val="00151675"/>
    <w:rsid w:val="00153539"/>
    <w:rsid w:val="001546E6"/>
    <w:rsid w:val="00154FB9"/>
    <w:rsid w:val="0015726B"/>
    <w:rsid w:val="00157435"/>
    <w:rsid w:val="00161F7B"/>
    <w:rsid w:val="001630BC"/>
    <w:rsid w:val="001673BC"/>
    <w:rsid w:val="00171E24"/>
    <w:rsid w:val="00172F12"/>
    <w:rsid w:val="001747A3"/>
    <w:rsid w:val="0017504D"/>
    <w:rsid w:val="001757B5"/>
    <w:rsid w:val="0017671A"/>
    <w:rsid w:val="00177422"/>
    <w:rsid w:val="00181C3D"/>
    <w:rsid w:val="0018286A"/>
    <w:rsid w:val="00184590"/>
    <w:rsid w:val="00184751"/>
    <w:rsid w:val="00184FC1"/>
    <w:rsid w:val="001870D1"/>
    <w:rsid w:val="0018781E"/>
    <w:rsid w:val="00187BF3"/>
    <w:rsid w:val="00190FA0"/>
    <w:rsid w:val="0019262D"/>
    <w:rsid w:val="00196646"/>
    <w:rsid w:val="001A1508"/>
    <w:rsid w:val="001A1B35"/>
    <w:rsid w:val="001A48A2"/>
    <w:rsid w:val="001A56C9"/>
    <w:rsid w:val="001A56F7"/>
    <w:rsid w:val="001A6F61"/>
    <w:rsid w:val="001A75B2"/>
    <w:rsid w:val="001B01B0"/>
    <w:rsid w:val="001B2932"/>
    <w:rsid w:val="001B4AAD"/>
    <w:rsid w:val="001B72B8"/>
    <w:rsid w:val="001B7E93"/>
    <w:rsid w:val="001C075A"/>
    <w:rsid w:val="001C1980"/>
    <w:rsid w:val="001C36CF"/>
    <w:rsid w:val="001C4BFA"/>
    <w:rsid w:val="001C50DD"/>
    <w:rsid w:val="001C61C3"/>
    <w:rsid w:val="001C69B3"/>
    <w:rsid w:val="001D1840"/>
    <w:rsid w:val="001D33B0"/>
    <w:rsid w:val="001D4594"/>
    <w:rsid w:val="001D5595"/>
    <w:rsid w:val="001D55E6"/>
    <w:rsid w:val="001D6DBA"/>
    <w:rsid w:val="001D754C"/>
    <w:rsid w:val="001D7874"/>
    <w:rsid w:val="001D7F22"/>
    <w:rsid w:val="001E7FCE"/>
    <w:rsid w:val="001F0611"/>
    <w:rsid w:val="001F0F17"/>
    <w:rsid w:val="001F1103"/>
    <w:rsid w:val="001F196E"/>
    <w:rsid w:val="001F2B93"/>
    <w:rsid w:val="001F3347"/>
    <w:rsid w:val="001F69E4"/>
    <w:rsid w:val="001F71DE"/>
    <w:rsid w:val="002019DC"/>
    <w:rsid w:val="002041CE"/>
    <w:rsid w:val="0020514A"/>
    <w:rsid w:val="00205EE3"/>
    <w:rsid w:val="002118FF"/>
    <w:rsid w:val="002125B4"/>
    <w:rsid w:val="002155B8"/>
    <w:rsid w:val="002158DB"/>
    <w:rsid w:val="00215B12"/>
    <w:rsid w:val="00223C5F"/>
    <w:rsid w:val="00224839"/>
    <w:rsid w:val="002249B2"/>
    <w:rsid w:val="0022556E"/>
    <w:rsid w:val="00226574"/>
    <w:rsid w:val="002278EC"/>
    <w:rsid w:val="00231A42"/>
    <w:rsid w:val="0023280E"/>
    <w:rsid w:val="002340BF"/>
    <w:rsid w:val="002348F4"/>
    <w:rsid w:val="0023764E"/>
    <w:rsid w:val="002377D1"/>
    <w:rsid w:val="00242206"/>
    <w:rsid w:val="002425DC"/>
    <w:rsid w:val="002427A0"/>
    <w:rsid w:val="00244406"/>
    <w:rsid w:val="00244451"/>
    <w:rsid w:val="00245F3E"/>
    <w:rsid w:val="0024630E"/>
    <w:rsid w:val="00246549"/>
    <w:rsid w:val="002506BC"/>
    <w:rsid w:val="00250C9D"/>
    <w:rsid w:val="00254345"/>
    <w:rsid w:val="00257554"/>
    <w:rsid w:val="00260D10"/>
    <w:rsid w:val="00264557"/>
    <w:rsid w:val="00266781"/>
    <w:rsid w:val="00273755"/>
    <w:rsid w:val="00273BD5"/>
    <w:rsid w:val="00275E01"/>
    <w:rsid w:val="002805AB"/>
    <w:rsid w:val="00280E03"/>
    <w:rsid w:val="0028127B"/>
    <w:rsid w:val="00281A2C"/>
    <w:rsid w:val="002828F7"/>
    <w:rsid w:val="00283314"/>
    <w:rsid w:val="00284204"/>
    <w:rsid w:val="0028668F"/>
    <w:rsid w:val="0029013F"/>
    <w:rsid w:val="00290B41"/>
    <w:rsid w:val="00290DB8"/>
    <w:rsid w:val="0029173B"/>
    <w:rsid w:val="00291773"/>
    <w:rsid w:val="002941A0"/>
    <w:rsid w:val="002A155F"/>
    <w:rsid w:val="002A168C"/>
    <w:rsid w:val="002A176F"/>
    <w:rsid w:val="002A18F0"/>
    <w:rsid w:val="002A1BE1"/>
    <w:rsid w:val="002A3DC7"/>
    <w:rsid w:val="002A67E5"/>
    <w:rsid w:val="002A6C12"/>
    <w:rsid w:val="002B0C73"/>
    <w:rsid w:val="002B0C81"/>
    <w:rsid w:val="002B49E2"/>
    <w:rsid w:val="002B7B00"/>
    <w:rsid w:val="002B7C44"/>
    <w:rsid w:val="002C2B17"/>
    <w:rsid w:val="002C44C2"/>
    <w:rsid w:val="002C5FB1"/>
    <w:rsid w:val="002C651C"/>
    <w:rsid w:val="002C68C3"/>
    <w:rsid w:val="002C6A7D"/>
    <w:rsid w:val="002D01A4"/>
    <w:rsid w:val="002D0336"/>
    <w:rsid w:val="002D198E"/>
    <w:rsid w:val="002D2521"/>
    <w:rsid w:val="002D3603"/>
    <w:rsid w:val="002D3DD0"/>
    <w:rsid w:val="002D4B94"/>
    <w:rsid w:val="002E07C5"/>
    <w:rsid w:val="002E1276"/>
    <w:rsid w:val="002E1F3A"/>
    <w:rsid w:val="002E21C3"/>
    <w:rsid w:val="002E298A"/>
    <w:rsid w:val="002E3727"/>
    <w:rsid w:val="002E479D"/>
    <w:rsid w:val="002E5411"/>
    <w:rsid w:val="002E5C83"/>
    <w:rsid w:val="002F1AE8"/>
    <w:rsid w:val="002F6C5D"/>
    <w:rsid w:val="003011F3"/>
    <w:rsid w:val="00301377"/>
    <w:rsid w:val="00301978"/>
    <w:rsid w:val="00302962"/>
    <w:rsid w:val="0030332C"/>
    <w:rsid w:val="0030395B"/>
    <w:rsid w:val="00303CE1"/>
    <w:rsid w:val="00304890"/>
    <w:rsid w:val="003051C2"/>
    <w:rsid w:val="00305281"/>
    <w:rsid w:val="00306143"/>
    <w:rsid w:val="003061AF"/>
    <w:rsid w:val="003103BB"/>
    <w:rsid w:val="0031064E"/>
    <w:rsid w:val="003110B0"/>
    <w:rsid w:val="00312296"/>
    <w:rsid w:val="003147A2"/>
    <w:rsid w:val="00314F0E"/>
    <w:rsid w:val="00315B92"/>
    <w:rsid w:val="00316095"/>
    <w:rsid w:val="0031631A"/>
    <w:rsid w:val="0032127F"/>
    <w:rsid w:val="00321D8E"/>
    <w:rsid w:val="003252AB"/>
    <w:rsid w:val="00325928"/>
    <w:rsid w:val="003268E3"/>
    <w:rsid w:val="00332863"/>
    <w:rsid w:val="0033684D"/>
    <w:rsid w:val="00337B42"/>
    <w:rsid w:val="00341B42"/>
    <w:rsid w:val="0034348F"/>
    <w:rsid w:val="003434BD"/>
    <w:rsid w:val="003438F3"/>
    <w:rsid w:val="00344694"/>
    <w:rsid w:val="00351CAC"/>
    <w:rsid w:val="003552DA"/>
    <w:rsid w:val="00356653"/>
    <w:rsid w:val="003568D4"/>
    <w:rsid w:val="00356AC3"/>
    <w:rsid w:val="0035743F"/>
    <w:rsid w:val="00357BE2"/>
    <w:rsid w:val="00360D09"/>
    <w:rsid w:val="0036170C"/>
    <w:rsid w:val="00362ED3"/>
    <w:rsid w:val="0036364E"/>
    <w:rsid w:val="003647EB"/>
    <w:rsid w:val="00366E0F"/>
    <w:rsid w:val="00377C67"/>
    <w:rsid w:val="00381A72"/>
    <w:rsid w:val="00381B6D"/>
    <w:rsid w:val="00382532"/>
    <w:rsid w:val="003838EE"/>
    <w:rsid w:val="00383D1C"/>
    <w:rsid w:val="00384676"/>
    <w:rsid w:val="003854D2"/>
    <w:rsid w:val="00386284"/>
    <w:rsid w:val="00386A69"/>
    <w:rsid w:val="00387050"/>
    <w:rsid w:val="003906FE"/>
    <w:rsid w:val="00390857"/>
    <w:rsid w:val="003924E1"/>
    <w:rsid w:val="0039353B"/>
    <w:rsid w:val="00393D4D"/>
    <w:rsid w:val="00394667"/>
    <w:rsid w:val="00396DE3"/>
    <w:rsid w:val="003A2814"/>
    <w:rsid w:val="003A3742"/>
    <w:rsid w:val="003A4BF3"/>
    <w:rsid w:val="003B018A"/>
    <w:rsid w:val="003B0A55"/>
    <w:rsid w:val="003B0BF8"/>
    <w:rsid w:val="003B1A47"/>
    <w:rsid w:val="003B420D"/>
    <w:rsid w:val="003B55EE"/>
    <w:rsid w:val="003C0921"/>
    <w:rsid w:val="003C218B"/>
    <w:rsid w:val="003C3D06"/>
    <w:rsid w:val="003C6C16"/>
    <w:rsid w:val="003D031E"/>
    <w:rsid w:val="003D27A2"/>
    <w:rsid w:val="003D5F74"/>
    <w:rsid w:val="003D794D"/>
    <w:rsid w:val="003D7F53"/>
    <w:rsid w:val="003E0786"/>
    <w:rsid w:val="003E3058"/>
    <w:rsid w:val="003E38A5"/>
    <w:rsid w:val="003E71F9"/>
    <w:rsid w:val="003E76A9"/>
    <w:rsid w:val="003F0809"/>
    <w:rsid w:val="003F21DE"/>
    <w:rsid w:val="003F267E"/>
    <w:rsid w:val="003F2F0B"/>
    <w:rsid w:val="003F3F06"/>
    <w:rsid w:val="003F64BE"/>
    <w:rsid w:val="003F6A8C"/>
    <w:rsid w:val="003F755C"/>
    <w:rsid w:val="003F765E"/>
    <w:rsid w:val="00402357"/>
    <w:rsid w:val="00403230"/>
    <w:rsid w:val="004050BD"/>
    <w:rsid w:val="0040590E"/>
    <w:rsid w:val="00406F01"/>
    <w:rsid w:val="0040789B"/>
    <w:rsid w:val="00407E19"/>
    <w:rsid w:val="00407F5D"/>
    <w:rsid w:val="00410988"/>
    <w:rsid w:val="0041243D"/>
    <w:rsid w:val="0041331B"/>
    <w:rsid w:val="004169F9"/>
    <w:rsid w:val="00416D50"/>
    <w:rsid w:val="00416FD5"/>
    <w:rsid w:val="004175E7"/>
    <w:rsid w:val="00417772"/>
    <w:rsid w:val="00420E6A"/>
    <w:rsid w:val="0042210A"/>
    <w:rsid w:val="00423A5B"/>
    <w:rsid w:val="00424CDE"/>
    <w:rsid w:val="00425424"/>
    <w:rsid w:val="00425A9E"/>
    <w:rsid w:val="004264DE"/>
    <w:rsid w:val="00426D6B"/>
    <w:rsid w:val="00430D4F"/>
    <w:rsid w:val="00431B59"/>
    <w:rsid w:val="00431E6C"/>
    <w:rsid w:val="00433CE7"/>
    <w:rsid w:val="00435AB8"/>
    <w:rsid w:val="00436493"/>
    <w:rsid w:val="00442E56"/>
    <w:rsid w:val="0044413B"/>
    <w:rsid w:val="004500DD"/>
    <w:rsid w:val="00450959"/>
    <w:rsid w:val="00450CB0"/>
    <w:rsid w:val="00451FC1"/>
    <w:rsid w:val="00452738"/>
    <w:rsid w:val="00452E10"/>
    <w:rsid w:val="00454E14"/>
    <w:rsid w:val="00456091"/>
    <w:rsid w:val="00456AE8"/>
    <w:rsid w:val="00456FED"/>
    <w:rsid w:val="00461F85"/>
    <w:rsid w:val="00462326"/>
    <w:rsid w:val="00463FC4"/>
    <w:rsid w:val="00466321"/>
    <w:rsid w:val="00466BF1"/>
    <w:rsid w:val="00472178"/>
    <w:rsid w:val="0047233B"/>
    <w:rsid w:val="00473602"/>
    <w:rsid w:val="0048102E"/>
    <w:rsid w:val="004819AE"/>
    <w:rsid w:val="00483B80"/>
    <w:rsid w:val="00484B9B"/>
    <w:rsid w:val="004855F6"/>
    <w:rsid w:val="00485663"/>
    <w:rsid w:val="0048661E"/>
    <w:rsid w:val="004900C9"/>
    <w:rsid w:val="004902C5"/>
    <w:rsid w:val="00490CE7"/>
    <w:rsid w:val="004921F9"/>
    <w:rsid w:val="00494670"/>
    <w:rsid w:val="004963AC"/>
    <w:rsid w:val="004A0000"/>
    <w:rsid w:val="004A28BA"/>
    <w:rsid w:val="004A3823"/>
    <w:rsid w:val="004A7EF1"/>
    <w:rsid w:val="004B1978"/>
    <w:rsid w:val="004B1C30"/>
    <w:rsid w:val="004B2266"/>
    <w:rsid w:val="004B7B5C"/>
    <w:rsid w:val="004C0BA3"/>
    <w:rsid w:val="004C37ED"/>
    <w:rsid w:val="004C7088"/>
    <w:rsid w:val="004C76BF"/>
    <w:rsid w:val="004D05D1"/>
    <w:rsid w:val="004D2714"/>
    <w:rsid w:val="004D2B96"/>
    <w:rsid w:val="004D2E35"/>
    <w:rsid w:val="004D30B8"/>
    <w:rsid w:val="004D5A6D"/>
    <w:rsid w:val="004D77DC"/>
    <w:rsid w:val="004E1BF9"/>
    <w:rsid w:val="004E3403"/>
    <w:rsid w:val="004E3C11"/>
    <w:rsid w:val="004E5F52"/>
    <w:rsid w:val="004E6042"/>
    <w:rsid w:val="004E6946"/>
    <w:rsid w:val="004F1AD8"/>
    <w:rsid w:val="004F2D76"/>
    <w:rsid w:val="004F314C"/>
    <w:rsid w:val="004F464A"/>
    <w:rsid w:val="004F7811"/>
    <w:rsid w:val="0050013E"/>
    <w:rsid w:val="005039CB"/>
    <w:rsid w:val="00504639"/>
    <w:rsid w:val="0050558F"/>
    <w:rsid w:val="00505750"/>
    <w:rsid w:val="00506286"/>
    <w:rsid w:val="00510813"/>
    <w:rsid w:val="00511990"/>
    <w:rsid w:val="00511DE0"/>
    <w:rsid w:val="00514870"/>
    <w:rsid w:val="00514B9B"/>
    <w:rsid w:val="00517F02"/>
    <w:rsid w:val="00521E99"/>
    <w:rsid w:val="005231DB"/>
    <w:rsid w:val="00523C31"/>
    <w:rsid w:val="0052406E"/>
    <w:rsid w:val="00524303"/>
    <w:rsid w:val="0052433D"/>
    <w:rsid w:val="005258A2"/>
    <w:rsid w:val="005266F4"/>
    <w:rsid w:val="00527C3D"/>
    <w:rsid w:val="005311E4"/>
    <w:rsid w:val="005401AE"/>
    <w:rsid w:val="00542E07"/>
    <w:rsid w:val="005433E4"/>
    <w:rsid w:val="00543B64"/>
    <w:rsid w:val="005440F8"/>
    <w:rsid w:val="005453D1"/>
    <w:rsid w:val="00545424"/>
    <w:rsid w:val="005522B1"/>
    <w:rsid w:val="005528AE"/>
    <w:rsid w:val="005538D5"/>
    <w:rsid w:val="00553EE6"/>
    <w:rsid w:val="00554A7B"/>
    <w:rsid w:val="0055572C"/>
    <w:rsid w:val="00555848"/>
    <w:rsid w:val="0056048A"/>
    <w:rsid w:val="0056106A"/>
    <w:rsid w:val="00561748"/>
    <w:rsid w:val="00567C06"/>
    <w:rsid w:val="005713E8"/>
    <w:rsid w:val="005720AE"/>
    <w:rsid w:val="005726C5"/>
    <w:rsid w:val="00573490"/>
    <w:rsid w:val="00575B4D"/>
    <w:rsid w:val="00582F57"/>
    <w:rsid w:val="0058475C"/>
    <w:rsid w:val="005850B9"/>
    <w:rsid w:val="005856A3"/>
    <w:rsid w:val="00586443"/>
    <w:rsid w:val="00587E29"/>
    <w:rsid w:val="0059003A"/>
    <w:rsid w:val="005908AC"/>
    <w:rsid w:val="0059149A"/>
    <w:rsid w:val="005938DD"/>
    <w:rsid w:val="00593DA1"/>
    <w:rsid w:val="00594D77"/>
    <w:rsid w:val="005969E4"/>
    <w:rsid w:val="005A06B7"/>
    <w:rsid w:val="005A1759"/>
    <w:rsid w:val="005A1AF6"/>
    <w:rsid w:val="005A3619"/>
    <w:rsid w:val="005A4E19"/>
    <w:rsid w:val="005A55BB"/>
    <w:rsid w:val="005A68A7"/>
    <w:rsid w:val="005A6E44"/>
    <w:rsid w:val="005A7C5B"/>
    <w:rsid w:val="005B0DD9"/>
    <w:rsid w:val="005B7708"/>
    <w:rsid w:val="005B7945"/>
    <w:rsid w:val="005B7A3B"/>
    <w:rsid w:val="005B7E99"/>
    <w:rsid w:val="005C2BC8"/>
    <w:rsid w:val="005C37B8"/>
    <w:rsid w:val="005D0441"/>
    <w:rsid w:val="005D205A"/>
    <w:rsid w:val="005D36AB"/>
    <w:rsid w:val="005F193F"/>
    <w:rsid w:val="005F21ED"/>
    <w:rsid w:val="005F4388"/>
    <w:rsid w:val="005F59D5"/>
    <w:rsid w:val="005F6795"/>
    <w:rsid w:val="005F7779"/>
    <w:rsid w:val="00603E47"/>
    <w:rsid w:val="006046F8"/>
    <w:rsid w:val="006055F1"/>
    <w:rsid w:val="00613138"/>
    <w:rsid w:val="006135A5"/>
    <w:rsid w:val="00617CC3"/>
    <w:rsid w:val="006322E5"/>
    <w:rsid w:val="006368E0"/>
    <w:rsid w:val="00636B90"/>
    <w:rsid w:val="006377A6"/>
    <w:rsid w:val="00637A3D"/>
    <w:rsid w:val="006411EF"/>
    <w:rsid w:val="00641271"/>
    <w:rsid w:val="00641FD9"/>
    <w:rsid w:val="006463CF"/>
    <w:rsid w:val="00655823"/>
    <w:rsid w:val="00657966"/>
    <w:rsid w:val="00663BA9"/>
    <w:rsid w:val="0067038E"/>
    <w:rsid w:val="00672D73"/>
    <w:rsid w:val="006735F2"/>
    <w:rsid w:val="0067460D"/>
    <w:rsid w:val="006748B8"/>
    <w:rsid w:val="0067523F"/>
    <w:rsid w:val="006775C3"/>
    <w:rsid w:val="006777D6"/>
    <w:rsid w:val="00682CDB"/>
    <w:rsid w:val="00686D65"/>
    <w:rsid w:val="0069290A"/>
    <w:rsid w:val="0069325D"/>
    <w:rsid w:val="00695A35"/>
    <w:rsid w:val="00696D3A"/>
    <w:rsid w:val="0069775A"/>
    <w:rsid w:val="00697813"/>
    <w:rsid w:val="006A0346"/>
    <w:rsid w:val="006A3EE8"/>
    <w:rsid w:val="006A5193"/>
    <w:rsid w:val="006A5DCB"/>
    <w:rsid w:val="006A68BB"/>
    <w:rsid w:val="006A72BF"/>
    <w:rsid w:val="006B03F2"/>
    <w:rsid w:val="006B1E6C"/>
    <w:rsid w:val="006B37DC"/>
    <w:rsid w:val="006B4320"/>
    <w:rsid w:val="006B4F68"/>
    <w:rsid w:val="006B57BC"/>
    <w:rsid w:val="006B705F"/>
    <w:rsid w:val="006C0592"/>
    <w:rsid w:val="006C072B"/>
    <w:rsid w:val="006C0F94"/>
    <w:rsid w:val="006C272E"/>
    <w:rsid w:val="006C4486"/>
    <w:rsid w:val="006C5479"/>
    <w:rsid w:val="006C5D45"/>
    <w:rsid w:val="006C5E37"/>
    <w:rsid w:val="006C7251"/>
    <w:rsid w:val="006C7AB7"/>
    <w:rsid w:val="006D13B5"/>
    <w:rsid w:val="006D1892"/>
    <w:rsid w:val="006D19BF"/>
    <w:rsid w:val="006E12FF"/>
    <w:rsid w:val="006E24F7"/>
    <w:rsid w:val="006E3EA9"/>
    <w:rsid w:val="006E607E"/>
    <w:rsid w:val="006E6AE2"/>
    <w:rsid w:val="006E754B"/>
    <w:rsid w:val="006F22AE"/>
    <w:rsid w:val="006F439B"/>
    <w:rsid w:val="006F5200"/>
    <w:rsid w:val="006F6157"/>
    <w:rsid w:val="006F6D54"/>
    <w:rsid w:val="006F76ED"/>
    <w:rsid w:val="007009B3"/>
    <w:rsid w:val="0070275F"/>
    <w:rsid w:val="00706C5D"/>
    <w:rsid w:val="007107D0"/>
    <w:rsid w:val="0071483E"/>
    <w:rsid w:val="0071666B"/>
    <w:rsid w:val="00717A36"/>
    <w:rsid w:val="00723635"/>
    <w:rsid w:val="007243BD"/>
    <w:rsid w:val="00724E40"/>
    <w:rsid w:val="00731B04"/>
    <w:rsid w:val="00732922"/>
    <w:rsid w:val="00733D6D"/>
    <w:rsid w:val="00735B8B"/>
    <w:rsid w:val="00741E3D"/>
    <w:rsid w:val="00744182"/>
    <w:rsid w:val="00744867"/>
    <w:rsid w:val="0075162E"/>
    <w:rsid w:val="00751EDA"/>
    <w:rsid w:val="00752CE9"/>
    <w:rsid w:val="007532CE"/>
    <w:rsid w:val="00754034"/>
    <w:rsid w:val="00755817"/>
    <w:rsid w:val="00756556"/>
    <w:rsid w:val="007618C4"/>
    <w:rsid w:val="00761B2F"/>
    <w:rsid w:val="00762777"/>
    <w:rsid w:val="00763252"/>
    <w:rsid w:val="0076513E"/>
    <w:rsid w:val="007658A8"/>
    <w:rsid w:val="00767980"/>
    <w:rsid w:val="00770B19"/>
    <w:rsid w:val="0077463F"/>
    <w:rsid w:val="007756E6"/>
    <w:rsid w:val="00776E63"/>
    <w:rsid w:val="007807DA"/>
    <w:rsid w:val="00781D56"/>
    <w:rsid w:val="007828C5"/>
    <w:rsid w:val="00782A87"/>
    <w:rsid w:val="007836EA"/>
    <w:rsid w:val="00784CDA"/>
    <w:rsid w:val="00785164"/>
    <w:rsid w:val="00785D82"/>
    <w:rsid w:val="00787282"/>
    <w:rsid w:val="007906C4"/>
    <w:rsid w:val="007940EA"/>
    <w:rsid w:val="00794C09"/>
    <w:rsid w:val="00795DFB"/>
    <w:rsid w:val="00795ED9"/>
    <w:rsid w:val="00795EFB"/>
    <w:rsid w:val="007967E8"/>
    <w:rsid w:val="007976FE"/>
    <w:rsid w:val="007979B6"/>
    <w:rsid w:val="007A2170"/>
    <w:rsid w:val="007A22BF"/>
    <w:rsid w:val="007A22F6"/>
    <w:rsid w:val="007A32DD"/>
    <w:rsid w:val="007A3323"/>
    <w:rsid w:val="007A355C"/>
    <w:rsid w:val="007A457C"/>
    <w:rsid w:val="007A5135"/>
    <w:rsid w:val="007A6054"/>
    <w:rsid w:val="007A6EF1"/>
    <w:rsid w:val="007B6185"/>
    <w:rsid w:val="007B72B8"/>
    <w:rsid w:val="007B7A58"/>
    <w:rsid w:val="007C1516"/>
    <w:rsid w:val="007C2130"/>
    <w:rsid w:val="007C21B5"/>
    <w:rsid w:val="007C25BA"/>
    <w:rsid w:val="007D10BC"/>
    <w:rsid w:val="007D1A96"/>
    <w:rsid w:val="007D570A"/>
    <w:rsid w:val="007D760A"/>
    <w:rsid w:val="007E0929"/>
    <w:rsid w:val="007E26D6"/>
    <w:rsid w:val="007E4BD2"/>
    <w:rsid w:val="007E67A8"/>
    <w:rsid w:val="007F047B"/>
    <w:rsid w:val="007F250E"/>
    <w:rsid w:val="007F297E"/>
    <w:rsid w:val="007F334E"/>
    <w:rsid w:val="007F5934"/>
    <w:rsid w:val="007F6EEC"/>
    <w:rsid w:val="00801393"/>
    <w:rsid w:val="00802F88"/>
    <w:rsid w:val="0080339E"/>
    <w:rsid w:val="00804F0F"/>
    <w:rsid w:val="0081145A"/>
    <w:rsid w:val="0081293E"/>
    <w:rsid w:val="008145C5"/>
    <w:rsid w:val="00815465"/>
    <w:rsid w:val="00816BBB"/>
    <w:rsid w:val="00817E9A"/>
    <w:rsid w:val="008201C3"/>
    <w:rsid w:val="0082455C"/>
    <w:rsid w:val="008253A2"/>
    <w:rsid w:val="008306BD"/>
    <w:rsid w:val="00830B0B"/>
    <w:rsid w:val="0083176C"/>
    <w:rsid w:val="00831A80"/>
    <w:rsid w:val="00832F9F"/>
    <w:rsid w:val="00833743"/>
    <w:rsid w:val="008340A4"/>
    <w:rsid w:val="00836A97"/>
    <w:rsid w:val="0083734E"/>
    <w:rsid w:val="00837703"/>
    <w:rsid w:val="008379D1"/>
    <w:rsid w:val="00840D73"/>
    <w:rsid w:val="0084160E"/>
    <w:rsid w:val="00841FA2"/>
    <w:rsid w:val="008477C6"/>
    <w:rsid w:val="008500BD"/>
    <w:rsid w:val="00850A83"/>
    <w:rsid w:val="00851C1E"/>
    <w:rsid w:val="00853981"/>
    <w:rsid w:val="00854A07"/>
    <w:rsid w:val="00855BAC"/>
    <w:rsid w:val="00860136"/>
    <w:rsid w:val="00862080"/>
    <w:rsid w:val="00862AD8"/>
    <w:rsid w:val="00862F82"/>
    <w:rsid w:val="0086506A"/>
    <w:rsid w:val="008657D8"/>
    <w:rsid w:val="0087135F"/>
    <w:rsid w:val="00872D94"/>
    <w:rsid w:val="00872E4D"/>
    <w:rsid w:val="00877EDE"/>
    <w:rsid w:val="00880364"/>
    <w:rsid w:val="008831C5"/>
    <w:rsid w:val="008902DF"/>
    <w:rsid w:val="00891592"/>
    <w:rsid w:val="0089168F"/>
    <w:rsid w:val="00891E9E"/>
    <w:rsid w:val="00892DB5"/>
    <w:rsid w:val="00894076"/>
    <w:rsid w:val="0089444A"/>
    <w:rsid w:val="0089571E"/>
    <w:rsid w:val="008974D5"/>
    <w:rsid w:val="008A2C5D"/>
    <w:rsid w:val="008A2F68"/>
    <w:rsid w:val="008A325D"/>
    <w:rsid w:val="008A32D1"/>
    <w:rsid w:val="008A356B"/>
    <w:rsid w:val="008A79C1"/>
    <w:rsid w:val="008A7D86"/>
    <w:rsid w:val="008B110A"/>
    <w:rsid w:val="008B1525"/>
    <w:rsid w:val="008B164D"/>
    <w:rsid w:val="008B165C"/>
    <w:rsid w:val="008B2027"/>
    <w:rsid w:val="008B2753"/>
    <w:rsid w:val="008B2843"/>
    <w:rsid w:val="008B2BFB"/>
    <w:rsid w:val="008B2CDC"/>
    <w:rsid w:val="008B4FA6"/>
    <w:rsid w:val="008B5282"/>
    <w:rsid w:val="008B7C17"/>
    <w:rsid w:val="008B7EA3"/>
    <w:rsid w:val="008C1B74"/>
    <w:rsid w:val="008C2D01"/>
    <w:rsid w:val="008C2FCD"/>
    <w:rsid w:val="008C3357"/>
    <w:rsid w:val="008C40E6"/>
    <w:rsid w:val="008D0F7A"/>
    <w:rsid w:val="008D5510"/>
    <w:rsid w:val="008D68E4"/>
    <w:rsid w:val="008E0506"/>
    <w:rsid w:val="008E0846"/>
    <w:rsid w:val="008E08FB"/>
    <w:rsid w:val="008E0AE2"/>
    <w:rsid w:val="008E0CFF"/>
    <w:rsid w:val="008E3228"/>
    <w:rsid w:val="008E5D6B"/>
    <w:rsid w:val="008E76F0"/>
    <w:rsid w:val="008F15DC"/>
    <w:rsid w:val="008F15FE"/>
    <w:rsid w:val="008F1B88"/>
    <w:rsid w:val="008F2D29"/>
    <w:rsid w:val="008F5187"/>
    <w:rsid w:val="008F60D8"/>
    <w:rsid w:val="008F6C8A"/>
    <w:rsid w:val="00902727"/>
    <w:rsid w:val="0090312B"/>
    <w:rsid w:val="009037CB"/>
    <w:rsid w:val="00907E4B"/>
    <w:rsid w:val="00912F4D"/>
    <w:rsid w:val="00916089"/>
    <w:rsid w:val="0091736D"/>
    <w:rsid w:val="0092124F"/>
    <w:rsid w:val="009215B1"/>
    <w:rsid w:val="009242D0"/>
    <w:rsid w:val="0092499E"/>
    <w:rsid w:val="00927B6B"/>
    <w:rsid w:val="0093037A"/>
    <w:rsid w:val="009342C1"/>
    <w:rsid w:val="00940678"/>
    <w:rsid w:val="0094154D"/>
    <w:rsid w:val="00942B76"/>
    <w:rsid w:val="009478EE"/>
    <w:rsid w:val="0095155F"/>
    <w:rsid w:val="00954429"/>
    <w:rsid w:val="00955A0B"/>
    <w:rsid w:val="009563CE"/>
    <w:rsid w:val="00956ECB"/>
    <w:rsid w:val="009570B7"/>
    <w:rsid w:val="009576E1"/>
    <w:rsid w:val="00960786"/>
    <w:rsid w:val="00963FAE"/>
    <w:rsid w:val="00965E2A"/>
    <w:rsid w:val="00966E93"/>
    <w:rsid w:val="0097000A"/>
    <w:rsid w:val="00972A66"/>
    <w:rsid w:val="00974688"/>
    <w:rsid w:val="00975DD0"/>
    <w:rsid w:val="00976328"/>
    <w:rsid w:val="0097680D"/>
    <w:rsid w:val="00976935"/>
    <w:rsid w:val="009800B1"/>
    <w:rsid w:val="00980755"/>
    <w:rsid w:val="00982438"/>
    <w:rsid w:val="00983BDC"/>
    <w:rsid w:val="0098404C"/>
    <w:rsid w:val="00985283"/>
    <w:rsid w:val="00987E0C"/>
    <w:rsid w:val="0099484D"/>
    <w:rsid w:val="00995992"/>
    <w:rsid w:val="009A03E5"/>
    <w:rsid w:val="009A0F3B"/>
    <w:rsid w:val="009A1BB4"/>
    <w:rsid w:val="009A2628"/>
    <w:rsid w:val="009A3200"/>
    <w:rsid w:val="009A4AC7"/>
    <w:rsid w:val="009A55EA"/>
    <w:rsid w:val="009A68BB"/>
    <w:rsid w:val="009B0897"/>
    <w:rsid w:val="009B6E1D"/>
    <w:rsid w:val="009B70E0"/>
    <w:rsid w:val="009B720D"/>
    <w:rsid w:val="009B7BD9"/>
    <w:rsid w:val="009C2831"/>
    <w:rsid w:val="009C2AE9"/>
    <w:rsid w:val="009C42AB"/>
    <w:rsid w:val="009C7DD5"/>
    <w:rsid w:val="009C7DE2"/>
    <w:rsid w:val="009D0B19"/>
    <w:rsid w:val="009D5CA4"/>
    <w:rsid w:val="009D6CF8"/>
    <w:rsid w:val="009E0EC2"/>
    <w:rsid w:val="009E227D"/>
    <w:rsid w:val="009E5019"/>
    <w:rsid w:val="009E6D09"/>
    <w:rsid w:val="009F09B1"/>
    <w:rsid w:val="009F13DB"/>
    <w:rsid w:val="009F24A9"/>
    <w:rsid w:val="009F42D5"/>
    <w:rsid w:val="009F4A63"/>
    <w:rsid w:val="009F603A"/>
    <w:rsid w:val="009F7945"/>
    <w:rsid w:val="00A02D14"/>
    <w:rsid w:val="00A04F1B"/>
    <w:rsid w:val="00A0501B"/>
    <w:rsid w:val="00A07174"/>
    <w:rsid w:val="00A14947"/>
    <w:rsid w:val="00A1568F"/>
    <w:rsid w:val="00A17E05"/>
    <w:rsid w:val="00A24564"/>
    <w:rsid w:val="00A26F90"/>
    <w:rsid w:val="00A308FC"/>
    <w:rsid w:val="00A30F2D"/>
    <w:rsid w:val="00A30FEF"/>
    <w:rsid w:val="00A32355"/>
    <w:rsid w:val="00A32A83"/>
    <w:rsid w:val="00A32C00"/>
    <w:rsid w:val="00A368DB"/>
    <w:rsid w:val="00A423AA"/>
    <w:rsid w:val="00A42D0D"/>
    <w:rsid w:val="00A44024"/>
    <w:rsid w:val="00A470F6"/>
    <w:rsid w:val="00A51B9A"/>
    <w:rsid w:val="00A521D4"/>
    <w:rsid w:val="00A5351D"/>
    <w:rsid w:val="00A53EC6"/>
    <w:rsid w:val="00A5433D"/>
    <w:rsid w:val="00A55C0F"/>
    <w:rsid w:val="00A61354"/>
    <w:rsid w:val="00A623F0"/>
    <w:rsid w:val="00A66056"/>
    <w:rsid w:val="00A66B06"/>
    <w:rsid w:val="00A7058E"/>
    <w:rsid w:val="00A7092C"/>
    <w:rsid w:val="00A72BCC"/>
    <w:rsid w:val="00A73885"/>
    <w:rsid w:val="00A75926"/>
    <w:rsid w:val="00A765E7"/>
    <w:rsid w:val="00A80B9F"/>
    <w:rsid w:val="00A8713F"/>
    <w:rsid w:val="00A87B35"/>
    <w:rsid w:val="00A905DC"/>
    <w:rsid w:val="00A90BA1"/>
    <w:rsid w:val="00A92FB6"/>
    <w:rsid w:val="00A93162"/>
    <w:rsid w:val="00A94532"/>
    <w:rsid w:val="00A945B2"/>
    <w:rsid w:val="00A946CD"/>
    <w:rsid w:val="00A97692"/>
    <w:rsid w:val="00A979D3"/>
    <w:rsid w:val="00A97A9A"/>
    <w:rsid w:val="00A97E9C"/>
    <w:rsid w:val="00AA0671"/>
    <w:rsid w:val="00AA08A2"/>
    <w:rsid w:val="00AA2531"/>
    <w:rsid w:val="00AA4D15"/>
    <w:rsid w:val="00AA71A8"/>
    <w:rsid w:val="00AA7FDA"/>
    <w:rsid w:val="00AB1E09"/>
    <w:rsid w:val="00AB4B0D"/>
    <w:rsid w:val="00AB4DBA"/>
    <w:rsid w:val="00AB5330"/>
    <w:rsid w:val="00AB6103"/>
    <w:rsid w:val="00AB630D"/>
    <w:rsid w:val="00AB7488"/>
    <w:rsid w:val="00AB7747"/>
    <w:rsid w:val="00AB7B21"/>
    <w:rsid w:val="00AC14CE"/>
    <w:rsid w:val="00AC25F5"/>
    <w:rsid w:val="00AC2A56"/>
    <w:rsid w:val="00AC3E35"/>
    <w:rsid w:val="00AC4D82"/>
    <w:rsid w:val="00AC6113"/>
    <w:rsid w:val="00AC73A5"/>
    <w:rsid w:val="00AC7FF2"/>
    <w:rsid w:val="00AD055E"/>
    <w:rsid w:val="00AD1D28"/>
    <w:rsid w:val="00AD28AD"/>
    <w:rsid w:val="00AD35FD"/>
    <w:rsid w:val="00AD47A7"/>
    <w:rsid w:val="00AD72D9"/>
    <w:rsid w:val="00AE0209"/>
    <w:rsid w:val="00AE08A6"/>
    <w:rsid w:val="00AE116B"/>
    <w:rsid w:val="00AE1F27"/>
    <w:rsid w:val="00AE4BBE"/>
    <w:rsid w:val="00AE4F2D"/>
    <w:rsid w:val="00AE6277"/>
    <w:rsid w:val="00AE63A2"/>
    <w:rsid w:val="00AE6D4F"/>
    <w:rsid w:val="00AF0CBF"/>
    <w:rsid w:val="00AF257F"/>
    <w:rsid w:val="00AF33CF"/>
    <w:rsid w:val="00AF4ABF"/>
    <w:rsid w:val="00AF4D50"/>
    <w:rsid w:val="00AF6179"/>
    <w:rsid w:val="00AF67EC"/>
    <w:rsid w:val="00B013A5"/>
    <w:rsid w:val="00B01BB2"/>
    <w:rsid w:val="00B05570"/>
    <w:rsid w:val="00B07038"/>
    <w:rsid w:val="00B10C73"/>
    <w:rsid w:val="00B11C89"/>
    <w:rsid w:val="00B1295A"/>
    <w:rsid w:val="00B14239"/>
    <w:rsid w:val="00B143DB"/>
    <w:rsid w:val="00B17A92"/>
    <w:rsid w:val="00B20A45"/>
    <w:rsid w:val="00B20FC3"/>
    <w:rsid w:val="00B21BE2"/>
    <w:rsid w:val="00B22C5C"/>
    <w:rsid w:val="00B24F30"/>
    <w:rsid w:val="00B31ABF"/>
    <w:rsid w:val="00B33BE3"/>
    <w:rsid w:val="00B33C15"/>
    <w:rsid w:val="00B33FAA"/>
    <w:rsid w:val="00B34515"/>
    <w:rsid w:val="00B34F74"/>
    <w:rsid w:val="00B42156"/>
    <w:rsid w:val="00B44A13"/>
    <w:rsid w:val="00B450E4"/>
    <w:rsid w:val="00B4747F"/>
    <w:rsid w:val="00B53B5D"/>
    <w:rsid w:val="00B57A1B"/>
    <w:rsid w:val="00B6055E"/>
    <w:rsid w:val="00B616FB"/>
    <w:rsid w:val="00B6317D"/>
    <w:rsid w:val="00B65042"/>
    <w:rsid w:val="00B65C67"/>
    <w:rsid w:val="00B77071"/>
    <w:rsid w:val="00B7723F"/>
    <w:rsid w:val="00B80490"/>
    <w:rsid w:val="00B80534"/>
    <w:rsid w:val="00B83347"/>
    <w:rsid w:val="00B836F4"/>
    <w:rsid w:val="00B839AD"/>
    <w:rsid w:val="00B8433C"/>
    <w:rsid w:val="00B86804"/>
    <w:rsid w:val="00B87101"/>
    <w:rsid w:val="00B87491"/>
    <w:rsid w:val="00B901F2"/>
    <w:rsid w:val="00B91C2B"/>
    <w:rsid w:val="00B93F08"/>
    <w:rsid w:val="00B95FCD"/>
    <w:rsid w:val="00BA29E9"/>
    <w:rsid w:val="00BA4CD7"/>
    <w:rsid w:val="00BA59BA"/>
    <w:rsid w:val="00BA6CA8"/>
    <w:rsid w:val="00BA6D8A"/>
    <w:rsid w:val="00BA7142"/>
    <w:rsid w:val="00BA7804"/>
    <w:rsid w:val="00BB015E"/>
    <w:rsid w:val="00BB237C"/>
    <w:rsid w:val="00BB2442"/>
    <w:rsid w:val="00BB3508"/>
    <w:rsid w:val="00BB38E7"/>
    <w:rsid w:val="00BB41A3"/>
    <w:rsid w:val="00BB6EA1"/>
    <w:rsid w:val="00BC26A9"/>
    <w:rsid w:val="00BC2BD4"/>
    <w:rsid w:val="00BC32DC"/>
    <w:rsid w:val="00BC35B6"/>
    <w:rsid w:val="00BC36FF"/>
    <w:rsid w:val="00BC49D0"/>
    <w:rsid w:val="00BD1B51"/>
    <w:rsid w:val="00BD356F"/>
    <w:rsid w:val="00BD4596"/>
    <w:rsid w:val="00BD551B"/>
    <w:rsid w:val="00BD788F"/>
    <w:rsid w:val="00BD79D5"/>
    <w:rsid w:val="00BE040F"/>
    <w:rsid w:val="00BE0BEC"/>
    <w:rsid w:val="00BE1405"/>
    <w:rsid w:val="00BE312D"/>
    <w:rsid w:val="00BE41DC"/>
    <w:rsid w:val="00BF0152"/>
    <w:rsid w:val="00BF1A61"/>
    <w:rsid w:val="00BF1C20"/>
    <w:rsid w:val="00BF1F26"/>
    <w:rsid w:val="00BF3088"/>
    <w:rsid w:val="00BF516E"/>
    <w:rsid w:val="00C034D3"/>
    <w:rsid w:val="00C0501E"/>
    <w:rsid w:val="00C07A9D"/>
    <w:rsid w:val="00C10578"/>
    <w:rsid w:val="00C11562"/>
    <w:rsid w:val="00C11574"/>
    <w:rsid w:val="00C119FA"/>
    <w:rsid w:val="00C135BC"/>
    <w:rsid w:val="00C13DC0"/>
    <w:rsid w:val="00C15C95"/>
    <w:rsid w:val="00C1609D"/>
    <w:rsid w:val="00C1799A"/>
    <w:rsid w:val="00C22C0F"/>
    <w:rsid w:val="00C22C98"/>
    <w:rsid w:val="00C2596A"/>
    <w:rsid w:val="00C27537"/>
    <w:rsid w:val="00C278A4"/>
    <w:rsid w:val="00C328FE"/>
    <w:rsid w:val="00C33507"/>
    <w:rsid w:val="00C35E28"/>
    <w:rsid w:val="00C4079C"/>
    <w:rsid w:val="00C4326A"/>
    <w:rsid w:val="00C4409D"/>
    <w:rsid w:val="00C4449E"/>
    <w:rsid w:val="00C44E72"/>
    <w:rsid w:val="00C45A06"/>
    <w:rsid w:val="00C45F81"/>
    <w:rsid w:val="00C475FD"/>
    <w:rsid w:val="00C47E5B"/>
    <w:rsid w:val="00C512D3"/>
    <w:rsid w:val="00C52364"/>
    <w:rsid w:val="00C52BC3"/>
    <w:rsid w:val="00C53152"/>
    <w:rsid w:val="00C56191"/>
    <w:rsid w:val="00C5634B"/>
    <w:rsid w:val="00C5793F"/>
    <w:rsid w:val="00C6099E"/>
    <w:rsid w:val="00C6180B"/>
    <w:rsid w:val="00C61E4B"/>
    <w:rsid w:val="00C63157"/>
    <w:rsid w:val="00C647CD"/>
    <w:rsid w:val="00C64BFF"/>
    <w:rsid w:val="00C671D0"/>
    <w:rsid w:val="00C704E9"/>
    <w:rsid w:val="00C73ED5"/>
    <w:rsid w:val="00C7463C"/>
    <w:rsid w:val="00C7591D"/>
    <w:rsid w:val="00C763C9"/>
    <w:rsid w:val="00C80057"/>
    <w:rsid w:val="00C81FC2"/>
    <w:rsid w:val="00C82232"/>
    <w:rsid w:val="00C82913"/>
    <w:rsid w:val="00C84514"/>
    <w:rsid w:val="00C85428"/>
    <w:rsid w:val="00C8599E"/>
    <w:rsid w:val="00C86674"/>
    <w:rsid w:val="00C92CF1"/>
    <w:rsid w:val="00C93E3E"/>
    <w:rsid w:val="00C97288"/>
    <w:rsid w:val="00C972B1"/>
    <w:rsid w:val="00C97F36"/>
    <w:rsid w:val="00CA120E"/>
    <w:rsid w:val="00CA2CCE"/>
    <w:rsid w:val="00CA4222"/>
    <w:rsid w:val="00CA43FD"/>
    <w:rsid w:val="00CA4E93"/>
    <w:rsid w:val="00CA6F60"/>
    <w:rsid w:val="00CA725C"/>
    <w:rsid w:val="00CA7EF8"/>
    <w:rsid w:val="00CB132C"/>
    <w:rsid w:val="00CB2C62"/>
    <w:rsid w:val="00CB3C8C"/>
    <w:rsid w:val="00CB43C7"/>
    <w:rsid w:val="00CB626A"/>
    <w:rsid w:val="00CB7A6A"/>
    <w:rsid w:val="00CC1C14"/>
    <w:rsid w:val="00CC4146"/>
    <w:rsid w:val="00CC480B"/>
    <w:rsid w:val="00CC489B"/>
    <w:rsid w:val="00CC5314"/>
    <w:rsid w:val="00CC5DA7"/>
    <w:rsid w:val="00CC7005"/>
    <w:rsid w:val="00CD1D52"/>
    <w:rsid w:val="00CD266A"/>
    <w:rsid w:val="00CD2BCD"/>
    <w:rsid w:val="00CD3A4C"/>
    <w:rsid w:val="00CD5DEA"/>
    <w:rsid w:val="00CD5E2F"/>
    <w:rsid w:val="00CE10E9"/>
    <w:rsid w:val="00CE1152"/>
    <w:rsid w:val="00CE2797"/>
    <w:rsid w:val="00CE2910"/>
    <w:rsid w:val="00CE39DB"/>
    <w:rsid w:val="00CE4337"/>
    <w:rsid w:val="00CE5393"/>
    <w:rsid w:val="00CE5BD4"/>
    <w:rsid w:val="00CE7473"/>
    <w:rsid w:val="00CE7C9A"/>
    <w:rsid w:val="00CF19EE"/>
    <w:rsid w:val="00CF1D38"/>
    <w:rsid w:val="00CF2B1F"/>
    <w:rsid w:val="00CF36BE"/>
    <w:rsid w:val="00CF3C56"/>
    <w:rsid w:val="00CF56BA"/>
    <w:rsid w:val="00CF6000"/>
    <w:rsid w:val="00D003F3"/>
    <w:rsid w:val="00D0364F"/>
    <w:rsid w:val="00D060AE"/>
    <w:rsid w:val="00D06834"/>
    <w:rsid w:val="00D079EE"/>
    <w:rsid w:val="00D122BF"/>
    <w:rsid w:val="00D142B4"/>
    <w:rsid w:val="00D1779E"/>
    <w:rsid w:val="00D20318"/>
    <w:rsid w:val="00D20518"/>
    <w:rsid w:val="00D216FA"/>
    <w:rsid w:val="00D2208C"/>
    <w:rsid w:val="00D308ED"/>
    <w:rsid w:val="00D309C4"/>
    <w:rsid w:val="00D30CDB"/>
    <w:rsid w:val="00D321FB"/>
    <w:rsid w:val="00D32E3C"/>
    <w:rsid w:val="00D34163"/>
    <w:rsid w:val="00D344B5"/>
    <w:rsid w:val="00D36D86"/>
    <w:rsid w:val="00D428AA"/>
    <w:rsid w:val="00D436A5"/>
    <w:rsid w:val="00D45E9D"/>
    <w:rsid w:val="00D460E1"/>
    <w:rsid w:val="00D472AB"/>
    <w:rsid w:val="00D47A72"/>
    <w:rsid w:val="00D50A34"/>
    <w:rsid w:val="00D5288D"/>
    <w:rsid w:val="00D52B12"/>
    <w:rsid w:val="00D53EFA"/>
    <w:rsid w:val="00D619D2"/>
    <w:rsid w:val="00D62A30"/>
    <w:rsid w:val="00D62CD8"/>
    <w:rsid w:val="00D62D50"/>
    <w:rsid w:val="00D72FE4"/>
    <w:rsid w:val="00D736F2"/>
    <w:rsid w:val="00D73A15"/>
    <w:rsid w:val="00D73B85"/>
    <w:rsid w:val="00D82512"/>
    <w:rsid w:val="00D84324"/>
    <w:rsid w:val="00D87FA8"/>
    <w:rsid w:val="00D91D99"/>
    <w:rsid w:val="00D92365"/>
    <w:rsid w:val="00D94342"/>
    <w:rsid w:val="00D94A7C"/>
    <w:rsid w:val="00D95896"/>
    <w:rsid w:val="00D97522"/>
    <w:rsid w:val="00DA0E7C"/>
    <w:rsid w:val="00DA5521"/>
    <w:rsid w:val="00DB10BE"/>
    <w:rsid w:val="00DB2883"/>
    <w:rsid w:val="00DB2983"/>
    <w:rsid w:val="00DB6061"/>
    <w:rsid w:val="00DC06FB"/>
    <w:rsid w:val="00DC0BCF"/>
    <w:rsid w:val="00DC1257"/>
    <w:rsid w:val="00DC17BE"/>
    <w:rsid w:val="00DC1BB0"/>
    <w:rsid w:val="00DC228B"/>
    <w:rsid w:val="00DC22AE"/>
    <w:rsid w:val="00DC3DC0"/>
    <w:rsid w:val="00DC5B2B"/>
    <w:rsid w:val="00DC6807"/>
    <w:rsid w:val="00DD0AA3"/>
    <w:rsid w:val="00DD2E62"/>
    <w:rsid w:val="00DD318D"/>
    <w:rsid w:val="00DD3F79"/>
    <w:rsid w:val="00DD485F"/>
    <w:rsid w:val="00DD6469"/>
    <w:rsid w:val="00DD78C2"/>
    <w:rsid w:val="00DE1AB2"/>
    <w:rsid w:val="00DE7BC5"/>
    <w:rsid w:val="00DF0B98"/>
    <w:rsid w:val="00DF2A20"/>
    <w:rsid w:val="00DF2E12"/>
    <w:rsid w:val="00DF3933"/>
    <w:rsid w:val="00DF3BFD"/>
    <w:rsid w:val="00DF3DCD"/>
    <w:rsid w:val="00DF514A"/>
    <w:rsid w:val="00DF5457"/>
    <w:rsid w:val="00DF6690"/>
    <w:rsid w:val="00DF6804"/>
    <w:rsid w:val="00E0358D"/>
    <w:rsid w:val="00E04323"/>
    <w:rsid w:val="00E054CF"/>
    <w:rsid w:val="00E06BF8"/>
    <w:rsid w:val="00E070A2"/>
    <w:rsid w:val="00E11D3C"/>
    <w:rsid w:val="00E175A3"/>
    <w:rsid w:val="00E201EB"/>
    <w:rsid w:val="00E24C8E"/>
    <w:rsid w:val="00E24ED4"/>
    <w:rsid w:val="00E2656A"/>
    <w:rsid w:val="00E304ED"/>
    <w:rsid w:val="00E3200C"/>
    <w:rsid w:val="00E33909"/>
    <w:rsid w:val="00E35000"/>
    <w:rsid w:val="00E411AB"/>
    <w:rsid w:val="00E412D0"/>
    <w:rsid w:val="00E42183"/>
    <w:rsid w:val="00E42B9E"/>
    <w:rsid w:val="00E441FE"/>
    <w:rsid w:val="00E44DE4"/>
    <w:rsid w:val="00E45754"/>
    <w:rsid w:val="00E46631"/>
    <w:rsid w:val="00E508B2"/>
    <w:rsid w:val="00E51C65"/>
    <w:rsid w:val="00E5446A"/>
    <w:rsid w:val="00E54508"/>
    <w:rsid w:val="00E551FB"/>
    <w:rsid w:val="00E56322"/>
    <w:rsid w:val="00E60915"/>
    <w:rsid w:val="00E60982"/>
    <w:rsid w:val="00E62953"/>
    <w:rsid w:val="00E62C62"/>
    <w:rsid w:val="00E654C1"/>
    <w:rsid w:val="00E65D97"/>
    <w:rsid w:val="00E6682D"/>
    <w:rsid w:val="00E66B89"/>
    <w:rsid w:val="00E72A5A"/>
    <w:rsid w:val="00E73354"/>
    <w:rsid w:val="00E754F0"/>
    <w:rsid w:val="00E7699B"/>
    <w:rsid w:val="00E82D2B"/>
    <w:rsid w:val="00E85B13"/>
    <w:rsid w:val="00E90C8A"/>
    <w:rsid w:val="00E9242D"/>
    <w:rsid w:val="00E92559"/>
    <w:rsid w:val="00E9309E"/>
    <w:rsid w:val="00E96F6E"/>
    <w:rsid w:val="00EA2357"/>
    <w:rsid w:val="00EA42B8"/>
    <w:rsid w:val="00EA4750"/>
    <w:rsid w:val="00EB4425"/>
    <w:rsid w:val="00EB5255"/>
    <w:rsid w:val="00EB5C47"/>
    <w:rsid w:val="00EB6AA8"/>
    <w:rsid w:val="00EB6EAD"/>
    <w:rsid w:val="00EB7017"/>
    <w:rsid w:val="00EB7FEB"/>
    <w:rsid w:val="00EC0CBF"/>
    <w:rsid w:val="00EC142F"/>
    <w:rsid w:val="00EC3534"/>
    <w:rsid w:val="00EC35D4"/>
    <w:rsid w:val="00EC3F13"/>
    <w:rsid w:val="00EC456A"/>
    <w:rsid w:val="00ED0639"/>
    <w:rsid w:val="00ED1474"/>
    <w:rsid w:val="00ED3197"/>
    <w:rsid w:val="00ED704B"/>
    <w:rsid w:val="00ED77D7"/>
    <w:rsid w:val="00EE50CB"/>
    <w:rsid w:val="00EE5B2A"/>
    <w:rsid w:val="00EF2D13"/>
    <w:rsid w:val="00EF300A"/>
    <w:rsid w:val="00EF4755"/>
    <w:rsid w:val="00EF7135"/>
    <w:rsid w:val="00F027DB"/>
    <w:rsid w:val="00F04D82"/>
    <w:rsid w:val="00F06AE8"/>
    <w:rsid w:val="00F07093"/>
    <w:rsid w:val="00F119D6"/>
    <w:rsid w:val="00F14A7A"/>
    <w:rsid w:val="00F154FC"/>
    <w:rsid w:val="00F15CA8"/>
    <w:rsid w:val="00F17545"/>
    <w:rsid w:val="00F20A33"/>
    <w:rsid w:val="00F2107A"/>
    <w:rsid w:val="00F22985"/>
    <w:rsid w:val="00F2696F"/>
    <w:rsid w:val="00F2792A"/>
    <w:rsid w:val="00F27A54"/>
    <w:rsid w:val="00F3383E"/>
    <w:rsid w:val="00F34403"/>
    <w:rsid w:val="00F3727F"/>
    <w:rsid w:val="00F427DB"/>
    <w:rsid w:val="00F452D2"/>
    <w:rsid w:val="00F465A7"/>
    <w:rsid w:val="00F473C7"/>
    <w:rsid w:val="00F47656"/>
    <w:rsid w:val="00F504FA"/>
    <w:rsid w:val="00F50B7C"/>
    <w:rsid w:val="00F51A49"/>
    <w:rsid w:val="00F550E6"/>
    <w:rsid w:val="00F65C59"/>
    <w:rsid w:val="00F7218A"/>
    <w:rsid w:val="00F7385F"/>
    <w:rsid w:val="00F74345"/>
    <w:rsid w:val="00F77EBD"/>
    <w:rsid w:val="00F80A0A"/>
    <w:rsid w:val="00F80B5A"/>
    <w:rsid w:val="00F8224F"/>
    <w:rsid w:val="00F82B19"/>
    <w:rsid w:val="00F8380A"/>
    <w:rsid w:val="00F9212D"/>
    <w:rsid w:val="00F948F5"/>
    <w:rsid w:val="00F965DA"/>
    <w:rsid w:val="00FA406A"/>
    <w:rsid w:val="00FA5D6D"/>
    <w:rsid w:val="00FB2901"/>
    <w:rsid w:val="00FB2F3C"/>
    <w:rsid w:val="00FB3355"/>
    <w:rsid w:val="00FB47F8"/>
    <w:rsid w:val="00FB503A"/>
    <w:rsid w:val="00FB516C"/>
    <w:rsid w:val="00FB52F9"/>
    <w:rsid w:val="00FC2A4D"/>
    <w:rsid w:val="00FC3A60"/>
    <w:rsid w:val="00FC64C8"/>
    <w:rsid w:val="00FC725A"/>
    <w:rsid w:val="00FD0236"/>
    <w:rsid w:val="00FD0F22"/>
    <w:rsid w:val="00FD18F4"/>
    <w:rsid w:val="00FD372B"/>
    <w:rsid w:val="00FD4DBD"/>
    <w:rsid w:val="00FD5103"/>
    <w:rsid w:val="00FD54DB"/>
    <w:rsid w:val="00FD599C"/>
    <w:rsid w:val="00FD5B4F"/>
    <w:rsid w:val="00FD619F"/>
    <w:rsid w:val="00FD7667"/>
    <w:rsid w:val="00FE454B"/>
    <w:rsid w:val="00FF522C"/>
    <w:rsid w:val="011F029A"/>
    <w:rsid w:val="01290F7E"/>
    <w:rsid w:val="015D1E09"/>
    <w:rsid w:val="01D134FA"/>
    <w:rsid w:val="01E76B3A"/>
    <w:rsid w:val="01EF4205"/>
    <w:rsid w:val="02697903"/>
    <w:rsid w:val="02F96569"/>
    <w:rsid w:val="02FC45A7"/>
    <w:rsid w:val="03436676"/>
    <w:rsid w:val="034E0D13"/>
    <w:rsid w:val="037601FA"/>
    <w:rsid w:val="03D535E5"/>
    <w:rsid w:val="03DF7B00"/>
    <w:rsid w:val="03EA7B21"/>
    <w:rsid w:val="040633AF"/>
    <w:rsid w:val="046C19F9"/>
    <w:rsid w:val="048370AC"/>
    <w:rsid w:val="04B62978"/>
    <w:rsid w:val="054007EF"/>
    <w:rsid w:val="05F83EAE"/>
    <w:rsid w:val="063E7D85"/>
    <w:rsid w:val="071C4003"/>
    <w:rsid w:val="071E271D"/>
    <w:rsid w:val="07293586"/>
    <w:rsid w:val="07295285"/>
    <w:rsid w:val="07367AF8"/>
    <w:rsid w:val="07636392"/>
    <w:rsid w:val="076B03D0"/>
    <w:rsid w:val="07770C56"/>
    <w:rsid w:val="07BC30BB"/>
    <w:rsid w:val="07E90C0C"/>
    <w:rsid w:val="07EC66F1"/>
    <w:rsid w:val="08557C33"/>
    <w:rsid w:val="08DE5E12"/>
    <w:rsid w:val="092217DD"/>
    <w:rsid w:val="093A7294"/>
    <w:rsid w:val="095E53F8"/>
    <w:rsid w:val="0A035B54"/>
    <w:rsid w:val="0A263993"/>
    <w:rsid w:val="0A2D3AC2"/>
    <w:rsid w:val="0A466017"/>
    <w:rsid w:val="0A4D7781"/>
    <w:rsid w:val="0A8005BE"/>
    <w:rsid w:val="0AA755DF"/>
    <w:rsid w:val="0ADB1D9A"/>
    <w:rsid w:val="0B120D44"/>
    <w:rsid w:val="0B2341BD"/>
    <w:rsid w:val="0B257D33"/>
    <w:rsid w:val="0B772A1C"/>
    <w:rsid w:val="0B7F1622"/>
    <w:rsid w:val="0BD27BF6"/>
    <w:rsid w:val="0C1B6EE8"/>
    <w:rsid w:val="0C3B3C7D"/>
    <w:rsid w:val="0C9E231F"/>
    <w:rsid w:val="0CAB2EAE"/>
    <w:rsid w:val="0D621C7D"/>
    <w:rsid w:val="0DB25AB2"/>
    <w:rsid w:val="0DD01949"/>
    <w:rsid w:val="0DE8160B"/>
    <w:rsid w:val="0E541C49"/>
    <w:rsid w:val="0E73034D"/>
    <w:rsid w:val="0E8556F5"/>
    <w:rsid w:val="0EB21ECA"/>
    <w:rsid w:val="0F13775A"/>
    <w:rsid w:val="0F191093"/>
    <w:rsid w:val="0F273929"/>
    <w:rsid w:val="0F5F45FE"/>
    <w:rsid w:val="0F65560C"/>
    <w:rsid w:val="0F9A112B"/>
    <w:rsid w:val="101144C8"/>
    <w:rsid w:val="1050299B"/>
    <w:rsid w:val="106D2F64"/>
    <w:rsid w:val="10B63710"/>
    <w:rsid w:val="10CE4BAC"/>
    <w:rsid w:val="10F10820"/>
    <w:rsid w:val="111C2F7A"/>
    <w:rsid w:val="11665CA1"/>
    <w:rsid w:val="11871FEC"/>
    <w:rsid w:val="12D47279"/>
    <w:rsid w:val="13763470"/>
    <w:rsid w:val="13951726"/>
    <w:rsid w:val="1406046E"/>
    <w:rsid w:val="1433594E"/>
    <w:rsid w:val="14396509"/>
    <w:rsid w:val="14C90DDA"/>
    <w:rsid w:val="14DD2C3C"/>
    <w:rsid w:val="151632A6"/>
    <w:rsid w:val="15641317"/>
    <w:rsid w:val="16087E1D"/>
    <w:rsid w:val="168518C5"/>
    <w:rsid w:val="172A441F"/>
    <w:rsid w:val="176C18A3"/>
    <w:rsid w:val="17701D14"/>
    <w:rsid w:val="17735226"/>
    <w:rsid w:val="17A35FA7"/>
    <w:rsid w:val="180F75B5"/>
    <w:rsid w:val="189F624C"/>
    <w:rsid w:val="190C0F7C"/>
    <w:rsid w:val="192B135A"/>
    <w:rsid w:val="19A846E9"/>
    <w:rsid w:val="1A1916CE"/>
    <w:rsid w:val="1A1C66C0"/>
    <w:rsid w:val="1A42393B"/>
    <w:rsid w:val="1AAD45DE"/>
    <w:rsid w:val="1ACD480D"/>
    <w:rsid w:val="1B046F80"/>
    <w:rsid w:val="1B1676E9"/>
    <w:rsid w:val="1B2E264A"/>
    <w:rsid w:val="1B3267B5"/>
    <w:rsid w:val="1B35657C"/>
    <w:rsid w:val="1B40161D"/>
    <w:rsid w:val="1B44028C"/>
    <w:rsid w:val="1B441859"/>
    <w:rsid w:val="1B6606B1"/>
    <w:rsid w:val="1B9E3C25"/>
    <w:rsid w:val="1BFC6C2C"/>
    <w:rsid w:val="1C4526C3"/>
    <w:rsid w:val="1C5E7925"/>
    <w:rsid w:val="1C723D84"/>
    <w:rsid w:val="1C747715"/>
    <w:rsid w:val="1C7F3969"/>
    <w:rsid w:val="1CA644FD"/>
    <w:rsid w:val="1CD0259C"/>
    <w:rsid w:val="1CDE1E04"/>
    <w:rsid w:val="1CFD070F"/>
    <w:rsid w:val="1D5F6196"/>
    <w:rsid w:val="1D6132A5"/>
    <w:rsid w:val="1D8E4AC5"/>
    <w:rsid w:val="1D8E56D5"/>
    <w:rsid w:val="1D9B6AEB"/>
    <w:rsid w:val="1DC046F7"/>
    <w:rsid w:val="1DC7661E"/>
    <w:rsid w:val="1DFE48A6"/>
    <w:rsid w:val="1E5C5980"/>
    <w:rsid w:val="1E7A43DA"/>
    <w:rsid w:val="1EA3028D"/>
    <w:rsid w:val="1EC07A30"/>
    <w:rsid w:val="1ECC3640"/>
    <w:rsid w:val="1F9333B6"/>
    <w:rsid w:val="1FB23DEB"/>
    <w:rsid w:val="1FDB173C"/>
    <w:rsid w:val="1FE7539E"/>
    <w:rsid w:val="200A4117"/>
    <w:rsid w:val="202F40C1"/>
    <w:rsid w:val="20671BE0"/>
    <w:rsid w:val="20677BD1"/>
    <w:rsid w:val="207A0A62"/>
    <w:rsid w:val="20963CB8"/>
    <w:rsid w:val="20A81A1B"/>
    <w:rsid w:val="20B07FB6"/>
    <w:rsid w:val="20B646FB"/>
    <w:rsid w:val="20D546FC"/>
    <w:rsid w:val="213B74B1"/>
    <w:rsid w:val="215A2310"/>
    <w:rsid w:val="21B4366D"/>
    <w:rsid w:val="21CA077D"/>
    <w:rsid w:val="21DE318A"/>
    <w:rsid w:val="21E91A10"/>
    <w:rsid w:val="21EA7B7C"/>
    <w:rsid w:val="21EF5B80"/>
    <w:rsid w:val="22003BE9"/>
    <w:rsid w:val="22421F07"/>
    <w:rsid w:val="22576990"/>
    <w:rsid w:val="225E10D0"/>
    <w:rsid w:val="227D6D3F"/>
    <w:rsid w:val="22A504FD"/>
    <w:rsid w:val="22F47480"/>
    <w:rsid w:val="231B419E"/>
    <w:rsid w:val="234436D4"/>
    <w:rsid w:val="23DE1C48"/>
    <w:rsid w:val="240210CD"/>
    <w:rsid w:val="242B03F0"/>
    <w:rsid w:val="242D234E"/>
    <w:rsid w:val="24365C1F"/>
    <w:rsid w:val="24953B9C"/>
    <w:rsid w:val="249B4074"/>
    <w:rsid w:val="24BF09F7"/>
    <w:rsid w:val="24DE3219"/>
    <w:rsid w:val="24FB72CB"/>
    <w:rsid w:val="252D53FE"/>
    <w:rsid w:val="256F20BC"/>
    <w:rsid w:val="25C36A90"/>
    <w:rsid w:val="25EC2D81"/>
    <w:rsid w:val="2605353A"/>
    <w:rsid w:val="26194A36"/>
    <w:rsid w:val="26257501"/>
    <w:rsid w:val="26467763"/>
    <w:rsid w:val="26A90A61"/>
    <w:rsid w:val="277057A2"/>
    <w:rsid w:val="288875D1"/>
    <w:rsid w:val="28D838A6"/>
    <w:rsid w:val="28F214DC"/>
    <w:rsid w:val="29206EB8"/>
    <w:rsid w:val="29595666"/>
    <w:rsid w:val="29874881"/>
    <w:rsid w:val="29997B5A"/>
    <w:rsid w:val="29E325E0"/>
    <w:rsid w:val="2A43616A"/>
    <w:rsid w:val="2A452503"/>
    <w:rsid w:val="2A9049C0"/>
    <w:rsid w:val="2AC21EC2"/>
    <w:rsid w:val="2AD16A95"/>
    <w:rsid w:val="2AF76D76"/>
    <w:rsid w:val="2B367280"/>
    <w:rsid w:val="2B6443BC"/>
    <w:rsid w:val="2B822FEC"/>
    <w:rsid w:val="2BA936A8"/>
    <w:rsid w:val="2BBE3F49"/>
    <w:rsid w:val="2C315A5A"/>
    <w:rsid w:val="2C3863F7"/>
    <w:rsid w:val="2C4B1C25"/>
    <w:rsid w:val="2D9E56F5"/>
    <w:rsid w:val="2E667F96"/>
    <w:rsid w:val="2E6F0DA4"/>
    <w:rsid w:val="2E8226AB"/>
    <w:rsid w:val="2F1523C9"/>
    <w:rsid w:val="2F2A2F99"/>
    <w:rsid w:val="2F2C131E"/>
    <w:rsid w:val="2F913FDB"/>
    <w:rsid w:val="2FD065E6"/>
    <w:rsid w:val="2FD96870"/>
    <w:rsid w:val="3006378E"/>
    <w:rsid w:val="30580BC9"/>
    <w:rsid w:val="306E2C8A"/>
    <w:rsid w:val="3088561E"/>
    <w:rsid w:val="30C75020"/>
    <w:rsid w:val="311E2ED7"/>
    <w:rsid w:val="315619EE"/>
    <w:rsid w:val="315C449C"/>
    <w:rsid w:val="31B82709"/>
    <w:rsid w:val="31D05482"/>
    <w:rsid w:val="3204041E"/>
    <w:rsid w:val="32400B34"/>
    <w:rsid w:val="32582CF8"/>
    <w:rsid w:val="329D268F"/>
    <w:rsid w:val="329E6876"/>
    <w:rsid w:val="32A136CC"/>
    <w:rsid w:val="32AB3903"/>
    <w:rsid w:val="3312484B"/>
    <w:rsid w:val="333015F2"/>
    <w:rsid w:val="334B6320"/>
    <w:rsid w:val="335F22D1"/>
    <w:rsid w:val="33AA7583"/>
    <w:rsid w:val="33CD62D6"/>
    <w:rsid w:val="33D934D4"/>
    <w:rsid w:val="33FE2F6A"/>
    <w:rsid w:val="340622E0"/>
    <w:rsid w:val="340E07E5"/>
    <w:rsid w:val="34235BF7"/>
    <w:rsid w:val="34A13EEF"/>
    <w:rsid w:val="34B21F5E"/>
    <w:rsid w:val="34BF34B0"/>
    <w:rsid w:val="34F43B30"/>
    <w:rsid w:val="350266CC"/>
    <w:rsid w:val="357664F0"/>
    <w:rsid w:val="3589141A"/>
    <w:rsid w:val="358C5FA8"/>
    <w:rsid w:val="35A93182"/>
    <w:rsid w:val="35C15DF1"/>
    <w:rsid w:val="36074A7F"/>
    <w:rsid w:val="362F545F"/>
    <w:rsid w:val="367F3DDD"/>
    <w:rsid w:val="36923549"/>
    <w:rsid w:val="36B75FBF"/>
    <w:rsid w:val="36BD0C45"/>
    <w:rsid w:val="37A371FE"/>
    <w:rsid w:val="37E00298"/>
    <w:rsid w:val="37E25E93"/>
    <w:rsid w:val="3828316D"/>
    <w:rsid w:val="3829134B"/>
    <w:rsid w:val="38862EB6"/>
    <w:rsid w:val="38871C41"/>
    <w:rsid w:val="38973AE5"/>
    <w:rsid w:val="38B302F9"/>
    <w:rsid w:val="38C62861"/>
    <w:rsid w:val="38F12CD3"/>
    <w:rsid w:val="38F94775"/>
    <w:rsid w:val="39057E39"/>
    <w:rsid w:val="39142C8E"/>
    <w:rsid w:val="392971ED"/>
    <w:rsid w:val="39325651"/>
    <w:rsid w:val="397C5F97"/>
    <w:rsid w:val="3A501D29"/>
    <w:rsid w:val="3A6A580A"/>
    <w:rsid w:val="3A872856"/>
    <w:rsid w:val="3B034A35"/>
    <w:rsid w:val="3B363C0B"/>
    <w:rsid w:val="3B3763D1"/>
    <w:rsid w:val="3B3D3E34"/>
    <w:rsid w:val="3B697F88"/>
    <w:rsid w:val="3BF33A92"/>
    <w:rsid w:val="3C2F6E1E"/>
    <w:rsid w:val="3C4F64BA"/>
    <w:rsid w:val="3C553911"/>
    <w:rsid w:val="3CDA245A"/>
    <w:rsid w:val="3D1E06B7"/>
    <w:rsid w:val="3D8C3CF6"/>
    <w:rsid w:val="3D8C469F"/>
    <w:rsid w:val="3D9B7472"/>
    <w:rsid w:val="3E81663B"/>
    <w:rsid w:val="3EBC7284"/>
    <w:rsid w:val="3EC0051B"/>
    <w:rsid w:val="3EDA0523"/>
    <w:rsid w:val="3EEA02A7"/>
    <w:rsid w:val="3F4D04D8"/>
    <w:rsid w:val="3F5E47A0"/>
    <w:rsid w:val="3F765F1D"/>
    <w:rsid w:val="3FD94355"/>
    <w:rsid w:val="3FE26506"/>
    <w:rsid w:val="407A6407"/>
    <w:rsid w:val="40E65492"/>
    <w:rsid w:val="4135127B"/>
    <w:rsid w:val="419404DE"/>
    <w:rsid w:val="4200449D"/>
    <w:rsid w:val="421577C6"/>
    <w:rsid w:val="423A3BCC"/>
    <w:rsid w:val="424E57D2"/>
    <w:rsid w:val="42B26C49"/>
    <w:rsid w:val="42C23ECD"/>
    <w:rsid w:val="430B563D"/>
    <w:rsid w:val="43166DD8"/>
    <w:rsid w:val="433A6FE6"/>
    <w:rsid w:val="43480868"/>
    <w:rsid w:val="434926DB"/>
    <w:rsid w:val="4350713C"/>
    <w:rsid w:val="436653E0"/>
    <w:rsid w:val="43A0005B"/>
    <w:rsid w:val="43C4431A"/>
    <w:rsid w:val="4498393F"/>
    <w:rsid w:val="44B14554"/>
    <w:rsid w:val="44B951CC"/>
    <w:rsid w:val="44CD14E0"/>
    <w:rsid w:val="44F20B0B"/>
    <w:rsid w:val="452E5F4C"/>
    <w:rsid w:val="45443AF5"/>
    <w:rsid w:val="45476AB3"/>
    <w:rsid w:val="45612018"/>
    <w:rsid w:val="458946E9"/>
    <w:rsid w:val="45A47C0E"/>
    <w:rsid w:val="46577FD6"/>
    <w:rsid w:val="465822A4"/>
    <w:rsid w:val="46D62FA1"/>
    <w:rsid w:val="46D955A7"/>
    <w:rsid w:val="47133957"/>
    <w:rsid w:val="47A07E0C"/>
    <w:rsid w:val="480743A7"/>
    <w:rsid w:val="4870272E"/>
    <w:rsid w:val="487033F9"/>
    <w:rsid w:val="48F35C16"/>
    <w:rsid w:val="490D68EC"/>
    <w:rsid w:val="498007AC"/>
    <w:rsid w:val="49DC7715"/>
    <w:rsid w:val="4A023139"/>
    <w:rsid w:val="4A171EC4"/>
    <w:rsid w:val="4A3832EB"/>
    <w:rsid w:val="4A7B576F"/>
    <w:rsid w:val="4AF561A9"/>
    <w:rsid w:val="4B177CC7"/>
    <w:rsid w:val="4B8A432B"/>
    <w:rsid w:val="4BBE6631"/>
    <w:rsid w:val="4C0D2006"/>
    <w:rsid w:val="4C4A0649"/>
    <w:rsid w:val="4C650797"/>
    <w:rsid w:val="4C705677"/>
    <w:rsid w:val="4C7E5ECA"/>
    <w:rsid w:val="4C876AA5"/>
    <w:rsid w:val="4D0E00FB"/>
    <w:rsid w:val="4D176606"/>
    <w:rsid w:val="4D427740"/>
    <w:rsid w:val="4D7A6F35"/>
    <w:rsid w:val="4D84736B"/>
    <w:rsid w:val="4DB23349"/>
    <w:rsid w:val="4DC81591"/>
    <w:rsid w:val="4DD0397B"/>
    <w:rsid w:val="4DDA7F5C"/>
    <w:rsid w:val="4DEB089B"/>
    <w:rsid w:val="4DEC4FB0"/>
    <w:rsid w:val="4E075D8A"/>
    <w:rsid w:val="4E6A4EAA"/>
    <w:rsid w:val="4EAC26D1"/>
    <w:rsid w:val="4EB76702"/>
    <w:rsid w:val="4EC00FAD"/>
    <w:rsid w:val="4F524CFA"/>
    <w:rsid w:val="4F8922EB"/>
    <w:rsid w:val="4F9843DC"/>
    <w:rsid w:val="4FC3518E"/>
    <w:rsid w:val="4FC62A8C"/>
    <w:rsid w:val="4FE20F0D"/>
    <w:rsid w:val="4FE51552"/>
    <w:rsid w:val="50504C4B"/>
    <w:rsid w:val="509C6E7C"/>
    <w:rsid w:val="51142CB1"/>
    <w:rsid w:val="5162104E"/>
    <w:rsid w:val="518E1E3B"/>
    <w:rsid w:val="51EB6C10"/>
    <w:rsid w:val="5254693E"/>
    <w:rsid w:val="530631B5"/>
    <w:rsid w:val="531D2A55"/>
    <w:rsid w:val="539D13C9"/>
    <w:rsid w:val="53A039CC"/>
    <w:rsid w:val="53A072DB"/>
    <w:rsid w:val="53A1505A"/>
    <w:rsid w:val="53BB45B2"/>
    <w:rsid w:val="53EE3410"/>
    <w:rsid w:val="540206FE"/>
    <w:rsid w:val="54063E08"/>
    <w:rsid w:val="543437E8"/>
    <w:rsid w:val="54F73313"/>
    <w:rsid w:val="54F80955"/>
    <w:rsid w:val="555170A7"/>
    <w:rsid w:val="5587536D"/>
    <w:rsid w:val="559B174B"/>
    <w:rsid w:val="55C4535F"/>
    <w:rsid w:val="55CE0CF4"/>
    <w:rsid w:val="55D27460"/>
    <w:rsid w:val="55EA3197"/>
    <w:rsid w:val="56042EAE"/>
    <w:rsid w:val="56586573"/>
    <w:rsid w:val="56A34F49"/>
    <w:rsid w:val="56B22A9C"/>
    <w:rsid w:val="56DA30BE"/>
    <w:rsid w:val="57367A44"/>
    <w:rsid w:val="57656C0F"/>
    <w:rsid w:val="57B72A76"/>
    <w:rsid w:val="57C3426C"/>
    <w:rsid w:val="57CE1F93"/>
    <w:rsid w:val="58003366"/>
    <w:rsid w:val="58024B2E"/>
    <w:rsid w:val="58370CCF"/>
    <w:rsid w:val="58624990"/>
    <w:rsid w:val="58627AB9"/>
    <w:rsid w:val="58700F79"/>
    <w:rsid w:val="58757391"/>
    <w:rsid w:val="588743D1"/>
    <w:rsid w:val="5887701A"/>
    <w:rsid w:val="588903DF"/>
    <w:rsid w:val="5889335C"/>
    <w:rsid w:val="58894507"/>
    <w:rsid w:val="58D7324C"/>
    <w:rsid w:val="59C0439F"/>
    <w:rsid w:val="59E770A7"/>
    <w:rsid w:val="5A0E4B39"/>
    <w:rsid w:val="5A3A4840"/>
    <w:rsid w:val="5ABE2233"/>
    <w:rsid w:val="5AE23DEE"/>
    <w:rsid w:val="5B5D0D33"/>
    <w:rsid w:val="5BDF5D95"/>
    <w:rsid w:val="5BFE7528"/>
    <w:rsid w:val="5C36795F"/>
    <w:rsid w:val="5CD66E81"/>
    <w:rsid w:val="5CE24AA5"/>
    <w:rsid w:val="5D934C1D"/>
    <w:rsid w:val="5DB83633"/>
    <w:rsid w:val="5E0273CD"/>
    <w:rsid w:val="5E2467F1"/>
    <w:rsid w:val="5E76610C"/>
    <w:rsid w:val="5F1A2B43"/>
    <w:rsid w:val="5F413CBE"/>
    <w:rsid w:val="5FB837BB"/>
    <w:rsid w:val="600E479A"/>
    <w:rsid w:val="60CC405A"/>
    <w:rsid w:val="60F43D59"/>
    <w:rsid w:val="610341DF"/>
    <w:rsid w:val="61A97A88"/>
    <w:rsid w:val="61E215D8"/>
    <w:rsid w:val="61F07C7B"/>
    <w:rsid w:val="621B3775"/>
    <w:rsid w:val="62364782"/>
    <w:rsid w:val="62370DDA"/>
    <w:rsid w:val="62765EAF"/>
    <w:rsid w:val="629C681A"/>
    <w:rsid w:val="62AF1DE5"/>
    <w:rsid w:val="62CD3C40"/>
    <w:rsid w:val="636E1548"/>
    <w:rsid w:val="6394356A"/>
    <w:rsid w:val="63C10581"/>
    <w:rsid w:val="63C14FC9"/>
    <w:rsid w:val="63C61B2C"/>
    <w:rsid w:val="63D40BE9"/>
    <w:rsid w:val="64102431"/>
    <w:rsid w:val="64306D81"/>
    <w:rsid w:val="648E47E5"/>
    <w:rsid w:val="64A5243A"/>
    <w:rsid w:val="64A6694A"/>
    <w:rsid w:val="64F11575"/>
    <w:rsid w:val="64F531DE"/>
    <w:rsid w:val="64F658D5"/>
    <w:rsid w:val="65373578"/>
    <w:rsid w:val="65541D3C"/>
    <w:rsid w:val="65F57B28"/>
    <w:rsid w:val="65FB0A73"/>
    <w:rsid w:val="663137CD"/>
    <w:rsid w:val="66D45F39"/>
    <w:rsid w:val="671F124A"/>
    <w:rsid w:val="677A33C6"/>
    <w:rsid w:val="678559EB"/>
    <w:rsid w:val="681F6961"/>
    <w:rsid w:val="684C37D3"/>
    <w:rsid w:val="68610A2F"/>
    <w:rsid w:val="68805514"/>
    <w:rsid w:val="688C42F3"/>
    <w:rsid w:val="69316E2F"/>
    <w:rsid w:val="694E2071"/>
    <w:rsid w:val="69766163"/>
    <w:rsid w:val="697A3B33"/>
    <w:rsid w:val="69B53FB1"/>
    <w:rsid w:val="69D44760"/>
    <w:rsid w:val="69EE4BEC"/>
    <w:rsid w:val="6A520EC7"/>
    <w:rsid w:val="6A7327BB"/>
    <w:rsid w:val="6AF87E20"/>
    <w:rsid w:val="6B16507C"/>
    <w:rsid w:val="6B322639"/>
    <w:rsid w:val="6B4E2E45"/>
    <w:rsid w:val="6B693588"/>
    <w:rsid w:val="6BAE6F0A"/>
    <w:rsid w:val="6BD439F7"/>
    <w:rsid w:val="6C3E106A"/>
    <w:rsid w:val="6C5A7BC2"/>
    <w:rsid w:val="6C636C38"/>
    <w:rsid w:val="6D497924"/>
    <w:rsid w:val="6D4D1DFB"/>
    <w:rsid w:val="6D572844"/>
    <w:rsid w:val="6D592D88"/>
    <w:rsid w:val="6D7139FC"/>
    <w:rsid w:val="6DB34098"/>
    <w:rsid w:val="6DB545B6"/>
    <w:rsid w:val="6DE02FB4"/>
    <w:rsid w:val="6E2A33BB"/>
    <w:rsid w:val="6E514CED"/>
    <w:rsid w:val="6E533673"/>
    <w:rsid w:val="6E6F5D71"/>
    <w:rsid w:val="6EB563D5"/>
    <w:rsid w:val="6EC53F99"/>
    <w:rsid w:val="6ED92677"/>
    <w:rsid w:val="6F225983"/>
    <w:rsid w:val="6F91500E"/>
    <w:rsid w:val="6F9B07D0"/>
    <w:rsid w:val="6FFC5590"/>
    <w:rsid w:val="706D1DD0"/>
    <w:rsid w:val="70740D84"/>
    <w:rsid w:val="70856B87"/>
    <w:rsid w:val="70AD03D2"/>
    <w:rsid w:val="70C920F0"/>
    <w:rsid w:val="70D527EE"/>
    <w:rsid w:val="71137D01"/>
    <w:rsid w:val="712F27CB"/>
    <w:rsid w:val="713B092F"/>
    <w:rsid w:val="715B5300"/>
    <w:rsid w:val="715E1726"/>
    <w:rsid w:val="71736146"/>
    <w:rsid w:val="71B0248B"/>
    <w:rsid w:val="71B420D5"/>
    <w:rsid w:val="71C146E2"/>
    <w:rsid w:val="71D27F8A"/>
    <w:rsid w:val="71F8781C"/>
    <w:rsid w:val="721C73F3"/>
    <w:rsid w:val="72553024"/>
    <w:rsid w:val="72AF20F4"/>
    <w:rsid w:val="72E45620"/>
    <w:rsid w:val="730664AC"/>
    <w:rsid w:val="73122968"/>
    <w:rsid w:val="731F5D5E"/>
    <w:rsid w:val="73306456"/>
    <w:rsid w:val="734E0639"/>
    <w:rsid w:val="73A11102"/>
    <w:rsid w:val="73C51AD5"/>
    <w:rsid w:val="73E334C8"/>
    <w:rsid w:val="73F4128D"/>
    <w:rsid w:val="74005331"/>
    <w:rsid w:val="741E793C"/>
    <w:rsid w:val="74470DF8"/>
    <w:rsid w:val="745E3944"/>
    <w:rsid w:val="75527BF1"/>
    <w:rsid w:val="760203A9"/>
    <w:rsid w:val="76342701"/>
    <w:rsid w:val="7635099D"/>
    <w:rsid w:val="76B964C3"/>
    <w:rsid w:val="76EB2186"/>
    <w:rsid w:val="7727130E"/>
    <w:rsid w:val="776715F1"/>
    <w:rsid w:val="77762421"/>
    <w:rsid w:val="77B56B1F"/>
    <w:rsid w:val="77E218B5"/>
    <w:rsid w:val="77E709D4"/>
    <w:rsid w:val="77F32DDD"/>
    <w:rsid w:val="78017B61"/>
    <w:rsid w:val="780F09F4"/>
    <w:rsid w:val="784A3684"/>
    <w:rsid w:val="78A12C75"/>
    <w:rsid w:val="78A90480"/>
    <w:rsid w:val="793803E5"/>
    <w:rsid w:val="793A2672"/>
    <w:rsid w:val="79AD468F"/>
    <w:rsid w:val="79D16F8B"/>
    <w:rsid w:val="79FE105C"/>
    <w:rsid w:val="7A36061E"/>
    <w:rsid w:val="7A364017"/>
    <w:rsid w:val="7A5464DF"/>
    <w:rsid w:val="7A8265E1"/>
    <w:rsid w:val="7B686D42"/>
    <w:rsid w:val="7B841746"/>
    <w:rsid w:val="7BD336F0"/>
    <w:rsid w:val="7BFC15CB"/>
    <w:rsid w:val="7C6C5AC7"/>
    <w:rsid w:val="7C752026"/>
    <w:rsid w:val="7C881908"/>
    <w:rsid w:val="7CC6544B"/>
    <w:rsid w:val="7CD45090"/>
    <w:rsid w:val="7CD51E1C"/>
    <w:rsid w:val="7D0239FF"/>
    <w:rsid w:val="7D581FA3"/>
    <w:rsid w:val="7D5E40CD"/>
    <w:rsid w:val="7DCD56F2"/>
    <w:rsid w:val="7DEC4106"/>
    <w:rsid w:val="7ED12D02"/>
    <w:rsid w:val="7EE93D1D"/>
    <w:rsid w:val="7F001CE7"/>
    <w:rsid w:val="7F3532C1"/>
    <w:rsid w:val="7FA44454"/>
    <w:rsid w:val="7FB47976"/>
    <w:rsid w:val="7FC70414"/>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v:stroke weight="1pt" color="#FFFFFF"/>
      <v:shadow on="t" obscured="f" color="#205867" opacity="65536f" offset="1pt,2pt" offset2="0pt,0pt" origin="0f,0f" matrix="65536f,0f,0f,65536f,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1"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99"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75"/>
    <w:autoRedefine/>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82"/>
    <w:autoRedefine/>
    <w:qFormat/>
    <w:locked/>
    <w:uiPriority w:val="1"/>
    <w:pPr>
      <w:ind w:left="971" w:hanging="632"/>
      <w:outlineLvl w:val="2"/>
    </w:pPr>
    <w:rPr>
      <w:rFonts w:ascii="Noto Sans CJK JP Medium" w:hAnsi="Noto Sans CJK JP Medium" w:eastAsia="Noto Sans CJK JP Medium" w:cs="Noto Sans CJK JP Medium"/>
      <w:sz w:val="28"/>
      <w:szCs w:val="28"/>
    </w:rPr>
  </w:style>
  <w:style w:type="paragraph" w:styleId="7">
    <w:name w:val="heading 4"/>
    <w:basedOn w:val="1"/>
    <w:next w:val="1"/>
    <w:link w:val="79"/>
    <w:autoRedefine/>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3"/>
    <w:link w:val="51"/>
    <w:autoRedefine/>
    <w:qFormat/>
    <w:locked/>
    <w:uiPriority w:val="0"/>
    <w:pPr>
      <w:ind w:firstLine="420" w:firstLineChars="200"/>
    </w:pPr>
    <w:rPr>
      <w:kern w:val="2"/>
      <w:sz w:val="21"/>
      <w:szCs w:val="24"/>
    </w:rPr>
  </w:style>
  <w:style w:type="paragraph" w:styleId="3">
    <w:name w:val="Body Text Indent"/>
    <w:basedOn w:val="1"/>
    <w:next w:val="1"/>
    <w:link w:val="48"/>
    <w:autoRedefine/>
    <w:qFormat/>
    <w:uiPriority w:val="0"/>
    <w:pPr>
      <w:spacing w:after="120"/>
      <w:ind w:left="420" w:leftChars="200"/>
    </w:pPr>
    <w:rPr>
      <w:kern w:val="0"/>
      <w:sz w:val="24"/>
      <w:szCs w:val="20"/>
    </w:rPr>
  </w:style>
  <w:style w:type="paragraph" w:styleId="8">
    <w:name w:val="Normal Indent"/>
    <w:basedOn w:val="1"/>
    <w:autoRedefine/>
    <w:qFormat/>
    <w:locked/>
    <w:uiPriority w:val="0"/>
    <w:pPr>
      <w:adjustRightInd w:val="0"/>
      <w:spacing w:line="480" w:lineRule="exact"/>
      <w:ind w:firstLine="480" w:firstLineChars="200"/>
      <w:textAlignment w:val="baseline"/>
    </w:pPr>
    <w:rPr>
      <w:kern w:val="0"/>
      <w:sz w:val="24"/>
    </w:rPr>
  </w:style>
  <w:style w:type="paragraph" w:styleId="9">
    <w:name w:val="annotation text"/>
    <w:basedOn w:val="1"/>
    <w:link w:val="40"/>
    <w:autoRedefine/>
    <w:semiHidden/>
    <w:qFormat/>
    <w:uiPriority w:val="99"/>
    <w:pPr>
      <w:jc w:val="left"/>
    </w:pPr>
    <w:rPr>
      <w:kern w:val="0"/>
      <w:sz w:val="24"/>
      <w:szCs w:val="20"/>
    </w:rPr>
  </w:style>
  <w:style w:type="paragraph" w:styleId="10">
    <w:name w:val="Body Text"/>
    <w:basedOn w:val="1"/>
    <w:link w:val="39"/>
    <w:autoRedefine/>
    <w:qFormat/>
    <w:uiPriority w:val="0"/>
    <w:pPr>
      <w:widowControl/>
      <w:snapToGrid w:val="0"/>
      <w:spacing w:before="60" w:after="160" w:line="259" w:lineRule="auto"/>
      <w:ind w:right="113"/>
    </w:pPr>
    <w:rPr>
      <w:kern w:val="0"/>
      <w:sz w:val="18"/>
      <w:szCs w:val="20"/>
    </w:rPr>
  </w:style>
  <w:style w:type="paragraph" w:styleId="11">
    <w:name w:val="Plain Text"/>
    <w:basedOn w:val="1"/>
    <w:next w:val="1"/>
    <w:link w:val="85"/>
    <w:autoRedefine/>
    <w:qFormat/>
    <w:locked/>
    <w:uiPriority w:val="99"/>
    <w:rPr>
      <w:rFonts w:hint="eastAsia" w:ascii="宋体" w:hAnsi="Courier New"/>
    </w:rPr>
  </w:style>
  <w:style w:type="paragraph" w:styleId="12">
    <w:name w:val="List Bullet 5"/>
    <w:basedOn w:val="1"/>
    <w:autoRedefine/>
    <w:locked/>
    <w:uiPriority w:val="0"/>
    <w:pPr>
      <w:numPr>
        <w:ilvl w:val="0"/>
        <w:numId w:val="1"/>
      </w:numPr>
    </w:pPr>
  </w:style>
  <w:style w:type="paragraph" w:styleId="13">
    <w:name w:val="Date"/>
    <w:basedOn w:val="1"/>
    <w:next w:val="1"/>
    <w:link w:val="35"/>
    <w:autoRedefine/>
    <w:qFormat/>
    <w:uiPriority w:val="0"/>
    <w:pPr>
      <w:ind w:left="100" w:leftChars="2500"/>
    </w:pPr>
    <w:rPr>
      <w:kern w:val="0"/>
      <w:sz w:val="24"/>
      <w:szCs w:val="20"/>
    </w:rPr>
  </w:style>
  <w:style w:type="paragraph" w:styleId="14">
    <w:name w:val="Balloon Text"/>
    <w:basedOn w:val="1"/>
    <w:link w:val="44"/>
    <w:autoRedefine/>
    <w:semiHidden/>
    <w:qFormat/>
    <w:uiPriority w:val="0"/>
    <w:rPr>
      <w:kern w:val="0"/>
      <w:sz w:val="18"/>
      <w:szCs w:val="20"/>
    </w:rPr>
  </w:style>
  <w:style w:type="paragraph" w:styleId="15">
    <w:name w:val="footer"/>
    <w:basedOn w:val="1"/>
    <w:link w:val="34"/>
    <w:autoRedefine/>
    <w:qFormat/>
    <w:uiPriority w:val="99"/>
    <w:pPr>
      <w:tabs>
        <w:tab w:val="center" w:pos="4153"/>
        <w:tab w:val="right" w:pos="8306"/>
      </w:tabs>
      <w:snapToGrid w:val="0"/>
      <w:jc w:val="left"/>
    </w:pPr>
    <w:rPr>
      <w:kern w:val="0"/>
      <w:sz w:val="18"/>
      <w:szCs w:val="20"/>
    </w:rPr>
  </w:style>
  <w:style w:type="paragraph" w:styleId="16">
    <w:name w:val="header"/>
    <w:basedOn w:val="1"/>
    <w:link w:val="70"/>
    <w:autoRedefine/>
    <w:qFormat/>
    <w:uiPriority w:val="99"/>
    <w:pPr>
      <w:pBdr>
        <w:bottom w:val="single" w:color="auto" w:sz="6" w:space="1"/>
      </w:pBdr>
      <w:tabs>
        <w:tab w:val="center" w:pos="4153"/>
        <w:tab w:val="right" w:pos="8306"/>
      </w:tabs>
      <w:snapToGrid w:val="0"/>
      <w:jc w:val="center"/>
    </w:pPr>
    <w:rPr>
      <w:kern w:val="0"/>
      <w:sz w:val="18"/>
      <w:szCs w:val="20"/>
    </w:rPr>
  </w:style>
  <w:style w:type="paragraph" w:styleId="17">
    <w:name w:val="List"/>
    <w:basedOn w:val="1"/>
    <w:autoRedefine/>
    <w:qFormat/>
    <w:locked/>
    <w:uiPriority w:val="0"/>
    <w:pPr>
      <w:ind w:left="200" w:hanging="200" w:hangingChars="200"/>
    </w:pPr>
    <w:rPr>
      <w:rFonts w:ascii="Times New Roman" w:hAnsi="Times New Roman"/>
    </w:rPr>
  </w:style>
  <w:style w:type="paragraph" w:styleId="18">
    <w:name w:val="toc 2"/>
    <w:basedOn w:val="1"/>
    <w:next w:val="1"/>
    <w:autoRedefine/>
    <w:semiHidden/>
    <w:qFormat/>
    <w:locked/>
    <w:uiPriority w:val="0"/>
    <w:pPr>
      <w:ind w:left="420" w:leftChars="200"/>
    </w:pPr>
  </w:style>
  <w:style w:type="paragraph" w:styleId="19">
    <w:name w:val="Body Text 2"/>
    <w:basedOn w:val="1"/>
    <w:link w:val="54"/>
    <w:autoRedefine/>
    <w:unhideWhenUsed/>
    <w:qFormat/>
    <w:locked/>
    <w:uiPriority w:val="99"/>
    <w:pPr>
      <w:spacing w:after="120" w:line="480" w:lineRule="auto"/>
    </w:pPr>
  </w:style>
  <w:style w:type="paragraph" w:styleId="20">
    <w:name w:val="Normal (Web)"/>
    <w:basedOn w:val="1"/>
    <w:next w:val="1"/>
    <w:link w:val="37"/>
    <w:autoRedefine/>
    <w:qFormat/>
    <w:uiPriority w:val="99"/>
    <w:pPr>
      <w:widowControl/>
      <w:spacing w:before="100" w:beforeAutospacing="1" w:after="100" w:afterAutospacing="1"/>
      <w:jc w:val="left"/>
    </w:pPr>
    <w:rPr>
      <w:rFonts w:ascii="宋体" w:hAnsi="宋体"/>
      <w:kern w:val="0"/>
      <w:sz w:val="24"/>
      <w:szCs w:val="20"/>
    </w:rPr>
  </w:style>
  <w:style w:type="paragraph" w:styleId="21">
    <w:name w:val="Title"/>
    <w:basedOn w:val="1"/>
    <w:link w:val="80"/>
    <w:autoRedefine/>
    <w:qFormat/>
    <w:locked/>
    <w:uiPriority w:val="0"/>
    <w:pPr>
      <w:spacing w:before="240" w:after="60"/>
      <w:jc w:val="center"/>
      <w:outlineLvl w:val="0"/>
    </w:pPr>
    <w:rPr>
      <w:rFonts w:ascii="Arial" w:hAnsi="Arial"/>
      <w:b/>
      <w:sz w:val="32"/>
    </w:rPr>
  </w:style>
  <w:style w:type="paragraph" w:styleId="22">
    <w:name w:val="annotation subject"/>
    <w:basedOn w:val="9"/>
    <w:next w:val="9"/>
    <w:link w:val="45"/>
    <w:autoRedefine/>
    <w:semiHidden/>
    <w:qFormat/>
    <w:uiPriority w:val="99"/>
    <w:rPr>
      <w:b/>
    </w:rPr>
  </w:style>
  <w:style w:type="paragraph" w:styleId="23">
    <w:name w:val="Body Text First Indent"/>
    <w:basedOn w:val="10"/>
    <w:autoRedefine/>
    <w:qFormat/>
    <w:locked/>
    <w:uiPriority w:val="0"/>
    <w:pPr>
      <w:spacing w:after="120" w:line="240" w:lineRule="auto"/>
      <w:ind w:firstLine="420" w:firstLineChars="100"/>
    </w:pPr>
    <w:rPr>
      <w:sz w:val="21"/>
      <w:szCs w:val="24"/>
    </w:r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autoRedefine/>
    <w:qFormat/>
    <w:locked/>
    <w:uiPriority w:val="22"/>
    <w:rPr>
      <w:b/>
      <w:bCs/>
    </w:rPr>
  </w:style>
  <w:style w:type="character" w:styleId="28">
    <w:name w:val="page number"/>
    <w:basedOn w:val="26"/>
    <w:autoRedefine/>
    <w:qFormat/>
    <w:locked/>
    <w:uiPriority w:val="0"/>
  </w:style>
  <w:style w:type="character" w:styleId="29">
    <w:name w:val="Hyperlink"/>
    <w:basedOn w:val="26"/>
    <w:autoRedefine/>
    <w:qFormat/>
    <w:locked/>
    <w:uiPriority w:val="0"/>
    <w:rPr>
      <w:color w:val="0000FF"/>
      <w:u w:val="single"/>
    </w:rPr>
  </w:style>
  <w:style w:type="character" w:styleId="30">
    <w:name w:val="annotation reference"/>
    <w:autoRedefine/>
    <w:semiHidden/>
    <w:qFormat/>
    <w:uiPriority w:val="0"/>
    <w:rPr>
      <w:sz w:val="21"/>
    </w:rPr>
  </w:style>
  <w:style w:type="paragraph" w:customStyle="1" w:styleId="31">
    <w:name w:val="样式 样式 样式 四号 左侧:  1.53 厘米 + 首行缩进:  2 字符 + 居中 左侧:  2 字符 首行缩进:  2..."/>
    <w:basedOn w:val="32"/>
    <w:next w:val="1"/>
    <w:autoRedefine/>
    <w:qFormat/>
    <w:uiPriority w:val="0"/>
    <w:pPr>
      <w:jc w:val="center"/>
    </w:pPr>
  </w:style>
  <w:style w:type="paragraph" w:customStyle="1" w:styleId="32">
    <w:name w:val="样式 样式 四号 左侧:  1.53 厘米 + 首行缩进:  2 字符"/>
    <w:basedOn w:val="33"/>
    <w:autoRedefine/>
    <w:qFormat/>
    <w:uiPriority w:val="0"/>
    <w:pPr>
      <w:ind w:left="200" w:leftChars="200"/>
    </w:pPr>
    <w:rPr>
      <w:szCs w:val="20"/>
    </w:rPr>
  </w:style>
  <w:style w:type="paragraph" w:customStyle="1" w:styleId="33">
    <w:name w:val="样式 四号 左侧:  1.53 厘米"/>
    <w:basedOn w:val="1"/>
    <w:autoRedefine/>
    <w:qFormat/>
    <w:uiPriority w:val="0"/>
    <w:pPr>
      <w:adjustRightInd w:val="0"/>
    </w:pPr>
    <w:rPr>
      <w:w w:val="90"/>
      <w:sz w:val="28"/>
      <w:szCs w:val="28"/>
    </w:rPr>
  </w:style>
  <w:style w:type="character" w:customStyle="1" w:styleId="34">
    <w:name w:val="页脚 Char"/>
    <w:link w:val="15"/>
    <w:autoRedefine/>
    <w:qFormat/>
    <w:locked/>
    <w:uiPriority w:val="99"/>
    <w:rPr>
      <w:sz w:val="18"/>
    </w:rPr>
  </w:style>
  <w:style w:type="character" w:customStyle="1" w:styleId="35">
    <w:name w:val="日期 Char"/>
    <w:link w:val="13"/>
    <w:autoRedefine/>
    <w:qFormat/>
    <w:locked/>
    <w:uiPriority w:val="0"/>
    <w:rPr>
      <w:rFonts w:ascii="Times New Roman" w:hAnsi="Times New Roman" w:eastAsia="宋体"/>
      <w:sz w:val="24"/>
    </w:rPr>
  </w:style>
  <w:style w:type="character" w:customStyle="1" w:styleId="36">
    <w:name w:val="页脚 字符"/>
    <w:basedOn w:val="26"/>
    <w:autoRedefine/>
    <w:qFormat/>
    <w:uiPriority w:val="99"/>
  </w:style>
  <w:style w:type="character" w:customStyle="1" w:styleId="37">
    <w:name w:val="普通(网站) Char"/>
    <w:link w:val="20"/>
    <w:autoRedefine/>
    <w:qFormat/>
    <w:locked/>
    <w:uiPriority w:val="0"/>
    <w:rPr>
      <w:rFonts w:ascii="宋体" w:hAnsi="宋体" w:eastAsia="宋体"/>
      <w:sz w:val="24"/>
    </w:rPr>
  </w:style>
  <w:style w:type="character" w:customStyle="1" w:styleId="38">
    <w:name w:val="正文文本 字符1"/>
    <w:autoRedefine/>
    <w:semiHidden/>
    <w:qFormat/>
    <w:uiPriority w:val="0"/>
    <w:rPr>
      <w:rFonts w:ascii="Times New Roman" w:hAnsi="Times New Roman" w:eastAsia="宋体"/>
      <w:sz w:val="24"/>
    </w:rPr>
  </w:style>
  <w:style w:type="character" w:customStyle="1" w:styleId="39">
    <w:name w:val="正文文本 Char"/>
    <w:link w:val="10"/>
    <w:autoRedefine/>
    <w:qFormat/>
    <w:locked/>
    <w:uiPriority w:val="0"/>
    <w:rPr>
      <w:sz w:val="18"/>
    </w:rPr>
  </w:style>
  <w:style w:type="character" w:customStyle="1" w:styleId="40">
    <w:name w:val="批注文字 Char"/>
    <w:link w:val="9"/>
    <w:autoRedefine/>
    <w:qFormat/>
    <w:locked/>
    <w:uiPriority w:val="99"/>
    <w:rPr>
      <w:rFonts w:ascii="Times New Roman" w:hAnsi="Times New Roman" w:eastAsia="宋体"/>
      <w:sz w:val="24"/>
    </w:rPr>
  </w:style>
  <w:style w:type="character" w:customStyle="1" w:styleId="41">
    <w:name w:val="表格 Char"/>
    <w:link w:val="42"/>
    <w:autoRedefine/>
    <w:qFormat/>
    <w:locked/>
    <w:uiPriority w:val="0"/>
    <w:rPr>
      <w:rFonts w:ascii="宋体"/>
      <w:sz w:val="21"/>
    </w:rPr>
  </w:style>
  <w:style w:type="paragraph" w:customStyle="1" w:styleId="42">
    <w:name w:val="表格"/>
    <w:basedOn w:val="1"/>
    <w:next w:val="1"/>
    <w:link w:val="41"/>
    <w:autoRedefine/>
    <w:qFormat/>
    <w:uiPriority w:val="0"/>
    <w:pPr>
      <w:adjustRightInd w:val="0"/>
      <w:snapToGrid w:val="0"/>
      <w:spacing w:beforeLines="10" w:afterLines="10" w:line="259" w:lineRule="auto"/>
      <w:jc w:val="center"/>
    </w:pPr>
    <w:rPr>
      <w:rFonts w:ascii="宋体"/>
      <w:kern w:val="0"/>
      <w:szCs w:val="20"/>
    </w:rPr>
  </w:style>
  <w:style w:type="character" w:customStyle="1" w:styleId="43">
    <w:name w:val="日期 字符"/>
    <w:autoRedefine/>
    <w:semiHidden/>
    <w:qFormat/>
    <w:uiPriority w:val="0"/>
    <w:rPr>
      <w:rFonts w:ascii="Times New Roman" w:hAnsi="Times New Roman" w:eastAsia="宋体"/>
      <w:sz w:val="24"/>
    </w:rPr>
  </w:style>
  <w:style w:type="character" w:customStyle="1" w:styleId="44">
    <w:name w:val="批注框文本 Char"/>
    <w:link w:val="14"/>
    <w:autoRedefine/>
    <w:semiHidden/>
    <w:qFormat/>
    <w:locked/>
    <w:uiPriority w:val="0"/>
    <w:rPr>
      <w:rFonts w:ascii="Times New Roman" w:hAnsi="Times New Roman" w:eastAsia="宋体"/>
      <w:sz w:val="18"/>
    </w:rPr>
  </w:style>
  <w:style w:type="character" w:customStyle="1" w:styleId="45">
    <w:name w:val="批注主题 Char"/>
    <w:link w:val="22"/>
    <w:autoRedefine/>
    <w:semiHidden/>
    <w:qFormat/>
    <w:locked/>
    <w:uiPriority w:val="99"/>
    <w:rPr>
      <w:rFonts w:ascii="Times New Roman" w:hAnsi="Times New Roman" w:eastAsia="宋体"/>
      <w:b/>
      <w:kern w:val="2"/>
      <w:sz w:val="24"/>
    </w:rPr>
  </w:style>
  <w:style w:type="character" w:customStyle="1" w:styleId="46">
    <w:name w:val="页眉 Char"/>
    <w:autoRedefine/>
    <w:qFormat/>
    <w:locked/>
    <w:uiPriority w:val="99"/>
    <w:rPr>
      <w:sz w:val="18"/>
    </w:rPr>
  </w:style>
  <w:style w:type="character" w:customStyle="1" w:styleId="47">
    <w:name w:val="批注文字 字符1"/>
    <w:autoRedefine/>
    <w:semiHidden/>
    <w:qFormat/>
    <w:uiPriority w:val="0"/>
    <w:rPr>
      <w:rFonts w:ascii="Times New Roman" w:hAnsi="Times New Roman" w:eastAsia="宋体"/>
      <w:sz w:val="24"/>
    </w:rPr>
  </w:style>
  <w:style w:type="character" w:customStyle="1" w:styleId="48">
    <w:name w:val="正文文本缩进 Char"/>
    <w:link w:val="3"/>
    <w:autoRedefine/>
    <w:semiHidden/>
    <w:qFormat/>
    <w:locked/>
    <w:uiPriority w:val="0"/>
    <w:rPr>
      <w:rFonts w:ascii="Times New Roman" w:hAnsi="Times New Roman" w:eastAsia="宋体"/>
      <w:sz w:val="24"/>
    </w:rPr>
  </w:style>
  <w:style w:type="paragraph" w:customStyle="1" w:styleId="4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51">
    <w:name w:val="正文首行缩进 2 Char"/>
    <w:link w:val="2"/>
    <w:autoRedefine/>
    <w:qFormat/>
    <w:uiPriority w:val="0"/>
    <w:rPr>
      <w:rFonts w:ascii="Times New Roman" w:hAnsi="Times New Roman" w:eastAsia="宋体"/>
      <w:kern w:val="2"/>
      <w:sz w:val="21"/>
      <w:szCs w:val="24"/>
    </w:rPr>
  </w:style>
  <w:style w:type="paragraph" w:customStyle="1" w:styleId="52">
    <w:name w:val="正文(首行缩进)"/>
    <w:basedOn w:val="1"/>
    <w:autoRedefine/>
    <w:qFormat/>
    <w:uiPriority w:val="0"/>
    <w:pPr>
      <w:spacing w:line="360" w:lineRule="auto"/>
      <w:ind w:firstLine="540" w:firstLineChars="225"/>
    </w:pPr>
    <w:rPr>
      <w:snapToGrid w:val="0"/>
      <w:color w:val="000000"/>
      <w:kern w:val="0"/>
      <w:sz w:val="24"/>
    </w:rPr>
  </w:style>
  <w:style w:type="paragraph" w:customStyle="1" w:styleId="53">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4">
    <w:name w:val="正文文本 2 Char"/>
    <w:link w:val="19"/>
    <w:autoRedefine/>
    <w:qFormat/>
    <w:uiPriority w:val="99"/>
    <w:rPr>
      <w:kern w:val="2"/>
      <w:sz w:val="21"/>
      <w:szCs w:val="24"/>
    </w:rPr>
  </w:style>
  <w:style w:type="paragraph" w:customStyle="1" w:styleId="55">
    <w:name w:val="ZB-报告书正文"/>
    <w:basedOn w:val="1"/>
    <w:link w:val="56"/>
    <w:autoRedefine/>
    <w:qFormat/>
    <w:uiPriority w:val="0"/>
    <w:pPr>
      <w:widowControl/>
      <w:adjustRightInd w:val="0"/>
      <w:snapToGrid w:val="0"/>
      <w:spacing w:line="360" w:lineRule="auto"/>
      <w:ind w:firstLine="200" w:firstLineChars="200"/>
      <w:jc w:val="left"/>
    </w:pPr>
    <w:rPr>
      <w:kern w:val="0"/>
      <w:sz w:val="24"/>
      <w:lang w:val="zh-CN"/>
    </w:rPr>
  </w:style>
  <w:style w:type="character" w:customStyle="1" w:styleId="56">
    <w:name w:val="ZB-报告书正文 Char"/>
    <w:link w:val="55"/>
    <w:autoRedefine/>
    <w:qFormat/>
    <w:uiPriority w:val="0"/>
    <w:rPr>
      <w:sz w:val="24"/>
      <w:szCs w:val="24"/>
      <w:lang w:val="zh-CN" w:eastAsia="zh-CN"/>
    </w:rPr>
  </w:style>
  <w:style w:type="character" w:customStyle="1" w:styleId="57">
    <w:name w:val="fontstyle21"/>
    <w:autoRedefine/>
    <w:qFormat/>
    <w:uiPriority w:val="0"/>
    <w:rPr>
      <w:rFonts w:hint="eastAsia" w:ascii="宋体" w:hAnsi="宋体" w:eastAsia="宋体"/>
      <w:color w:val="000000"/>
      <w:sz w:val="24"/>
      <w:szCs w:val="24"/>
    </w:rPr>
  </w:style>
  <w:style w:type="character" w:customStyle="1" w:styleId="58">
    <w:name w:val="font81"/>
    <w:autoRedefine/>
    <w:qFormat/>
    <w:uiPriority w:val="0"/>
    <w:rPr>
      <w:rFonts w:hint="eastAsia" w:ascii="宋体" w:hAnsi="宋体" w:eastAsia="宋体" w:cs="宋体"/>
      <w:color w:val="000000"/>
      <w:sz w:val="24"/>
      <w:szCs w:val="24"/>
      <w:u w:val="none"/>
    </w:rPr>
  </w:style>
  <w:style w:type="paragraph" w:customStyle="1" w:styleId="59">
    <w:name w:val="表内文字"/>
    <w:basedOn w:val="1"/>
    <w:autoRedefine/>
    <w:qFormat/>
    <w:uiPriority w:val="0"/>
    <w:pPr>
      <w:adjustRightInd w:val="0"/>
      <w:snapToGrid w:val="0"/>
      <w:spacing w:line="360" w:lineRule="auto"/>
      <w:jc w:val="center"/>
    </w:pPr>
    <w:rPr>
      <w:szCs w:val="21"/>
    </w:rPr>
  </w:style>
  <w:style w:type="paragraph" w:customStyle="1" w:styleId="60">
    <w:name w:val="报告表格"/>
    <w:basedOn w:val="1"/>
    <w:autoRedefine/>
    <w:qFormat/>
    <w:uiPriority w:val="0"/>
    <w:pPr>
      <w:autoSpaceDE w:val="0"/>
      <w:autoSpaceDN w:val="0"/>
      <w:adjustRightInd w:val="0"/>
      <w:jc w:val="center"/>
      <w:textAlignment w:val="baseline"/>
    </w:pPr>
    <w:rPr>
      <w:kern w:val="0"/>
      <w:szCs w:val="20"/>
    </w:rPr>
  </w:style>
  <w:style w:type="character" w:customStyle="1" w:styleId="61">
    <w:name w:val="表格内 Char"/>
    <w:link w:val="62"/>
    <w:autoRedefine/>
    <w:qFormat/>
    <w:uiPriority w:val="0"/>
    <w:rPr>
      <w:rFonts w:eastAsia="Times New Roman"/>
      <w:snapToGrid w:val="0"/>
      <w:sz w:val="21"/>
      <w:szCs w:val="21"/>
    </w:rPr>
  </w:style>
  <w:style w:type="paragraph" w:customStyle="1" w:styleId="62">
    <w:name w:val="表格内"/>
    <w:basedOn w:val="1"/>
    <w:link w:val="61"/>
    <w:autoRedefine/>
    <w:qFormat/>
    <w:uiPriority w:val="0"/>
    <w:pPr>
      <w:adjustRightInd w:val="0"/>
      <w:snapToGrid w:val="0"/>
      <w:spacing w:line="360" w:lineRule="exact"/>
      <w:jc w:val="center"/>
    </w:pPr>
    <w:rPr>
      <w:rFonts w:eastAsia="Times New Roman"/>
      <w:snapToGrid w:val="0"/>
      <w:kern w:val="0"/>
      <w:szCs w:val="21"/>
    </w:rPr>
  </w:style>
  <w:style w:type="character" w:customStyle="1" w:styleId="63">
    <w:name w:val="CDD正文 Char"/>
    <w:link w:val="64"/>
    <w:autoRedefine/>
    <w:qFormat/>
    <w:locked/>
    <w:uiPriority w:val="0"/>
    <w:rPr>
      <w:rFonts w:ascii="宋体" w:hAnsi="楷体_GB2312" w:cs="楷体_GB2312"/>
      <w:kern w:val="2"/>
      <w:sz w:val="24"/>
      <w:szCs w:val="24"/>
    </w:rPr>
  </w:style>
  <w:style w:type="paragraph" w:customStyle="1" w:styleId="64">
    <w:name w:val="CDD正文"/>
    <w:basedOn w:val="1"/>
    <w:link w:val="63"/>
    <w:autoRedefine/>
    <w:qFormat/>
    <w:uiPriority w:val="0"/>
    <w:pPr>
      <w:widowControl/>
      <w:suppressLineNumbers/>
      <w:suppressAutoHyphens/>
      <w:snapToGrid w:val="0"/>
      <w:spacing w:line="500" w:lineRule="exact"/>
      <w:ind w:firstLine="480" w:firstLineChars="200"/>
      <w:contextualSpacing/>
      <w:outlineLvl w:val="3"/>
    </w:pPr>
    <w:rPr>
      <w:rFonts w:ascii="宋体" w:hAnsi="楷体_GB2312" w:cs="楷体_GB2312"/>
      <w:sz w:val="24"/>
    </w:rPr>
  </w:style>
  <w:style w:type="paragraph" w:customStyle="1" w:styleId="65">
    <w:name w:val="_Style 1"/>
    <w:basedOn w:val="1"/>
    <w:autoRedefine/>
    <w:qFormat/>
    <w:uiPriority w:val="0"/>
    <w:pPr>
      <w:spacing w:line="360" w:lineRule="auto"/>
    </w:pPr>
    <w:rPr>
      <w:rFonts w:ascii="宋体" w:hAnsi="宋体"/>
      <w:sz w:val="22"/>
    </w:rPr>
  </w:style>
  <w:style w:type="character" w:customStyle="1" w:styleId="66">
    <w:name w:val="current"/>
    <w:basedOn w:val="26"/>
    <w:autoRedefine/>
    <w:qFormat/>
    <w:uiPriority w:val="0"/>
  </w:style>
  <w:style w:type="character" w:customStyle="1" w:styleId="67">
    <w:name w:val="y_print"/>
    <w:basedOn w:val="26"/>
    <w:autoRedefine/>
    <w:qFormat/>
    <w:uiPriority w:val="0"/>
  </w:style>
  <w:style w:type="character" w:customStyle="1" w:styleId="68">
    <w:name w:val="apple-converted-space"/>
    <w:basedOn w:val="26"/>
    <w:autoRedefine/>
    <w:qFormat/>
    <w:uiPriority w:val="0"/>
  </w:style>
  <w:style w:type="character" w:customStyle="1" w:styleId="69">
    <w:name w:val="m-l-md"/>
    <w:basedOn w:val="26"/>
    <w:autoRedefine/>
    <w:qFormat/>
    <w:uiPriority w:val="0"/>
  </w:style>
  <w:style w:type="character" w:customStyle="1" w:styleId="70">
    <w:name w:val="页眉 Char1"/>
    <w:basedOn w:val="26"/>
    <w:link w:val="16"/>
    <w:autoRedefine/>
    <w:qFormat/>
    <w:uiPriority w:val="0"/>
  </w:style>
  <w:style w:type="paragraph" w:styleId="71">
    <w:name w:val="List Paragraph"/>
    <w:basedOn w:val="1"/>
    <w:link w:val="72"/>
    <w:autoRedefine/>
    <w:qFormat/>
    <w:uiPriority w:val="99"/>
    <w:pPr>
      <w:ind w:firstLine="420" w:firstLineChars="200"/>
    </w:pPr>
    <w:rPr>
      <w:rFonts w:asciiTheme="minorHAnsi" w:hAnsiTheme="minorHAnsi" w:eastAsiaTheme="minorEastAsia" w:cstheme="minorBidi"/>
      <w:szCs w:val="22"/>
    </w:rPr>
  </w:style>
  <w:style w:type="character" w:customStyle="1" w:styleId="72">
    <w:name w:val="列出段落 Char"/>
    <w:link w:val="71"/>
    <w:autoRedefine/>
    <w:qFormat/>
    <w:uiPriority w:val="99"/>
    <w:rPr>
      <w:rFonts w:asciiTheme="minorHAnsi" w:hAnsiTheme="minorHAnsi" w:eastAsiaTheme="minorEastAsia" w:cstheme="minorBidi"/>
      <w:kern w:val="2"/>
      <w:sz w:val="21"/>
      <w:szCs w:val="22"/>
    </w:rPr>
  </w:style>
  <w:style w:type="character" w:customStyle="1" w:styleId="73">
    <w:name w:val="表格1 Char"/>
    <w:link w:val="74"/>
    <w:autoRedefine/>
    <w:qFormat/>
    <w:uiPriority w:val="0"/>
    <w:rPr>
      <w:rFonts w:eastAsia="方正仿宋_GBK"/>
      <w:color w:val="000000"/>
      <w:sz w:val="21"/>
      <w:szCs w:val="24"/>
    </w:rPr>
  </w:style>
  <w:style w:type="paragraph" w:customStyle="1" w:styleId="74">
    <w:name w:val="表格1"/>
    <w:basedOn w:val="1"/>
    <w:link w:val="73"/>
    <w:autoRedefine/>
    <w:qFormat/>
    <w:uiPriority w:val="0"/>
    <w:pPr>
      <w:adjustRightInd w:val="0"/>
      <w:snapToGrid w:val="0"/>
      <w:jc w:val="center"/>
    </w:pPr>
    <w:rPr>
      <w:rFonts w:eastAsia="方正仿宋_GBK"/>
      <w:color w:val="000000"/>
      <w:kern w:val="0"/>
    </w:rPr>
  </w:style>
  <w:style w:type="character" w:customStyle="1" w:styleId="75">
    <w:name w:val="标题 2 Char"/>
    <w:basedOn w:val="26"/>
    <w:link w:val="5"/>
    <w:autoRedefine/>
    <w:semiHidden/>
    <w:qFormat/>
    <w:uiPriority w:val="0"/>
    <w:rPr>
      <w:rFonts w:asciiTheme="majorHAnsi" w:hAnsiTheme="majorHAnsi" w:eastAsiaTheme="majorEastAsia" w:cstheme="majorBidi"/>
      <w:b/>
      <w:bCs/>
      <w:kern w:val="2"/>
      <w:sz w:val="32"/>
      <w:szCs w:val="32"/>
    </w:rPr>
  </w:style>
  <w:style w:type="paragraph" w:customStyle="1" w:styleId="76">
    <w:name w:val="表格文字"/>
    <w:next w:val="1"/>
    <w:link w:val="77"/>
    <w:autoRedefine/>
    <w:qFormat/>
    <w:uiPriority w:val="0"/>
    <w:pPr>
      <w:jc w:val="center"/>
    </w:pPr>
    <w:rPr>
      <w:rFonts w:ascii="Calibri" w:hAnsi="Calibri" w:eastAsia="宋体" w:cs="Times New Roman"/>
      <w:kern w:val="2"/>
      <w:sz w:val="21"/>
      <w:szCs w:val="24"/>
      <w:lang w:val="en-US" w:eastAsia="zh-CN" w:bidi="ar-SA"/>
    </w:rPr>
  </w:style>
  <w:style w:type="character" w:customStyle="1" w:styleId="77">
    <w:name w:val="表格文字 Char"/>
    <w:basedOn w:val="26"/>
    <w:link w:val="76"/>
    <w:autoRedefine/>
    <w:qFormat/>
    <w:uiPriority w:val="0"/>
    <w:rPr>
      <w:rFonts w:ascii="Calibri" w:hAnsi="Calibri"/>
      <w:kern w:val="2"/>
      <w:sz w:val="21"/>
      <w:szCs w:val="24"/>
    </w:rPr>
  </w:style>
  <w:style w:type="paragraph" w:customStyle="1" w:styleId="78">
    <w:name w:val="样式6"/>
    <w:basedOn w:val="1"/>
    <w:autoRedefine/>
    <w:qFormat/>
    <w:uiPriority w:val="0"/>
    <w:pPr>
      <w:jc w:val="center"/>
    </w:pPr>
  </w:style>
  <w:style w:type="character" w:customStyle="1" w:styleId="79">
    <w:name w:val="标题 4 Char"/>
    <w:basedOn w:val="26"/>
    <w:link w:val="7"/>
    <w:autoRedefine/>
    <w:semiHidden/>
    <w:qFormat/>
    <w:uiPriority w:val="0"/>
    <w:rPr>
      <w:rFonts w:asciiTheme="majorHAnsi" w:hAnsiTheme="majorHAnsi" w:eastAsiaTheme="majorEastAsia" w:cstheme="majorBidi"/>
      <w:b/>
      <w:bCs/>
      <w:kern w:val="2"/>
      <w:sz w:val="28"/>
      <w:szCs w:val="28"/>
    </w:rPr>
  </w:style>
  <w:style w:type="character" w:customStyle="1" w:styleId="80">
    <w:name w:val="标题 Char"/>
    <w:basedOn w:val="26"/>
    <w:link w:val="21"/>
    <w:autoRedefine/>
    <w:qFormat/>
    <w:uiPriority w:val="0"/>
    <w:rPr>
      <w:rFonts w:ascii="Cambria" w:hAnsi="Cambria" w:eastAsia="Cambria" w:cs="Times New Roman"/>
      <w:b/>
      <w:bCs/>
      <w:kern w:val="2"/>
      <w:sz w:val="32"/>
      <w:szCs w:val="32"/>
    </w:rPr>
  </w:style>
  <w:style w:type="paragraph" w:customStyle="1" w:styleId="81">
    <w:name w:val="正文2"/>
    <w:basedOn w:val="1"/>
    <w:autoRedefine/>
    <w:qFormat/>
    <w:uiPriority w:val="0"/>
    <w:pPr>
      <w:widowControl/>
    </w:pPr>
    <w:rPr>
      <w:szCs w:val="21"/>
    </w:rPr>
  </w:style>
  <w:style w:type="character" w:customStyle="1" w:styleId="82">
    <w:name w:val="标题 3 Char"/>
    <w:basedOn w:val="26"/>
    <w:link w:val="6"/>
    <w:autoRedefine/>
    <w:qFormat/>
    <w:uiPriority w:val="1"/>
    <w:rPr>
      <w:b/>
      <w:bCs/>
      <w:kern w:val="2"/>
      <w:sz w:val="32"/>
      <w:szCs w:val="32"/>
    </w:rPr>
  </w:style>
  <w:style w:type="paragraph" w:customStyle="1" w:styleId="83">
    <w:name w:val="4刘群正文 *"/>
    <w:basedOn w:val="1"/>
    <w:autoRedefine/>
    <w:qFormat/>
    <w:uiPriority w:val="0"/>
    <w:pPr>
      <w:spacing w:line="520" w:lineRule="exact"/>
      <w:ind w:firstLine="480" w:firstLineChars="200"/>
    </w:pPr>
    <w:rPr>
      <w:sz w:val="24"/>
    </w:rPr>
  </w:style>
  <w:style w:type="paragraph" w:customStyle="1" w:styleId="84">
    <w:name w:val="报告表正文"/>
    <w:basedOn w:val="1"/>
    <w:autoRedefine/>
    <w:qFormat/>
    <w:uiPriority w:val="0"/>
    <w:pPr>
      <w:adjustRightInd w:val="0"/>
      <w:spacing w:line="312" w:lineRule="auto"/>
      <w:ind w:left="113" w:right="113" w:firstLine="482"/>
      <w:jc w:val="left"/>
    </w:pPr>
    <w:rPr>
      <w:kern w:val="0"/>
      <w:sz w:val="24"/>
      <w:szCs w:val="20"/>
    </w:rPr>
  </w:style>
  <w:style w:type="character" w:customStyle="1" w:styleId="85">
    <w:name w:val="纯文本 Char"/>
    <w:basedOn w:val="26"/>
    <w:link w:val="11"/>
    <w:autoRedefine/>
    <w:qFormat/>
    <w:uiPriority w:val="99"/>
    <w:rPr>
      <w:rFonts w:hint="eastAsia" w:ascii="宋体" w:hAnsi="Courier New" w:eastAsia="宋体" w:cs="宋体"/>
      <w:kern w:val="2"/>
      <w:sz w:val="21"/>
      <w:szCs w:val="24"/>
    </w:rPr>
  </w:style>
  <w:style w:type="paragraph" w:customStyle="1" w:styleId="86">
    <w:name w:val="正"/>
    <w:basedOn w:val="1"/>
    <w:autoRedefine/>
    <w:qFormat/>
    <w:uiPriority w:val="0"/>
    <w:pPr>
      <w:spacing w:line="360" w:lineRule="auto"/>
      <w:ind w:firstLine="200" w:firstLineChars="200"/>
    </w:pPr>
    <w:rPr>
      <w:kern w:val="0"/>
      <w:sz w:val="24"/>
      <w:szCs w:val="20"/>
    </w:rPr>
  </w:style>
  <w:style w:type="paragraph" w:customStyle="1" w:styleId="87">
    <w:name w:val="p0"/>
    <w:basedOn w:val="1"/>
    <w:autoRedefine/>
    <w:qFormat/>
    <w:uiPriority w:val="0"/>
    <w:pPr>
      <w:widowControl/>
    </w:pPr>
    <w:rPr>
      <w:rFonts w:hint="eastAsia" w:ascii="宋体" w:hAnsi="宋体"/>
      <w:kern w:val="0"/>
      <w:szCs w:val="21"/>
    </w:rPr>
  </w:style>
  <w:style w:type="paragraph" w:customStyle="1" w:styleId="88">
    <w:name w:val="样式 首行缩进:  2 字符1"/>
    <w:basedOn w:val="1"/>
    <w:autoRedefine/>
    <w:qFormat/>
    <w:uiPriority w:val="0"/>
    <w:pPr>
      <w:adjustRightInd w:val="0"/>
      <w:snapToGrid w:val="0"/>
      <w:spacing w:line="360" w:lineRule="auto"/>
      <w:ind w:firstLine="480"/>
    </w:pPr>
  </w:style>
  <w:style w:type="paragraph" w:customStyle="1" w:styleId="89">
    <w:name w:val="Table Paragraph"/>
    <w:basedOn w:val="1"/>
    <w:autoRedefine/>
    <w:qFormat/>
    <w:uiPriority w:val="0"/>
  </w:style>
  <w:style w:type="character" w:customStyle="1" w:styleId="90">
    <w:name w:val="表格内文字 Char"/>
    <w:basedOn w:val="26"/>
    <w:link w:val="91"/>
    <w:autoRedefine/>
    <w:qFormat/>
    <w:uiPriority w:val="0"/>
    <w:rPr>
      <w:rFonts w:hint="eastAsia" w:ascii="仿宋_GB2312" w:eastAsia="仿宋_GB2312" w:cs="仿宋_GB2312"/>
      <w:kern w:val="2"/>
      <w:sz w:val="24"/>
      <w:szCs w:val="28"/>
    </w:rPr>
  </w:style>
  <w:style w:type="paragraph" w:customStyle="1" w:styleId="91">
    <w:name w:val="表格内文字"/>
    <w:basedOn w:val="1"/>
    <w:link w:val="90"/>
    <w:autoRedefine/>
    <w:qFormat/>
    <w:uiPriority w:val="0"/>
    <w:pPr>
      <w:tabs>
        <w:tab w:val="left" w:pos="0"/>
      </w:tabs>
      <w:adjustRightInd w:val="0"/>
      <w:snapToGrid w:val="0"/>
      <w:jc w:val="center"/>
    </w:pPr>
    <w:rPr>
      <w:rFonts w:hint="eastAsia" w:ascii="仿宋_GB2312" w:eastAsia="仿宋_GB2312"/>
      <w:sz w:val="24"/>
      <w:szCs w:val="28"/>
    </w:rPr>
  </w:style>
  <w:style w:type="paragraph" w:customStyle="1" w:styleId="92">
    <w:name w:val="魏秀珍表格标题"/>
    <w:basedOn w:val="1"/>
    <w:autoRedefine/>
    <w:qFormat/>
    <w:uiPriority w:val="0"/>
    <w:pPr>
      <w:adjustRightInd w:val="0"/>
      <w:snapToGrid w:val="0"/>
      <w:spacing w:before="120"/>
      <w:jc w:val="center"/>
    </w:pPr>
    <w:rPr>
      <w:b/>
      <w:szCs w:val="21"/>
    </w:rPr>
  </w:style>
  <w:style w:type="paragraph" w:customStyle="1" w:styleId="9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94">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95">
    <w:name w:val="正文 楷体"/>
    <w:basedOn w:val="1"/>
    <w:autoRedefine/>
    <w:qFormat/>
    <w:uiPriority w:val="0"/>
    <w:pPr>
      <w:widowControl/>
      <w:spacing w:line="500" w:lineRule="exact"/>
      <w:ind w:firstLine="200" w:firstLineChars="200"/>
      <w:jc w:val="left"/>
    </w:pPr>
    <w:rPr>
      <w:rFonts w:ascii="楷体_GB2312" w:hAnsi="宋体" w:eastAsia="楷体_GB2312"/>
      <w:sz w:val="24"/>
    </w:rPr>
  </w:style>
  <w:style w:type="paragraph" w:customStyle="1" w:styleId="96">
    <w:name w:val="表头！！！！！！！！！！"/>
    <w:basedOn w:val="8"/>
    <w:autoRedefine/>
    <w:qFormat/>
    <w:uiPriority w:val="0"/>
    <w:pPr>
      <w:autoSpaceDE w:val="0"/>
      <w:autoSpaceDN w:val="0"/>
      <w:spacing w:before="100" w:beforeAutospacing="1" w:line="500" w:lineRule="exact"/>
      <w:ind w:firstLine="420" w:firstLineChars="0"/>
      <w:jc w:val="center"/>
    </w:pPr>
    <w:rPr>
      <w:rFonts w:ascii="楷体_GB2312" w:eastAsia="楷体_GB2312"/>
      <w:b/>
    </w:rPr>
  </w:style>
  <w:style w:type="paragraph" w:customStyle="1" w:styleId="97">
    <w:name w:val="正文A"/>
    <w:basedOn w:val="1"/>
    <w:autoRedefine/>
    <w:qFormat/>
    <w:uiPriority w:val="0"/>
    <w:pPr>
      <w:spacing w:line="500" w:lineRule="exact"/>
      <w:ind w:firstLine="480" w:firstLineChars="200"/>
    </w:pPr>
    <w:rPr>
      <w:rFonts w:ascii="华文仿宋" w:hAnsi="华文仿宋" w:eastAsia="华文仿宋"/>
      <w:sz w:val="24"/>
    </w:rPr>
  </w:style>
  <w:style w:type="paragraph" w:customStyle="1" w:styleId="98">
    <w:name w:val="标题三！！！！！！！"/>
    <w:basedOn w:val="6"/>
    <w:autoRedefine/>
    <w:qFormat/>
    <w:uiPriority w:val="0"/>
    <w:pPr>
      <w:keepNext/>
      <w:keepLines/>
      <w:spacing w:line="500" w:lineRule="exact"/>
      <w:ind w:left="0" w:firstLine="0"/>
      <w:jc w:val="left"/>
    </w:pPr>
    <w:rPr>
      <w:rFonts w:ascii="楷体_GB2312" w:hAnsi="宋体" w:eastAsia="楷体_GB2312" w:cs="宋体"/>
      <w:b/>
      <w:kern w:val="0"/>
    </w:rPr>
  </w:style>
  <w:style w:type="paragraph" w:customStyle="1" w:styleId="99">
    <w:name w:val="表头"/>
    <w:basedOn w:val="1"/>
    <w:autoRedefine/>
    <w:qFormat/>
    <w:uiPriority w:val="0"/>
    <w:pPr>
      <w:widowControl/>
      <w:spacing w:line="500" w:lineRule="exact"/>
      <w:jc w:val="center"/>
    </w:pPr>
    <w:rPr>
      <w:rFonts w:ascii="楷体_GB2312" w:hAnsi="宋体" w:eastAsia="楷体_GB2312"/>
      <w:b/>
      <w:sz w:val="24"/>
    </w:rPr>
  </w:style>
  <w:style w:type="paragraph" w:customStyle="1" w:styleId="100">
    <w:name w:val="Table Text"/>
    <w:basedOn w:val="1"/>
    <w:autoRedefine/>
    <w:semiHidden/>
    <w:qFormat/>
    <w:uiPriority w:val="0"/>
    <w:pPr>
      <w:widowControl/>
      <w:kinsoku w:val="0"/>
      <w:autoSpaceDE w:val="0"/>
      <w:autoSpaceDN w:val="0"/>
      <w:adjustRightInd w:val="0"/>
      <w:snapToGrid w:val="0"/>
      <w:jc w:val="left"/>
      <w:textAlignment w:val="baseline"/>
    </w:pPr>
    <w:rPr>
      <w:rFonts w:ascii="宋体" w:hAnsi="宋体" w:cs="宋体"/>
      <w:color w:val="000000"/>
      <w:kern w:val="0"/>
      <w:sz w:val="27"/>
      <w:szCs w:val="27"/>
    </w:rPr>
  </w:style>
  <w:style w:type="paragraph" w:customStyle="1" w:styleId="101">
    <w:name w:val="List Paragraph1"/>
    <w:basedOn w:val="1"/>
    <w:autoRedefine/>
    <w:qFormat/>
    <w:uiPriority w:val="0"/>
    <w:pPr>
      <w:ind w:firstLine="420" w:firstLineChars="200"/>
    </w:pPr>
    <w:rPr>
      <w:rFonts w:ascii="Calibri" w:hAnsi="Calibri"/>
      <w:szCs w:val="21"/>
    </w:rPr>
  </w:style>
  <w:style w:type="table" w:customStyle="1" w:styleId="102">
    <w:name w:val="Table Normal"/>
    <w:basedOn w:val="24"/>
    <w:autoRedefine/>
    <w:qFormat/>
    <w:uiPriority w:val="0"/>
    <w:rPr>
      <w:rFonts w:eastAsia="Times New Roman"/>
    </w:rPr>
    <w:tblPr>
      <w:tblCellMar>
        <w:top w:w="0" w:type="dxa"/>
        <w:left w:w="0" w:type="dxa"/>
        <w:bottom w:w="0" w:type="dxa"/>
        <w:right w:w="0" w:type="dxa"/>
      </w:tblCellMar>
    </w:tblPr>
  </w:style>
  <w:style w:type="paragraph" w:customStyle="1" w:styleId="103">
    <w:name w:val="列出段落1"/>
    <w:basedOn w:val="1"/>
    <w:autoRedefine/>
    <w:qFormat/>
    <w:uiPriority w:val="0"/>
    <w:pPr>
      <w:ind w:firstLine="420" w:firstLineChars="200"/>
    </w:pPr>
    <w:rPr>
      <w:rFonts w:ascii="Calibri" w:hAnsi="Calibri"/>
      <w:szCs w:val="21"/>
    </w:rPr>
  </w:style>
  <w:style w:type="paragraph" w:customStyle="1" w:styleId="104">
    <w:name w:val="正文4"/>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105">
    <w:name w:val="textbig1"/>
    <w:basedOn w:val="26"/>
    <w:autoRedefine/>
    <w:qFormat/>
    <w:uiPriority w:val="0"/>
    <w:rPr>
      <w:sz w:val="18"/>
      <w:szCs w:val="18"/>
    </w:rPr>
  </w:style>
  <w:style w:type="paragraph" w:customStyle="1" w:styleId="106">
    <w:name w:val="段落1"/>
    <w:basedOn w:val="1"/>
    <w:autoRedefine/>
    <w:qFormat/>
    <w:uiPriority w:val="0"/>
    <w:pPr>
      <w:ind w:firstLine="200" w:firstLineChars="200"/>
    </w:pPr>
    <w:rPr>
      <w:rFonts w:eastAsia="楷体_GB2312"/>
      <w:spacing w:val="6"/>
      <w:sz w:val="28"/>
    </w:rPr>
  </w:style>
  <w:style w:type="paragraph" w:customStyle="1" w:styleId="107">
    <w:name w:val="表格式"/>
    <w:basedOn w:val="17"/>
    <w:autoRedefine/>
    <w:qFormat/>
    <w:uiPriority w:val="0"/>
    <w:pPr>
      <w:spacing w:line="400" w:lineRule="exact"/>
      <w:ind w:left="0" w:firstLine="0" w:firstLineChars="0"/>
      <w:jc w:val="center"/>
    </w:pPr>
    <w:rPr>
      <w:rFonts w:ascii="宋体"/>
      <w:szCs w:val="20"/>
    </w:rPr>
  </w:style>
  <w:style w:type="paragraph" w:customStyle="1" w:styleId="108">
    <w:name w:val="表格标题"/>
    <w:basedOn w:val="1"/>
    <w:autoRedefine/>
    <w:qFormat/>
    <w:uiPriority w:val="0"/>
    <w:pPr>
      <w:spacing w:before="60" w:after="100" w:afterAutospacing="1" w:line="460" w:lineRule="exact"/>
      <w:jc w:val="center"/>
    </w:pPr>
    <w:rPr>
      <w:sz w:val="24"/>
    </w:rPr>
  </w:style>
  <w:style w:type="paragraph" w:customStyle="1" w:styleId="109">
    <w:name w:val="MEL表字-书"/>
    <w:basedOn w:val="1"/>
    <w:autoRedefine/>
    <w:qFormat/>
    <w:uiPriority w:val="0"/>
    <w:pPr>
      <w:adjustRightInd/>
      <w:snapToGrid/>
      <w:spacing w:line="240" w:lineRule="exact"/>
      <w:ind w:firstLine="0" w:firstLineChars="0"/>
      <w:jc w:val="center"/>
    </w:pPr>
    <w:rPr>
      <w:rFonts w:ascii="宋体" w:hAnsi="宋体" w:eastAsiaTheme="minorEastAsia"/>
      <w:sz w:val="21"/>
      <w:szCs w:val="21"/>
    </w:rPr>
  </w:style>
  <w:style w:type="paragraph" w:customStyle="1" w:styleId="110">
    <w:name w:val="1"/>
    <w:basedOn w:val="1"/>
    <w:next w:val="19"/>
    <w:autoRedefine/>
    <w:qFormat/>
    <w:uiPriority w:val="0"/>
    <w:pPr>
      <w:spacing w:line="300" w:lineRule="auto"/>
      <w:jc w:val="center"/>
    </w:pPr>
    <w:rPr>
      <w:rFonts w:ascii="宋体" w:hAnsi="宋体"/>
      <w:spacing w:val="-20"/>
    </w:rPr>
  </w:style>
  <w:style w:type="paragraph" w:customStyle="1" w:styleId="111">
    <w:name w:val="表标题"/>
    <w:basedOn w:val="1"/>
    <w:autoRedefine/>
    <w:qFormat/>
    <w:uiPriority w:val="0"/>
    <w:pPr>
      <w:tabs>
        <w:tab w:val="left" w:pos="2700"/>
        <w:tab w:val="left" w:pos="6300"/>
      </w:tabs>
      <w:spacing w:line="360" w:lineRule="auto"/>
      <w:jc w:val="center"/>
    </w:pPr>
    <w:rPr>
      <w:b/>
      <w:sz w:val="24"/>
    </w:rPr>
  </w:style>
  <w:style w:type="paragraph" w:customStyle="1" w:styleId="112">
    <w:name w:val="表格内容自定"/>
    <w:basedOn w:val="1"/>
    <w:autoRedefine/>
    <w:qFormat/>
    <w:uiPriority w:val="0"/>
    <w:pPr>
      <w:spacing w:line="280" w:lineRule="exact"/>
      <w:jc w:val="center"/>
    </w:pPr>
    <w:rPr>
      <w:kern w:val="0"/>
      <w:sz w:val="18"/>
      <w:szCs w:val="20"/>
    </w:rPr>
  </w:style>
  <w:style w:type="paragraph" w:customStyle="1" w:styleId="113">
    <w:name w:val="Q表格正文"/>
    <w:autoRedefine/>
    <w:qFormat/>
    <w:uiPriority w:val="0"/>
    <w:pPr>
      <w:autoSpaceDE w:val="0"/>
      <w:autoSpaceDN w:val="0"/>
      <w:jc w:val="center"/>
      <w:textAlignment w:val="bottom"/>
    </w:pPr>
    <w:rPr>
      <w:rFonts w:ascii="Times New Roman" w:hAnsi="Times New Roman" w:eastAsia="宋体" w:cs="Times New Roman"/>
      <w:sz w:val="21"/>
      <w:lang w:val="en-US" w:eastAsia="zh-CN" w:bidi="ar-SA"/>
    </w:rPr>
  </w:style>
  <w:style w:type="paragraph" w:customStyle="1" w:styleId="114">
    <w:name w:val="珍珍环评正文"/>
    <w:basedOn w:val="1"/>
    <w:autoRedefine/>
    <w:qFormat/>
    <w:uiPriority w:val="0"/>
    <w:pPr>
      <w:adjustRightInd w:val="0"/>
    </w:pPr>
  </w:style>
  <w:style w:type="paragraph" w:customStyle="1" w:styleId="115">
    <w:name w:val="标准正文"/>
    <w:basedOn w:val="1"/>
    <w:autoRedefine/>
    <w:qFormat/>
    <w:uiPriority w:val="0"/>
    <w:pPr>
      <w:spacing w:line="360" w:lineRule="auto"/>
      <w:jc w:val="left"/>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file:///C:\Users\DELL\AppData\Roaming\Tencent\Users\651478676\QQ\WinTemp\RichOle\O%25252525252525252525257D7B@UIK3NUCHHF~H@3SRH8.png" TargetMode="Externa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D1497F-ECC9-49C5-B2D5-72D244FE0A69}">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99</Pages>
  <Words>10726</Words>
  <Characters>61144</Characters>
  <Lines>509</Lines>
  <Paragraphs>143</Paragraphs>
  <TotalTime>8</TotalTime>
  <ScaleCrop>false</ScaleCrop>
  <LinksUpToDate>false</LinksUpToDate>
  <CharactersWithSpaces>71727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2023-06-06T14:22:00Z</dcterms:created>
  <dc:creator>lhj</dc:creator>
  <cp:lastModifiedBy>Administrator</cp:lastModifiedBy>
  <cp:lastPrinted>2021-11-01T01:03:00Z</cp:lastPrinted>
  <dcterms:modified xsi:type="dcterms:W3CDTF">2024-04-03T02:03:14Z</dcterms:modified>
  <dc:title>附件2</dc:title>
  <cp:revision>241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CDDD027C6D8C40BC8A864FA0EEFE9EA2_13</vt:lpwstr>
  </property>
</Properties>
</file>