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eastAsia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于锦龙电力集团所属煤电灵活性改造配套124团、127团34万千瓦光伏发电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环境影响报告表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的批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新疆锦龙电力集团有限公司：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你单位《关于审批锦龙电力集团所属煤电灵活性改造配套124团、127团34万千瓦光伏发电项目环境影响报告表的请示》收悉。经研究，批复如下：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该项目位于</w:t>
      </w:r>
      <w:r>
        <w:rPr>
          <w:rFonts w:hint="eastAsia" w:eastAsia="仿宋_GB2312" w:cs="Times New Roman"/>
          <w:color w:val="auto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七师124团、127团，项目共设3地块光伏区域，共计占地面积864.32公顷。124团地块一位于G30国道西南侧，中心地理坐标为北纬44°23′25.347″，东经84°03′29.412″；124团地块二位于已建三峡光伏项目区北侧，中心地理坐标为北纬44°36′44.713″，东经84°13′04.040″；127团地块位于127团十三连北侧，中心地理坐标为北纬45°07′13.680″，东经84°29′35.499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。项目新建交流测规模为337.5兆瓦，直流侧装机容量为439.73兆瓦的光伏电站，光伏电站年平均发电量63482.15万千瓦时，年平均等效利用小时数1443.66时。项目由光伏阵区、逆变器、35千伏集电线路系统工程组成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。项目总投资146532万元，其中环保投资181万元，占总投资的0.12%。</w:t>
      </w:r>
    </w:p>
    <w:p>
      <w:pPr>
        <w:numPr>
          <w:ilvl w:val="0"/>
          <w:numId w:val="0"/>
        </w:num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运营和服务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《玻璃幕墙光热性能》（GB/T18091-2015）要求，项目太阳能板采用反射比小于0.16的低辐射玻璃；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采用单晶硅太阳能电池，电池组件最外层为特种钢化玻璃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透光率达95%以上，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光伏阵列的反射光极少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不会影响交通安全，不会对周边居民区及地面交通造成光污染影响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（二）严格落实水污染防治措施。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光伏板采用净水清洗，特征因子为悬浮物且浓度低，电池组件面大、分散，清洗废水就地被植被吸收或自然蒸发</w:t>
      </w:r>
      <w:r>
        <w:rPr>
          <w:rFonts w:hint="default" w:ascii="Times New Roman" w:hAnsi="Times New Roman" w:eastAsia="仿宋_GB2312" w:cs="Times New Roman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）严格落实噪声污染防治措施。选用低噪声机械和设备，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箱逆变一体机安装基础减振垫；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加强机械设备的维修、管理，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确保设备运行状态良好。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厂界噪声排放执行《工业企业厂界环境噪声排放标准》（GB12348-2008）中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类标准要求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）固体废物实施分类管理并妥善处理处置。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废光伏组件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eastAsia="zh-CN"/>
        </w:rPr>
        <w:t>、废旧光伏太阳能电板集中收集后由生产厂家统一回收。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废蓄电池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属于危险废物，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暂存于危险废物暂存间内，定期委托有危险废物处置资质的单位进行处置。危险废物收集、运输须按照《危险废物收集 贮存 运输技术规范》（HJ2025-2012）和《危险废物转移管理办法》要求进行。生活垃圾经收集后定期由环卫部门统一清运</w:t>
      </w:r>
      <w:r>
        <w:rPr>
          <w:rFonts w:hint="eastAsia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垃圾填埋场处理。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）强化各项环境风险防范措施，有效防范环境风险。厂内定期开展环境风险应急培训和演练，落实各项应急环境管理措施以及各项风险防范措施，确保风险事故得到有效控制。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（六）加强施工期环境保护管理工作，落实防沙治沙措施，防止施工废水、扬尘、噪声污染、水土流失和生态破坏。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（七）在工程运营过程中，应建立畅通的公众参与平台，加强宣传与沟通工作，及时解决公众提出的合理环境诉求。定期发布企业环境信息，并主动接受社会监督。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五、环境影响报告表经批准后，该项目的性质、规模、地点、生产工艺和环境保护措施发生重大变动，且可能导致环境影响显著变化(特别是不利环境影响加重)的，应当重新报批该项目环境影响评价报告。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、我局委托师市生态环境保护综合行政执法支队、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124团、127团经济发展办公室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组织开展该项目的“三同时”监督检查和日常监督管理工作。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、你单位应在接到本批复后20个工作日内，将批准后的环境影响报告表送师市生态环境保护综合行政执法支队、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124团、127团经济发展办公室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72" w:firstLineChars="17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eastAsia" w:eastAsia="仿宋_GB2312" w:cs="Times New Roman"/>
          <w:bCs/>
          <w:color w:val="auto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421005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33.15pt;height:0pt;width:442.3pt;z-index:251659264;mso-width-relative:page;mso-height-relative:page;" filled="f" stroked="t" coordsize="21600,21600" o:gfxdata="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3IaQNQAAAAHAQAADwAAAAAAAAABACAAAAAiAAAAZHJzL2Rvd25yZXYueG1sUEsB&#10;AhQAFAAAAAgAh07iQOeqatT5AQAA8wMAAA4AAAAAAAAAAQAgAAAAIw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left="1102" w:leftChars="87" w:right="316" w:rightChars="100" w:hanging="828" w:hangingChars="3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抄送：师市生态环境保护综合行政执法支队，1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127团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320" w:leftChars="100" w:right="320" w:rightChars="100"/>
      <w:rPr>
        <w:rStyle w:val="20"/>
        <w:rFonts w:hint="eastAsia" w:ascii="仿宋_GB2312" w:eastAsia="仿宋_GB2312"/>
        <w:b/>
        <w:bCs/>
        <w:sz w:val="28"/>
        <w:szCs w:val="28"/>
      </w:rPr>
    </w:pPr>
    <w:r>
      <w:rPr>
        <w:rStyle w:val="20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20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20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20"/>
        <w:rFonts w:hint="eastAsia" w:ascii="仿宋_GB2312" w:eastAsia="仿宋_GB2312"/>
        <w:sz w:val="28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</w:t>
    </w:r>
    <w:r>
      <w:fldChar w:fldCharType="end"/>
    </w:r>
  </w:p>
  <w:p>
    <w:pPr>
      <w:pStyle w:val="1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0010"/>
    <w:multiLevelType w:val="multilevel"/>
    <w:tmpl w:val="5171001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F401AFB"/>
    <w:multiLevelType w:val="multilevel"/>
    <w:tmpl w:val="7F401AFB"/>
    <w:lvl w:ilvl="0" w:tentative="0">
      <w:start w:val="1"/>
      <w:numFmt w:val="decimal"/>
      <w:pStyle w:val="4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59F6F31"/>
    <w:rsid w:val="06C71389"/>
    <w:rsid w:val="06CC7B06"/>
    <w:rsid w:val="08EC6D80"/>
    <w:rsid w:val="0B7218AA"/>
    <w:rsid w:val="13C9545A"/>
    <w:rsid w:val="16B800EE"/>
    <w:rsid w:val="177121A0"/>
    <w:rsid w:val="1803154F"/>
    <w:rsid w:val="20783D41"/>
    <w:rsid w:val="21162F81"/>
    <w:rsid w:val="21214F61"/>
    <w:rsid w:val="21DD6837"/>
    <w:rsid w:val="24057B5F"/>
    <w:rsid w:val="24696853"/>
    <w:rsid w:val="247C78BD"/>
    <w:rsid w:val="260C6FC7"/>
    <w:rsid w:val="26802C75"/>
    <w:rsid w:val="291034DE"/>
    <w:rsid w:val="2B665A9B"/>
    <w:rsid w:val="2BA03F96"/>
    <w:rsid w:val="2D8D3C0A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20204DA"/>
    <w:rsid w:val="4419237E"/>
    <w:rsid w:val="45D948F4"/>
    <w:rsid w:val="47587B93"/>
    <w:rsid w:val="4CBF17F2"/>
    <w:rsid w:val="4CCA458A"/>
    <w:rsid w:val="4E410396"/>
    <w:rsid w:val="5075710B"/>
    <w:rsid w:val="50CD705E"/>
    <w:rsid w:val="54231BA0"/>
    <w:rsid w:val="600D34CB"/>
    <w:rsid w:val="609006D2"/>
    <w:rsid w:val="66BE66CF"/>
    <w:rsid w:val="68991CEA"/>
    <w:rsid w:val="6B762AC2"/>
    <w:rsid w:val="6D272415"/>
    <w:rsid w:val="6D4318D3"/>
    <w:rsid w:val="701D640C"/>
    <w:rsid w:val="721320EC"/>
    <w:rsid w:val="73323C81"/>
    <w:rsid w:val="745A0337"/>
    <w:rsid w:val="76E82012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paragraph" w:styleId="7">
    <w:name w:val="heading 4"/>
    <w:basedOn w:val="1"/>
    <w:next w:val="1"/>
    <w:autoRedefine/>
    <w:qFormat/>
    <w:uiPriority w:val="99"/>
    <w:pPr>
      <w:keepNext/>
      <w:keepLines/>
      <w:numPr>
        <w:ilvl w:val="3"/>
        <w:numId w:val="2"/>
      </w:numPr>
      <w:spacing w:line="360" w:lineRule="auto"/>
      <w:outlineLvl w:val="3"/>
    </w:pPr>
    <w:rPr>
      <w:rFonts w:ascii="Arial" w:hAnsi="Arial"/>
      <w:b/>
      <w:sz w:val="24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left="0" w:leftChars="0" w:firstLine="420"/>
    </w:pPr>
    <w:rPr>
      <w:rFonts w:ascii="Times New Roman" w:hAnsi="Times New Roman"/>
      <w:szCs w:val="22"/>
    </w:rPr>
  </w:style>
  <w:style w:type="paragraph" w:customStyle="1" w:styleId="3">
    <w:name w:val="Body Text Indent1"/>
    <w:basedOn w:val="1"/>
    <w:autoRedefine/>
    <w:qFormat/>
    <w:uiPriority w:val="0"/>
    <w:pPr>
      <w:ind w:left="420" w:leftChars="20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  <w:rPr>
      <w:rFonts w:ascii="宋体" w:hAnsi="宋体"/>
    </w:rPr>
  </w:style>
  <w:style w:type="paragraph" w:styleId="9">
    <w:name w:val="annotation text"/>
    <w:basedOn w:val="1"/>
    <w:autoRedefine/>
    <w:unhideWhenUsed/>
    <w:qFormat/>
    <w:uiPriority w:val="99"/>
    <w:pPr>
      <w:jc w:val="left"/>
    </w:pPr>
  </w:style>
  <w:style w:type="paragraph" w:styleId="10">
    <w:name w:val="Body Text"/>
    <w:basedOn w:val="1"/>
    <w:autoRedefine/>
    <w:qFormat/>
    <w:uiPriority w:val="0"/>
    <w:rPr>
      <w:rFonts w:eastAsia="华文中宋"/>
      <w:b/>
      <w:bCs/>
      <w:w w:val="90"/>
      <w:sz w:val="44"/>
    </w:rPr>
  </w:style>
  <w:style w:type="paragraph" w:styleId="11">
    <w:name w:val="Block Text"/>
    <w:basedOn w:val="1"/>
    <w:autoRedefine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index heading"/>
    <w:basedOn w:val="1"/>
    <w:next w:val="15"/>
    <w:autoRedefine/>
    <w:qFormat/>
    <w:uiPriority w:val="0"/>
  </w:style>
  <w:style w:type="paragraph" w:styleId="15">
    <w:name w:val="index 1"/>
    <w:basedOn w:val="1"/>
    <w:next w:val="1"/>
    <w:autoRedefine/>
    <w:qFormat/>
    <w:uiPriority w:val="0"/>
  </w:style>
  <w:style w:type="paragraph" w:styleId="16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17">
    <w:name w:val="Body Text First Indent 2"/>
    <w:basedOn w:val="1"/>
    <w:next w:val="1"/>
    <w:autoRedefine/>
    <w:unhideWhenUsed/>
    <w:qFormat/>
    <w:uiPriority w:val="99"/>
    <w:pPr>
      <w:keepNext w:val="0"/>
      <w:keepLines w:val="0"/>
      <w:widowControl w:val="0"/>
      <w:suppressLineNumbers w:val="0"/>
      <w:spacing w:before="156" w:beforeLines="50" w:beforeAutospacing="0" w:after="156" w:afterLines="50" w:afterAutospacing="0" w:line="360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Default"/>
    <w:basedOn w:val="22"/>
    <w:next w:val="23"/>
    <w:autoRedefine/>
    <w:qFormat/>
    <w:uiPriority w:val="0"/>
    <w:pPr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2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23">
    <w:name w:val="样式1"/>
    <w:basedOn w:val="14"/>
    <w:next w:val="1"/>
    <w:autoRedefine/>
    <w:qFormat/>
    <w:uiPriority w:val="0"/>
    <w:pPr>
      <w:ind w:firstLine="0"/>
    </w:pPr>
    <w:rPr>
      <w:rFonts w:ascii="Times New Roman"/>
      <w:b/>
      <w:sz w:val="30"/>
    </w:rPr>
  </w:style>
  <w:style w:type="paragraph" w:customStyle="1" w:styleId="24">
    <w:name w:val="Char"/>
    <w:basedOn w:val="1"/>
    <w:autoRedefine/>
    <w:qFormat/>
    <w:uiPriority w:val="0"/>
    <w:rPr>
      <w:rFonts w:cs="宋体"/>
      <w:sz w:val="28"/>
    </w:rPr>
  </w:style>
  <w:style w:type="paragraph" w:customStyle="1" w:styleId="25">
    <w:name w:val="YJ正文*"/>
    <w:basedOn w:val="1"/>
    <w:autoRedefine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26">
    <w:name w:val="表字-书"/>
    <w:basedOn w:val="1"/>
    <w:autoRedefine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  <w:style w:type="paragraph" w:customStyle="1" w:styleId="27">
    <w:name w:val="表格内"/>
    <w:basedOn w:val="1"/>
    <w:autoRedefine/>
    <w:qFormat/>
    <w:uiPriority w:val="0"/>
    <w:pPr>
      <w:adjustRightInd w:val="0"/>
      <w:snapToGrid w:val="0"/>
      <w:spacing w:line="360" w:lineRule="exact"/>
      <w:jc w:val="center"/>
    </w:pPr>
    <w:rPr>
      <w:rFonts w:eastAsia="Times New Roman"/>
      <w:snapToGrid w:val="0"/>
      <w:kern w:val="0"/>
      <w:sz w:val="21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1665</Words>
  <Characters>1772</Characters>
  <Lines>11</Lines>
  <Paragraphs>3</Paragraphs>
  <TotalTime>1</TotalTime>
  <ScaleCrop>false</ScaleCrop>
  <LinksUpToDate>false</LinksUpToDate>
  <CharactersWithSpaces>1811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刘彦辰</cp:lastModifiedBy>
  <cp:lastPrinted>2020-12-21T02:32:00Z</cp:lastPrinted>
  <dcterms:modified xsi:type="dcterms:W3CDTF">2024-01-11T04:15:55Z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BC1B214D3CEF423F91FE99072AEFD25D_13</vt:lpwstr>
  </property>
</Properties>
</file>