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关于新疆花园贝乐电子材料有限公司循环再利用节能减排（环保净水剂）项目（变更）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rPr>
        <w:t>环境影响报告书</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新</w:t>
      </w:r>
      <w:r>
        <w:rPr>
          <w:rFonts w:hint="default" w:ascii="Times New Roman" w:hAnsi="Times New Roman" w:eastAsia="仿宋_GB2312" w:cs="Times New Roman"/>
          <w:sz w:val="32"/>
          <w:szCs w:val="32"/>
        </w:rPr>
        <w:t>疆花园贝乐电子材料有限公司：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你公司《关于审批&lt;新疆花园贝乐电子材料有限公司循环再利用节能减排（环保净水剂）项目（变更）环境影响报告书&gt;的请示》收悉。经研究，批复如下：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一、该项目位于胡杨河经济技术开发区南区现有项目厂区北侧预留用地内，项目区中心地理坐标为东经84°51′40.483″，</w:t>
      </w:r>
      <w:r>
        <w:rPr>
          <w:rFonts w:hint="default" w:ascii="Times New Roman" w:hAnsi="Times New Roman" w:eastAsia="仿宋_GB2312" w:cs="Times New Roman"/>
          <w:sz w:val="32"/>
          <w:szCs w:val="32"/>
          <w:lang w:eastAsia="zh-CN"/>
        </w:rPr>
        <w:t>北纬44°48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34.472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。2021年10月26日，兵团生态环境局出具了《关于新疆花园贝乐电子材料有限公司循环再利用节能减排（环保净水剂）项目环境影响报告书的批复》（兵环审〔2021〕31号），</w:t>
      </w:r>
      <w:r>
        <w:rPr>
          <w:rFonts w:hint="default" w:ascii="Times New Roman" w:hAnsi="Times New Roman" w:eastAsia="仿宋_GB2312" w:cs="Times New Roman"/>
          <w:sz w:val="32"/>
          <w:szCs w:val="32"/>
          <w:lang w:val="en-US" w:eastAsia="zh-CN"/>
        </w:rPr>
        <w:t>批复了该项目</w:t>
      </w:r>
      <w:r>
        <w:rPr>
          <w:rFonts w:hint="default" w:ascii="Times New Roman" w:hAnsi="Times New Roman" w:eastAsia="仿宋_GB2312" w:cs="Times New Roman"/>
          <w:sz w:val="32"/>
          <w:szCs w:val="32"/>
        </w:rPr>
        <w:t>环境影响报告书。</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已建成生产厂房一栋，设置6条生产线，分别为废盐酸回收生产线、废水回收生产线、废磷酸回收生产线、废磷酸二氢钾回收生产线、废己二酸回收生产线和聚合氯化铝生产线；安装储罐28个，膜分离系统6套、电渗析系统6套、蒸发器1台、反应釜3台、压滤器1台、干燥器4台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本次主要变更内容：</w:t>
      </w:r>
      <w:r>
        <w:rPr>
          <w:rFonts w:hint="default" w:ascii="Times New Roman" w:hAnsi="Times New Roman" w:eastAsia="仿宋_GB2312" w:cs="Times New Roman"/>
          <w:sz w:val="32"/>
          <w:szCs w:val="32"/>
        </w:rPr>
        <w:t>项目在试运行阶段，发现酸性废水回收率无法达到设计值（70%），仅能达到50%，导致酸性废水处理后的排放水量由8088.406立方米/年增加到23.31万立方米/年，增加了22.5万立方米/年，废水中污染物排放量也相应增加10%以上，收到阳极箔项目排放的各类废水、废酸等、处理工艺、年产量等均保持不变，属于重大变动，建设单位重新开展该项目环境影响评价工作。项目总投资1000万元，其中环保投资109.5万元，占总投资的10.95%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报告书中所列建设项目的性质、规模、地点、工艺和环境保护对策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21"/>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（一）严格落实大气污染防治措施。含盐酸物料储罐大呼吸废气、干燥冷凝废气、反应釜废气分别通过管道接入两级碱液喷淋塔吸收处理后，通过15米高排气筒排放。氯化氢排放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《无机化学工业污染物排放标准》（GB31573-2015）表4大气污染物特别排放限值。</w:t>
      </w:r>
    </w:p>
    <w:p>
      <w:pPr>
        <w:pStyle w:val="21"/>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生产过程中做好各设备、液体管道的防渗、防腐措施，保证生产装置的气密性，在管道连接处法兰、阀门等可能泄漏的部位，使用垫片，加强日常巡检和定期维护管理，减少连接处泄漏的可能性；盐酸在固定顶储罐内保存，物料装卸采用双管式物料输送；生产工序密闭进行，反应釜的排空阀和碱液喷淋塔废气收集管相连，反应釜内保持微负压状态；固体聚合氯化铝包装过程在相对封闭厂房内进行，加强厂区绿化。厂界氯化氢无组织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《无机化学工业污染物排放标准》（GB31573-2015）特别排放限值要求；厂界颗粒物无组织排放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《大气污染物综合排放标准》（GB16297-1996）标准限值要求。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盐酸回收膜分离废水、废水电渗析残液通过管道收集，全部用于聚合氯化铝生产系统；干燥冷凝废水、饱和喷淋液均收集至废水收集系统的废水收集罐中，再进入废水回收系统回收水，回用于既有项目；废水回收膜过滤废水、废磷酸回收残液、废磷酸二氢钾回收膜分离残液、废磷酸二氢钾回收冷凝废水、废己二酸铵回收残液均收集至残液收集池，用氧化钙进行中和、离心机脱泥后，离心机脱泥废水满足《无机化学工业污染物排放标准》（GB31573-2015）中“表1水污染物排放限值”中间接排放限值</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排入</w:t>
      </w:r>
      <w:r>
        <w:rPr>
          <w:rFonts w:hint="eastAsia" w:ascii="Times New Roman" w:hAnsi="Times New Roman" w:eastAsia="仿宋_GB2312" w:cs="Times New Roman"/>
          <w:sz w:val="32"/>
          <w:szCs w:val="32"/>
          <w:lang w:val="en-US" w:eastAsia="zh-CN"/>
        </w:rPr>
        <w:t>经开区</w:t>
      </w:r>
      <w:r>
        <w:rPr>
          <w:rFonts w:hint="default" w:ascii="Times New Roman" w:hAnsi="Times New Roman" w:eastAsia="仿宋_GB2312" w:cs="Times New Roman"/>
          <w:sz w:val="32"/>
          <w:szCs w:val="32"/>
        </w:rPr>
        <w:t>污水处理厂处理；生活污水经既有生活污水管网排入</w:t>
      </w:r>
      <w:r>
        <w:rPr>
          <w:rFonts w:hint="eastAsia" w:ascii="Times New Roman" w:hAnsi="Times New Roman" w:eastAsia="仿宋_GB2312" w:cs="Times New Roman"/>
          <w:sz w:val="32"/>
          <w:szCs w:val="32"/>
          <w:lang w:val="en-US" w:eastAsia="zh-CN"/>
        </w:rPr>
        <w:t>经开区</w:t>
      </w:r>
      <w:r>
        <w:rPr>
          <w:rFonts w:hint="default" w:ascii="Times New Roman" w:hAnsi="Times New Roman" w:eastAsia="仿宋_GB2312" w:cs="Times New Roman"/>
          <w:sz w:val="32"/>
          <w:szCs w:val="32"/>
        </w:rPr>
        <w:t>下水管网，最终进入</w:t>
      </w:r>
      <w:r>
        <w:rPr>
          <w:rFonts w:hint="eastAsia" w:ascii="Times New Roman" w:hAnsi="Times New Roman" w:eastAsia="仿宋_GB2312" w:cs="Times New Roman"/>
          <w:sz w:val="32"/>
          <w:szCs w:val="32"/>
          <w:lang w:val="en-US" w:eastAsia="zh-CN"/>
        </w:rPr>
        <w:t>经开区</w:t>
      </w:r>
      <w:r>
        <w:rPr>
          <w:rFonts w:hint="default" w:ascii="Times New Roman" w:hAnsi="Times New Roman" w:eastAsia="仿宋_GB2312" w:cs="Times New Roman"/>
          <w:sz w:val="32"/>
          <w:szCs w:val="32"/>
        </w:rPr>
        <w:t>污水处理厂处理。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用性能好、噪声发生源强小和生产效率高的设备；合理布局，将高噪声设备布置在远离厂界处；对风机、压滤机等噪声较大的设备设置单独的隔声罩隔声；对空压机采取隔振和消声措施，动力设备采用钢砼隔振基础；厂界噪声排放满足《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液体聚合氯化铝压滤滤渣、喷淋塔废填料、废膜分离组件、离心机污泥暂存于既有项目固体废物暂存库，定期委托新疆金派固废综合处置中心清运处置；生活垃圾集中收集后由</w:t>
      </w:r>
      <w:r>
        <w:rPr>
          <w:rFonts w:hint="default" w:ascii="Times New Roman" w:hAnsi="Times New Roman" w:eastAsia="仿宋_GB2312" w:cs="Times New Roman"/>
          <w:sz w:val="32"/>
          <w:szCs w:val="32"/>
          <w:lang w:val="en-US" w:eastAsia="zh-CN"/>
        </w:rPr>
        <w:t>经开区</w:t>
      </w:r>
      <w:r>
        <w:rPr>
          <w:rFonts w:hint="default" w:ascii="Times New Roman" w:hAnsi="Times New Roman" w:eastAsia="仿宋_GB2312" w:cs="Times New Roman"/>
          <w:sz w:val="32"/>
          <w:szCs w:val="32"/>
        </w:rPr>
        <w:t>环卫部门统一清运至垃圾填埋场处理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及土壤污染防治措施。根据《石油化工工程防渗技术规范》（GB/T50934-2013）要求，将厂区划分为重点污染防治区、一般污染防治区。重点污染防治区包括整个厂房和应急中转池；一般污染防治区包括碱液喷淋塔和固体聚合氯化铝储罐区域。生产运行过程中强化监控手段，定期检查，杜绝厂区内有事故性排放源的存在，减少环境风险，同时严防生产装置、管道的跑、冒、滴、漏，保护项目区地下水资源。</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加强设备维护，建立环保设备运行管理制度，配备专职环保人员；厂内制定应急预案并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五、环境影响报告书经批准后，该项目的性质、规模、地点、生产工艺和环境保护措施发生重大变动，且可能导致环境影响显著变化（特别是不利环境影响加重）的，应当重新报批该项目环境影响评价报告。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六、我局委托师市生态环境保护综合行政执法支队、胡杨河经济技术开发区应急管理和环境保护局组织开展该项目的“三同时”监督检查和日常监督管理工作。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、你单位应在接到本批复后20个工作日内，将批准后的环境影响报告表送师市生态环境保护综合行政执法支队、胡杨河经济技术开发区应急管理和环境保护局，并按规定接受各级生态环境主管部门的监督检查。</w:t>
      </w:r>
    </w:p>
    <w:p>
      <w:pPr>
        <w:pStyle w:val="8"/>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cs="Times New Roman"/>
        </w:rPr>
      </w:pPr>
    </w:p>
    <w:p>
      <w:pPr>
        <w:spacing w:line="440" w:lineRule="exact"/>
        <w:ind w:firstLine="4480" w:firstLineChars="1400"/>
        <w:rPr>
          <w:rFonts w:hint="default" w:ascii="Times New Roman" w:hAnsi="Times New Roman" w:eastAsia="仿宋_GB2312" w:cs="Times New Roman"/>
          <w:bCs/>
          <w:sz w:val="32"/>
          <w:szCs w:val="32"/>
        </w:rPr>
      </w:pPr>
      <w:bookmarkStart w:id="0" w:name="_GoBack"/>
      <w:bookmarkEnd w:id="0"/>
      <w:r>
        <w:rPr>
          <w:rFonts w:hint="default" w:ascii="Times New Roman" w:hAnsi="Times New Roman" w:eastAsia="仿宋_GB2312" w:cs="Times New Roman"/>
          <w:bCs/>
          <w:sz w:val="32"/>
          <w:szCs w:val="32"/>
        </w:rPr>
        <w:t xml:space="preserve">第七师胡杨河市生态环境局 </w:t>
      </w:r>
    </w:p>
    <w:p>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3150" w:firstLineChars="1500"/>
        <w:textAlignment w:val="auto"/>
        <w:rPr>
          <w:rFonts w:hint="eastAsia" w:ascii="仿宋_GB2312" w:eastAsia="仿宋_GB2312"/>
          <w:snapToGrid w:val="0"/>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150" w:firstLineChars="1500"/>
        <w:textAlignment w:val="auto"/>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_GB2312" w:eastAsia="仿宋_GB2312"/>
          <w:snapToGrid w:val="0"/>
          <w:kern w:val="0"/>
          <w:szCs w:val="32"/>
        </w:rPr>
      </w:pPr>
    </w:p>
    <w:p>
      <w:pPr>
        <w:pStyle w:val="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_GB2312" w:eastAsia="仿宋_GB2312"/>
          <w:snapToGrid w:val="0"/>
          <w:kern w:val="0"/>
          <w:szCs w:val="32"/>
        </w:rPr>
      </w:pPr>
    </w:p>
    <w:p>
      <w:pPr>
        <w:pStyle w:val="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仿宋_GB2312" w:eastAsia="仿宋_GB2312"/>
          <w:snapToGrid w:val="0"/>
          <w:kern w:val="0"/>
          <w:szCs w:val="32"/>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snapToGrid w:val="0"/>
          <w:kern w:val="0"/>
          <w:szCs w:val="32"/>
        </w:rPr>
      </w:pPr>
    </w:p>
    <w:p>
      <w:pPr>
        <w:spacing w:line="440" w:lineRule="exact"/>
        <w:rPr>
          <w:rFonts w:hint="eastAsia" w:ascii="仿宋_GB2312" w:eastAsia="仿宋_GB2312"/>
          <w:snapToGrid w:val="0"/>
          <w:kern w:val="0"/>
          <w:szCs w:val="32"/>
        </w:rPr>
      </w:pPr>
    </w:p>
    <w:p>
      <w:pPr>
        <w:spacing w:line="440" w:lineRule="exact"/>
        <w:ind w:firstLine="3150" w:firstLineChars="1500"/>
        <w:rPr>
          <w:rFonts w:hint="eastAsia" w:ascii="仿宋_GB2312" w:eastAsia="仿宋_GB2312"/>
          <w:snapToGrid w:val="0"/>
          <w:kern w:val="0"/>
          <w:szCs w:val="32"/>
        </w:rPr>
      </w:pP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抄送：师市生态环境保护综合行政执法支队，胡杨河经济技术开发区应急管理和环境保护局。</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年1月</w:t>
      </w:r>
      <w:r>
        <w:rPr>
          <w:rFonts w:hint="eastAsia" w:ascii="仿宋_GB2312" w:hAnsi="华文仿宋" w:eastAsia="仿宋_GB2312" w:cs="仿宋_GB2312"/>
          <w:sz w:val="28"/>
          <w:szCs w:val="28"/>
          <w:lang w:val="en-US" w:eastAsia="zh-CN"/>
        </w:rPr>
        <w:t>9</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75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5B6A06"/>
    <w:rsid w:val="12D90460"/>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44C07"/>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36637B7"/>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47E6BF6"/>
    <w:rsid w:val="453019EC"/>
    <w:rsid w:val="45661BBB"/>
    <w:rsid w:val="45BB0A45"/>
    <w:rsid w:val="45EC2C50"/>
    <w:rsid w:val="46B64BCA"/>
    <w:rsid w:val="46F5281C"/>
    <w:rsid w:val="47673D21"/>
    <w:rsid w:val="47A610D1"/>
    <w:rsid w:val="48303521"/>
    <w:rsid w:val="48874A0F"/>
    <w:rsid w:val="48B91E5D"/>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362156F"/>
    <w:rsid w:val="539B67A3"/>
    <w:rsid w:val="53B41E2C"/>
    <w:rsid w:val="54E04A09"/>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B6DC4"/>
    <w:rsid w:val="71DE0D44"/>
    <w:rsid w:val="71EB593E"/>
    <w:rsid w:val="731256D6"/>
    <w:rsid w:val="73451021"/>
    <w:rsid w:val="735262F3"/>
    <w:rsid w:val="74225AD5"/>
    <w:rsid w:val="742D744A"/>
    <w:rsid w:val="748627F8"/>
    <w:rsid w:val="74AF20F3"/>
    <w:rsid w:val="74D70B60"/>
    <w:rsid w:val="75017EC6"/>
    <w:rsid w:val="751E7A5A"/>
    <w:rsid w:val="753F107B"/>
    <w:rsid w:val="755C2A4B"/>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ind w:left="0" w:leftChars="0" w:firstLine="420"/>
    </w:pPr>
    <w:rPr>
      <w:rFonts w:ascii="Times New Roman" w:hAnsi="Times New Roman"/>
      <w:szCs w:val="22"/>
    </w:rPr>
  </w:style>
  <w:style w:type="paragraph" w:customStyle="1" w:styleId="3">
    <w:name w:val="Body Text Indent1"/>
    <w:basedOn w:val="1"/>
    <w:autoRedefine/>
    <w:qFormat/>
    <w:uiPriority w:val="0"/>
    <w:pPr>
      <w:ind w:left="420" w:leftChars="200"/>
    </w:pPr>
  </w:style>
  <w:style w:type="paragraph" w:styleId="5">
    <w:name w:val="Normal Indent"/>
    <w:basedOn w:val="1"/>
    <w:autoRedefine/>
    <w:semiHidden/>
    <w:unhideWhenUsed/>
    <w:qFormat/>
    <w:uiPriority w:val="99"/>
    <w:pPr>
      <w:ind w:firstLine="420" w:firstLineChars="200"/>
    </w:pPr>
    <w:rPr>
      <w:sz w:val="32"/>
    </w:rPr>
  </w:style>
  <w:style w:type="paragraph" w:styleId="6">
    <w:name w:val="index 5"/>
    <w:basedOn w:val="1"/>
    <w:next w:val="1"/>
    <w:autoRedefine/>
    <w:qFormat/>
    <w:uiPriority w:val="0"/>
    <w:pPr>
      <w:ind w:left="800" w:leftChars="800"/>
    </w:p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rPr>
      <w:rFonts w:eastAsia="华文中宋"/>
      <w:b/>
      <w:bCs/>
      <w:w w:val="90"/>
      <w:sz w:val="44"/>
    </w:rPr>
  </w:style>
  <w:style w:type="paragraph" w:styleId="9">
    <w:name w:val="Body Text Indent"/>
    <w:basedOn w:val="1"/>
    <w:link w:val="25"/>
    <w:autoRedefine/>
    <w:qFormat/>
    <w:uiPriority w:val="0"/>
    <w:pPr>
      <w:ind w:firstLine="752" w:firstLineChars="235"/>
    </w:pPr>
    <w:rPr>
      <w:sz w:val="32"/>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link w:val="2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List"/>
    <w:basedOn w:val="1"/>
    <w:next w:val="1"/>
    <w:autoRedefine/>
    <w:qFormat/>
    <w:uiPriority w:val="0"/>
    <w:pPr>
      <w:ind w:left="200" w:hanging="200" w:hangingChars="200"/>
    </w:pPr>
  </w:style>
  <w:style w:type="paragraph" w:styleId="14">
    <w:name w:val="footnote text"/>
    <w:basedOn w:val="1"/>
    <w:next w:val="6"/>
    <w:autoRedefine/>
    <w:unhideWhenUsed/>
    <w:qFormat/>
    <w:uiPriority w:val="99"/>
    <w:pPr>
      <w:snapToGrid w:val="0"/>
      <w:jc w:val="left"/>
    </w:pPr>
    <w:rPr>
      <w:rFonts w:ascii="Calibri" w:hAnsi="Calibri" w:eastAsia="仿宋" w:cs="Times New Roman"/>
      <w:sz w:val="18"/>
      <w:szCs w:val="18"/>
    </w:rPr>
  </w:style>
  <w:style w:type="paragraph" w:styleId="15">
    <w:name w:val="Body Text 2"/>
    <w:basedOn w:val="1"/>
    <w:autoRedefine/>
    <w:unhideWhenUsed/>
    <w:qFormat/>
    <w:uiPriority w:val="99"/>
    <w:pPr>
      <w:spacing w:after="120" w:line="480" w:lineRule="auto"/>
    </w:pPr>
  </w:style>
  <w:style w:type="paragraph" w:styleId="16">
    <w:name w:val="Normal (Web)"/>
    <w:basedOn w:val="1"/>
    <w:autoRedefine/>
    <w:semiHidden/>
    <w:unhideWhenUsed/>
    <w:qFormat/>
    <w:uiPriority w:val="99"/>
    <w:pPr>
      <w:spacing w:beforeAutospacing="1" w:afterAutospacing="1"/>
      <w:jc w:val="left"/>
    </w:pPr>
    <w:rPr>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Default"/>
    <w:basedOn w:val="22"/>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
    <w:name w:val="纯文本1"/>
    <w:basedOn w:val="1"/>
    <w:autoRedefine/>
    <w:qFormat/>
    <w:uiPriority w:val="0"/>
    <w:pPr>
      <w:adjustRightInd w:val="0"/>
      <w:textAlignment w:val="baseline"/>
    </w:pPr>
    <w:rPr>
      <w:rFonts w:ascii="宋体" w:hAnsi="Courier New"/>
      <w:szCs w:val="20"/>
    </w:rPr>
  </w:style>
  <w:style w:type="character" w:customStyle="1" w:styleId="23">
    <w:name w:val="页眉 字符"/>
    <w:basedOn w:val="19"/>
    <w:link w:val="12"/>
    <w:autoRedefine/>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正文文本缩进 字符"/>
    <w:basedOn w:val="19"/>
    <w:link w:val="9"/>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1029</TotalTime>
  <ScaleCrop>false</ScaleCrop>
  <LinksUpToDate>false</LinksUpToDate>
  <CharactersWithSpaces>2262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2024-01-08T09:33:21Z</cp:lastPrinted>
  <dcterms:modified xsi:type="dcterms:W3CDTF">2024-01-09T02:31:05Z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04F228C701D0462BA19BB456D5DA8A9A_13</vt:lpwstr>
  </property>
</Properties>
</file>