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59</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于排604-平14等9口井“探转开”项目</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lang w:val="zh-CN"/>
        </w:rPr>
        <w:t>环境影响报告表</w:t>
      </w:r>
      <w:r>
        <w:rPr>
          <w:rFonts w:hint="eastAsia" w:ascii="方正小标宋简体" w:hAnsi="方正小标宋简体" w:eastAsia="方正小标宋简体" w:cs="方正小标宋简体"/>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你单位《关于审批排604-平14等9口井“探转开”项目环境影响报告表的请示》收悉。经研究，批复如下：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color w:val="auto"/>
          <w:szCs w:val="32"/>
          <w:highlight w:val="none"/>
        </w:rPr>
        <w:t>一、该项目位于第七师128团9连东北侧约1.1千米处</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bCs/>
          <w:color w:val="auto"/>
          <w:szCs w:val="32"/>
          <w:lang w:val="en-US" w:eastAsia="zh-CN"/>
        </w:rPr>
        <w:t>项目区中心地理坐标为：东经84°38′26.930″，北纬45°3′2.770″</w:t>
      </w:r>
      <w:r>
        <w:rPr>
          <w:rFonts w:hint="default" w:ascii="Times New Roman" w:hAnsi="Times New Roman" w:eastAsia="仿宋_GB2312" w:cs="Times New Roman"/>
          <w:color w:val="auto"/>
          <w:szCs w:val="32"/>
          <w:highlight w:val="none"/>
        </w:rPr>
        <w:t>。项目部署钻井9口（已完成钻井工程）。项目建设采油、集输、注汽工程相关设施</w:t>
      </w:r>
      <w:r>
        <w:rPr>
          <w:rFonts w:hint="eastAsia" w:eastAsia="仿宋_GB2312" w:cs="Times New Roman"/>
          <w:color w:val="auto"/>
          <w:szCs w:val="32"/>
          <w:highlight w:val="none"/>
          <w:lang w:eastAsia="zh-CN"/>
        </w:rPr>
        <w:t>。</w:t>
      </w:r>
      <w:r>
        <w:rPr>
          <w:rFonts w:hint="default" w:ascii="Times New Roman" w:hAnsi="Times New Roman" w:eastAsia="仿宋_GB2312" w:cs="Times New Roman"/>
          <w:bCs/>
          <w:szCs w:val="32"/>
        </w:rPr>
        <w:t>项目为油气</w:t>
      </w:r>
      <w:r>
        <w:rPr>
          <w:rFonts w:hint="eastAsia" w:ascii="Times New Roman" w:hAnsi="Times New Roman" w:eastAsia="仿宋_GB2312" w:cs="Times New Roman"/>
          <w:bCs/>
          <w:szCs w:val="32"/>
          <w:lang w:val="en-US" w:eastAsia="zh-CN"/>
        </w:rPr>
        <w:t>开采</w:t>
      </w:r>
      <w:r>
        <w:rPr>
          <w:rFonts w:hint="default" w:ascii="Times New Roman" w:hAnsi="Times New Roman" w:eastAsia="仿宋_GB2312" w:cs="Times New Roman"/>
          <w:bCs/>
          <w:szCs w:val="32"/>
        </w:rPr>
        <w:t>工程</w:t>
      </w:r>
      <w:r>
        <w:rPr>
          <w:rFonts w:hint="default" w:ascii="Times New Roman" w:hAnsi="Times New Roman" w:eastAsia="仿宋_GB2312" w:cs="Times New Roman"/>
          <w:bCs/>
          <w:szCs w:val="32"/>
          <w:u w:val="none"/>
        </w:rPr>
        <w:t>，分</w:t>
      </w:r>
      <w:r>
        <w:rPr>
          <w:rFonts w:hint="eastAsia" w:ascii="Times New Roman" w:hAnsi="Times New Roman" w:eastAsia="仿宋_GB2312" w:cs="Times New Roman"/>
          <w:bCs/>
          <w:szCs w:val="32"/>
          <w:u w:val="none"/>
          <w:lang w:val="en-US" w:eastAsia="zh-CN"/>
        </w:rPr>
        <w:t>采油</w:t>
      </w:r>
      <w:r>
        <w:rPr>
          <w:rFonts w:hint="default" w:ascii="Times New Roman" w:hAnsi="Times New Roman" w:eastAsia="仿宋_GB2312" w:cs="Times New Roman"/>
          <w:bCs/>
          <w:szCs w:val="32"/>
          <w:u w:val="none"/>
          <w:lang w:val="en-US" w:eastAsia="zh-CN"/>
        </w:rPr>
        <w:t>工程、</w:t>
      </w:r>
      <w:r>
        <w:rPr>
          <w:rFonts w:hint="eastAsia" w:ascii="Times New Roman" w:hAnsi="Times New Roman" w:eastAsia="仿宋_GB2312" w:cs="Times New Roman"/>
          <w:bCs/>
          <w:szCs w:val="32"/>
          <w:u w:val="none"/>
          <w:lang w:val="en-US" w:eastAsia="zh-CN"/>
        </w:rPr>
        <w:t>油气集输及</w:t>
      </w:r>
      <w:r>
        <w:rPr>
          <w:rFonts w:hint="default" w:ascii="Times New Roman" w:hAnsi="Times New Roman" w:eastAsia="仿宋_GB2312" w:cs="Times New Roman"/>
          <w:bCs/>
          <w:szCs w:val="32"/>
          <w:u w:val="none"/>
          <w:lang w:val="en-US" w:eastAsia="zh-CN"/>
        </w:rPr>
        <w:t>油气水处理</w:t>
      </w:r>
      <w:r>
        <w:rPr>
          <w:rFonts w:hint="eastAsia" w:ascii="Times New Roman" w:hAnsi="Times New Roman" w:eastAsia="仿宋_GB2312" w:cs="Times New Roman"/>
          <w:bCs/>
          <w:szCs w:val="32"/>
          <w:u w:val="none"/>
          <w:lang w:val="en-US" w:eastAsia="zh-CN"/>
        </w:rPr>
        <w:t>、</w:t>
      </w:r>
      <w:r>
        <w:rPr>
          <w:rFonts w:hint="default" w:ascii="Times New Roman" w:hAnsi="Times New Roman" w:eastAsia="仿宋_GB2312" w:cs="Times New Roman"/>
          <w:bCs/>
          <w:szCs w:val="32"/>
          <w:u w:val="none"/>
          <w:lang w:val="en-US" w:eastAsia="zh-CN"/>
        </w:rPr>
        <w:t>井下作业</w:t>
      </w:r>
      <w:r>
        <w:rPr>
          <w:rFonts w:hint="eastAsia" w:ascii="Times New Roman" w:hAnsi="Times New Roman" w:eastAsia="仿宋_GB2312" w:cs="Times New Roman"/>
          <w:bCs/>
          <w:szCs w:val="32"/>
          <w:u w:val="none"/>
          <w:lang w:val="en-US" w:eastAsia="zh-CN"/>
        </w:rPr>
        <w:t>、</w:t>
      </w:r>
      <w:r>
        <w:rPr>
          <w:rFonts w:hint="eastAsia" w:ascii="Times New Roman" w:hAnsi="Times New Roman" w:eastAsia="仿宋_GB2312" w:cs="Times New Roman"/>
          <w:bCs/>
          <w:szCs w:val="32"/>
          <w:lang w:val="en-US" w:eastAsia="zh-CN"/>
        </w:rPr>
        <w:t>注汽工程</w:t>
      </w:r>
      <w:r>
        <w:rPr>
          <w:rFonts w:hint="default" w:ascii="Times New Roman" w:hAnsi="Times New Roman" w:eastAsia="仿宋_GB2312" w:cs="Times New Roman"/>
          <w:bCs/>
          <w:szCs w:val="32"/>
          <w:lang w:val="en-US" w:eastAsia="zh-CN"/>
        </w:rPr>
        <w:t>四个阶段</w:t>
      </w:r>
      <w:r>
        <w:rPr>
          <w:rFonts w:hint="default" w:ascii="Times New Roman" w:hAnsi="Times New Roman" w:eastAsia="仿宋_GB2312" w:cs="Times New Roman"/>
          <w:color w:val="auto"/>
          <w:spacing w:val="0"/>
          <w:w w:val="100"/>
          <w:position w:val="0"/>
          <w:highlight w:val="none"/>
          <w:lang w:val="en-US" w:eastAsia="zh-CN"/>
        </w:rPr>
        <w:t>。项目总投资1540.41万元，其中环保投资170.5万元，占总投资的11.07%</w:t>
      </w:r>
      <w:r>
        <w:rPr>
          <w:rFonts w:hint="default" w:ascii="Times New Roman" w:hAnsi="Times New Roman" w:eastAsia="仿宋_GB2312" w:cs="Times New Roman"/>
          <w:bCs/>
          <w:color w:val="auto"/>
          <w:szCs w:val="32"/>
          <w:lang w:val="en-US" w:eastAsia="zh-CN"/>
        </w:rPr>
        <w:t>。</w:t>
      </w:r>
    </w:p>
    <w:p>
      <w:p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napToGrid w:val="0"/>
          <w:kern w:val="0"/>
          <w:szCs w:val="32"/>
        </w:rPr>
        <w:t>项目实施后会对环境造成一定不利影响，</w:t>
      </w:r>
      <w:r>
        <w:rPr>
          <w:rFonts w:hint="default" w:ascii="Times New Roman" w:hAnsi="Times New Roman" w:eastAsia="仿宋_GB2312" w:cs="Times New Roman"/>
          <w:szCs w:val="32"/>
        </w:rPr>
        <w:t>必须严格落实各项污染防治和生态环境保护措施，采取严格的环境风险防范措施、环境管理制度、环境监控和应急措施。综合考虑，</w:t>
      </w:r>
      <w:r>
        <w:rPr>
          <w:rFonts w:hint="default" w:ascii="Times New Roman" w:hAnsi="Times New Roman" w:eastAsia="仿宋_GB2312" w:cs="Times New Roman"/>
          <w:kern w:val="0"/>
          <w:szCs w:val="32"/>
        </w:rPr>
        <w:t>我局原则同意该项目</w:t>
      </w:r>
      <w:r>
        <w:rPr>
          <w:rFonts w:hint="default" w:ascii="Times New Roman" w:hAnsi="Times New Roman" w:eastAsia="仿宋_GB2312" w:cs="Times New Roman"/>
          <w:szCs w:val="32"/>
        </w:rPr>
        <w:t>环境影响报告</w:t>
      </w:r>
      <w:r>
        <w:rPr>
          <w:rFonts w:hint="default" w:ascii="Times New Roman" w:hAnsi="Times New Roman" w:eastAsia="仿宋_GB2312" w:cs="Times New Roman"/>
          <w:szCs w:val="32"/>
          <w:lang w:val="en-US" w:eastAsia="zh-CN"/>
        </w:rPr>
        <w:t>表</w:t>
      </w:r>
      <w:r>
        <w:rPr>
          <w:rFonts w:hint="default" w:ascii="Times New Roman" w:hAnsi="Times New Roman" w:eastAsia="仿宋_GB2312" w:cs="Times New Roman"/>
          <w:kern w:val="0"/>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bookmarkStart w:id="0" w:name="_GoBack"/>
      <w:bookmarkEnd w:id="0"/>
    </w:p>
    <w:p>
      <w:pPr>
        <w:spacing w:line="560" w:lineRule="exact"/>
        <w:ind w:firstLine="632" w:firstLineChars="200"/>
        <w:outlineLvl w:val="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（一）落实大气污染防治措施。锅炉烟气采用低氮燃烧技术，由8米高的排气筒排放。二氧化硫、颗粒物排放</w:t>
      </w:r>
      <w:r>
        <w:rPr>
          <w:rFonts w:hint="eastAsia" w:eastAsia="仿宋_GB2312" w:cs="Times New Roman"/>
          <w:kern w:val="0"/>
          <w:szCs w:val="32"/>
          <w:lang w:val="en-US" w:eastAsia="zh-CN"/>
        </w:rPr>
        <w:t>执行</w:t>
      </w:r>
      <w:r>
        <w:rPr>
          <w:rFonts w:hint="default" w:ascii="Times New Roman" w:hAnsi="Times New Roman" w:eastAsia="仿宋_GB2312" w:cs="Times New Roman"/>
          <w:kern w:val="0"/>
          <w:szCs w:val="32"/>
        </w:rPr>
        <w:t>《锅炉大气污染物排放标准》（GB13271-2014）表3大气污染物特别排放限值要求，氮氧化物</w:t>
      </w:r>
      <w:r>
        <w:rPr>
          <w:rFonts w:hint="eastAsia" w:eastAsia="仿宋_GB2312" w:cs="Times New Roman"/>
          <w:kern w:val="0"/>
          <w:szCs w:val="32"/>
          <w:lang w:val="en-US" w:eastAsia="zh-CN"/>
        </w:rPr>
        <w:t>执行</w:t>
      </w:r>
      <w:r>
        <w:rPr>
          <w:rFonts w:hint="default" w:ascii="Times New Roman" w:hAnsi="Times New Roman" w:eastAsia="仿宋_GB2312" w:cs="Times New Roman"/>
          <w:kern w:val="0"/>
          <w:szCs w:val="32"/>
        </w:rPr>
        <w:t>《关于开展自治区2022年度夏秋季大气污染物防治“冬病夏治”工作的通知》中氮氧化物的限值要求</w:t>
      </w:r>
      <w:r>
        <w:rPr>
          <w:rFonts w:hint="default" w:ascii="Times New Roman" w:hAnsi="Times New Roman" w:eastAsia="仿宋_GB2312" w:cs="Times New Roman"/>
          <w:bCs/>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szCs w:val="32"/>
        </w:rPr>
        <w:t>（二）落实水污染防治措施。井下作业废液由罐车拉运至春风一号联合站采出水处理系统处理，达到《碎屑岩油藏注水水质指标技术要求及分析方法》（SY/T 5329-2022）中推荐水质标准后回注地层，无外排；采出水输至春风一号联合站进行分离处理，分离出的采出水经站内的采出水处理系统处理达到《碎屑岩油藏注水水质指标技术要求及分析方法》（SY/T 5329-2022）中推荐水质标准后回注地层和生活污水排入环保厕所</w:t>
      </w:r>
      <w:r>
        <w:rPr>
          <w:rFonts w:hint="default" w:ascii="Times New Roman" w:hAnsi="Times New Roman" w:eastAsia="仿宋_GB2312" w:cs="Times New Roman"/>
          <w:bCs/>
          <w:color w:val="auto"/>
          <w:szCs w:val="32"/>
          <w:highlight w:val="none"/>
        </w:rPr>
        <w:t>。</w:t>
      </w:r>
    </w:p>
    <w:p>
      <w:pPr>
        <w:spacing w:line="560" w:lineRule="exact"/>
        <w:ind w:firstLine="632" w:firstLineChars="200"/>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（三）</w:t>
      </w:r>
      <w:r>
        <w:rPr>
          <w:rFonts w:hint="default" w:ascii="Times New Roman" w:hAnsi="Times New Roman" w:eastAsia="仿宋_GB2312" w:cs="Times New Roman"/>
          <w:bCs/>
          <w:color w:val="auto"/>
          <w:szCs w:val="32"/>
          <w:highlight w:val="none"/>
        </w:rPr>
        <w:t>严格落实噪声污染防治措施。</w:t>
      </w:r>
      <w:r>
        <w:rPr>
          <w:rFonts w:hint="default" w:ascii="Times New Roman" w:hAnsi="Times New Roman" w:eastAsia="仿宋_GB2312" w:cs="Times New Roman"/>
          <w:szCs w:val="32"/>
        </w:rPr>
        <w:t>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《工业企业厂界环境噪声排放标准》（GB12348-2008）中2类标准要求</w:t>
      </w:r>
      <w:r>
        <w:rPr>
          <w:rFonts w:hint="eastAsia" w:eastAsia="仿宋_GB2312" w:cs="Times New Roman"/>
          <w:szCs w:val="32"/>
          <w:lang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）固体废物实施分类管理并妥善处理处置。废油泥砂</w:t>
      </w:r>
      <w:r>
        <w:rPr>
          <w:rFonts w:hint="eastAsia" w:ascii="仿宋_GB2312" w:hAnsi="仿宋_GB2312" w:eastAsia="仿宋_GB2312" w:cs="仿宋_GB2312"/>
          <w:bCs/>
          <w:sz w:val="32"/>
          <w:szCs w:val="32"/>
          <w:lang w:val="en-US" w:eastAsia="zh-CN"/>
        </w:rPr>
        <w:t>属于危险废物，</w:t>
      </w:r>
      <w:r>
        <w:rPr>
          <w:rFonts w:hint="default" w:ascii="Times New Roman" w:hAnsi="Times New Roman" w:eastAsia="仿宋_GB2312" w:cs="Times New Roman"/>
          <w:bCs/>
          <w:color w:val="auto"/>
          <w:kern w:val="0"/>
          <w:sz w:val="32"/>
          <w:szCs w:val="32"/>
          <w:highlight w:val="none"/>
          <w:lang w:val="en-US" w:eastAsia="zh-CN" w:bidi="ar-SA"/>
        </w:rPr>
        <w:t>委托有危险废物处置资质的单位进行处置</w:t>
      </w:r>
      <w:r>
        <w:rPr>
          <w:rFonts w:hint="eastAsia" w:ascii="Times New Roman" w:hAnsi="Times New Roman" w:eastAsia="仿宋_GB2312" w:cs="Times New Roman"/>
          <w:bCs/>
          <w:color w:val="auto"/>
          <w:kern w:val="0"/>
          <w:sz w:val="32"/>
          <w:szCs w:val="32"/>
          <w:highlight w:val="none"/>
          <w:lang w:val="en-US" w:eastAsia="zh-CN" w:bidi="ar-SA"/>
        </w:rPr>
        <w:t>，</w:t>
      </w:r>
      <w:r>
        <w:rPr>
          <w:rFonts w:hint="eastAsia" w:ascii="Times New Roman" w:hAnsi="Times New Roman" w:eastAsia="仿宋_GB2312" w:cs="Times New Roman"/>
          <w:bCs/>
          <w:szCs w:val="32"/>
          <w:highlight w:val="none"/>
          <w:lang w:val="en-US" w:eastAsia="zh-CN"/>
        </w:rPr>
        <w:t>不在厂区暂存</w:t>
      </w:r>
      <w:r>
        <w:rPr>
          <w:rFonts w:hint="default" w:ascii="Times New Roman" w:hAnsi="Times New Roman" w:eastAsia="仿宋_GB2312" w:cs="Times New Roman"/>
          <w:bCs/>
          <w:color w:val="auto"/>
          <w:kern w:val="0"/>
          <w:sz w:val="32"/>
          <w:szCs w:val="32"/>
          <w:highlight w:val="none"/>
          <w:lang w:val="en-US" w:eastAsia="zh-CN" w:bidi="ar-SA"/>
        </w:rPr>
        <w:t>。生活垃圾集中收集至厂内生活垃圾收集箱后，交由环卫部门统一清运处置。</w:t>
      </w:r>
    </w:p>
    <w:p>
      <w:pPr>
        <w:spacing w:line="56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bCs/>
          <w:szCs w:val="32"/>
        </w:rPr>
        <w:t>（五）严格落实地下水污染防治措施。根据《石油化工工程防渗技术规范》（GB/T50934-2013）的要求，将厂区划分为重点污染防治区、一般污染防治区、非污染防治区。地下管线、作业期间井口四周区域为重点污染防治区，重点污染防治区要求为“等效黏土防渗层Mb≥6.0米，K≤1×10-7厘米/秒”；半固定式注汽站、防渗环保厕为一般污染防治区，要求为“等效黏土防渗层Mb≥1.5米，K≤1×10-7厘米/秒”；其余部位为简单防渗区，采取一般性的地面硬化措施</w:t>
      </w:r>
      <w:r>
        <w:rPr>
          <w:rFonts w:hint="eastAsia" w:eastAsia="仿宋_GB2312" w:cs="Times New Roman"/>
          <w:bCs/>
          <w:szCs w:val="32"/>
          <w:lang w:eastAsia="zh-CN"/>
        </w:rPr>
        <w:t>。</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bCs/>
          <w:color w:val="000000"/>
          <w:szCs w:val="32"/>
        </w:rPr>
        <w:t>（</w:t>
      </w:r>
      <w:r>
        <w:rPr>
          <w:rFonts w:hint="eastAsia" w:eastAsia="仿宋_GB2312" w:cs="Times New Roman"/>
          <w:bCs/>
          <w:color w:val="000000"/>
          <w:szCs w:val="32"/>
          <w:lang w:val="en-US" w:eastAsia="zh-CN"/>
        </w:rPr>
        <w:t>六</w:t>
      </w:r>
      <w:r>
        <w:rPr>
          <w:rFonts w:hint="default" w:ascii="Times New Roman" w:hAnsi="Times New Roman" w:eastAsia="仿宋_GB2312" w:cs="Times New Roman"/>
          <w:bCs/>
          <w:color w:val="000000"/>
          <w:szCs w:val="32"/>
        </w:rPr>
        <w:t>）</w:t>
      </w:r>
      <w:r>
        <w:rPr>
          <w:rFonts w:hint="default" w:ascii="Times New Roman" w:hAnsi="Times New Roman" w:eastAsia="仿宋_GB2312" w:cs="Times New Roman"/>
          <w:szCs w:val="32"/>
        </w:rPr>
        <w:t>强化各项环境风险防范措施，有效防范环境风险。采用先进、成熟、可靠的工艺技术和设备，严防“跑、冒、滴、漏”，实现全过程密闭化生产。</w:t>
      </w:r>
      <w:r>
        <w:rPr>
          <w:rFonts w:hint="default" w:ascii="Times New Roman" w:hAnsi="Times New Roman" w:eastAsia="仿宋_GB2312" w:cs="Times New Roman"/>
          <w:bCs/>
          <w:szCs w:val="32"/>
        </w:rPr>
        <w:t>定期对井控装置进行维护、保养、检查和试压，确保井控装置正常使用。定期开展环境风险应急培训和演练，落实各项应急</w:t>
      </w:r>
      <w:r>
        <w:rPr>
          <w:rFonts w:hint="default" w:ascii="Times New Roman" w:hAnsi="Times New Roman" w:eastAsia="仿宋_GB2312" w:cs="Times New Roman"/>
          <w:kern w:val="0"/>
          <w:szCs w:val="32"/>
        </w:rPr>
        <w:t>环境管理措施以及各项风险防范措施，确保风险事故得到有效控制。</w:t>
      </w:r>
      <w:r>
        <w:rPr>
          <w:rFonts w:hint="default" w:ascii="Times New Roman" w:hAnsi="Times New Roman" w:eastAsia="仿宋_GB2312" w:cs="Times New Roman"/>
          <w:szCs w:val="32"/>
        </w:rPr>
        <w:t>制定突发环境事件应急预案，并报</w:t>
      </w:r>
      <w:r>
        <w:rPr>
          <w:rFonts w:hint="default" w:ascii="Times New Roman" w:hAnsi="Times New Roman" w:eastAsia="仿宋_GB2312" w:cs="Times New Roman"/>
          <w:szCs w:val="32"/>
          <w:lang w:val="en-US" w:eastAsia="zh-CN"/>
        </w:rPr>
        <w:t>师市生态环境局</w:t>
      </w:r>
      <w:r>
        <w:rPr>
          <w:rFonts w:hint="default" w:ascii="Times New Roman" w:hAnsi="Times New Roman" w:eastAsia="仿宋_GB2312" w:cs="Times New Roman"/>
          <w:szCs w:val="32"/>
        </w:rPr>
        <w:t>备案。</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eastAsia" w:ascii="Times New Roman" w:hAnsi="Times New Roman" w:eastAsia="仿宋_GB2312" w:cs="Times New Roman"/>
          <w:bCs/>
          <w:sz w:val="32"/>
          <w:szCs w:val="32"/>
          <w:lang w:eastAsia="zh-CN"/>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七</w:t>
      </w:r>
      <w:r>
        <w:rPr>
          <w:rFonts w:hint="eastAsia" w:eastAsia="仿宋_GB2312" w:cs="Times New Roman"/>
          <w:bCs/>
          <w:sz w:val="32"/>
          <w:szCs w:val="32"/>
          <w:lang w:eastAsia="zh-CN"/>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）在工程运营过程中，应建立畅通的公众参与平台，加强宣传与沟通工作，及时解决公众提出的合理环境诉求。定期发布企业环境信息，并主动接受社会监督</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3"/>
        <w:keepNext w:val="0"/>
        <w:keepLines w:val="0"/>
        <w:pageBreakBefore w:val="0"/>
        <w:widowControl w:val="0"/>
        <w:kinsoku/>
        <w:wordWrap/>
        <w:overflowPunct/>
        <w:topLinePunct w:val="0"/>
        <w:bidi w:val="0"/>
        <w:snapToGrid/>
        <w:spacing w:line="560" w:lineRule="exact"/>
        <w:ind w:firstLine="632"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五、环境影响报告</w:t>
      </w:r>
      <w:r>
        <w:rPr>
          <w:rFonts w:hint="eastAsia" w:ascii="Times New Roman" w:hAnsi="Times New Roman" w:eastAsia="仿宋_GB2312" w:cs="Times New Roman"/>
          <w:b w:val="0"/>
          <w:bCs w:val="0"/>
          <w:color w:val="auto"/>
          <w:kern w:val="2"/>
          <w:sz w:val="32"/>
          <w:szCs w:val="32"/>
          <w:lang w:val="en-US" w:eastAsia="zh-CN" w:bidi="ar-SA"/>
        </w:rPr>
        <w:t>书</w:t>
      </w:r>
      <w:r>
        <w:rPr>
          <w:rFonts w:hint="default" w:ascii="Times New Roman" w:hAnsi="Times New Roman" w:eastAsia="仿宋_GB2312" w:cs="Times New Roman"/>
          <w:b w:val="0"/>
          <w:bCs w:val="0"/>
          <w:color w:val="auto"/>
          <w:kern w:val="2"/>
          <w:sz w:val="32"/>
          <w:szCs w:val="32"/>
          <w:lang w:val="en-US" w:eastAsia="zh-CN" w:bidi="ar-SA"/>
        </w:rPr>
        <w:t>经批准后，该项目的性质、规模、地点、生产工艺和环境保护措施发生重大变动，且可能导致环境影响显著变化（特别是不利环境影响加重）的，应当重新报批该项目环境影响评价报告。</w:t>
      </w:r>
    </w:p>
    <w:p>
      <w:pPr>
        <w:pStyle w:val="3"/>
        <w:keepNext w:val="0"/>
        <w:keepLines w:val="0"/>
        <w:pageBreakBefore w:val="0"/>
        <w:widowControl w:val="0"/>
        <w:kinsoku/>
        <w:wordWrap/>
        <w:overflowPunct/>
        <w:topLinePunct w:val="0"/>
        <w:bidi w:val="0"/>
        <w:snapToGrid/>
        <w:spacing w:line="560" w:lineRule="exact"/>
        <w:ind w:firstLine="632"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bidi w:val="0"/>
        <w:snapToGrid/>
        <w:spacing w:line="56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七、你单位应按规定接受各级生态环境主管部门的监督检查，我局委托师市生态环境保护综合行政执法支队、1</w:t>
      </w:r>
      <w:r>
        <w:rPr>
          <w:rFonts w:hint="eastAsia" w:eastAsia="仿宋_GB2312" w:cs="Times New Roman"/>
          <w:bCs/>
          <w:sz w:val="32"/>
          <w:szCs w:val="32"/>
          <w:lang w:val="en-US" w:eastAsia="zh-CN"/>
        </w:rPr>
        <w:t>28</w:t>
      </w:r>
      <w:r>
        <w:rPr>
          <w:rFonts w:hint="default" w:ascii="Times New Roman" w:hAnsi="Times New Roman" w:eastAsia="仿宋_GB2312" w:cs="Times New Roman"/>
          <w:bCs/>
          <w:sz w:val="32"/>
          <w:szCs w:val="32"/>
        </w:rPr>
        <w:t>团经济发展办公室组织开展该项目的“三同时”监督检查和日常监督管理工作。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pStyle w:val="15"/>
        <w:ind w:firstLine="4740" w:firstLineChars="1500"/>
        <w:rPr>
          <w:rFonts w:hint="default" w:ascii="Times New Roman" w:hAnsi="Times New Roman" w:eastAsia="仿宋_GB2312" w:cs="Times New Roman"/>
          <w:snapToGrid w:val="0"/>
          <w:color w:val="FF0000"/>
          <w:kern w:val="0"/>
          <w:szCs w:val="32"/>
          <w:highlight w:val="none"/>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28</w:t>
      </w:r>
      <w:r>
        <w:rPr>
          <w:rFonts w:hint="default" w:ascii="Times New Roman" w:hAnsi="Times New Roman" w:eastAsia="仿宋_GB2312" w:cs="Times New Roman"/>
          <w:bCs/>
          <w:sz w:val="32"/>
          <w:szCs w:val="32"/>
        </w:rPr>
        <w:t>日</w:t>
      </w: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FF0000"/>
          <w:kern w:val="0"/>
          <w:szCs w:val="32"/>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FF0000"/>
          <w:kern w:val="0"/>
          <w:szCs w:val="32"/>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FF0000"/>
          <w:kern w:val="0"/>
          <w:szCs w:val="32"/>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FF0000"/>
          <w:kern w:val="0"/>
          <w:szCs w:val="32"/>
        </w:rPr>
      </w:pPr>
    </w:p>
    <w:p>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FF0000"/>
          <w:kern w:val="0"/>
          <w:szCs w:val="32"/>
        </w:rPr>
      </w:pPr>
    </w:p>
    <w:p>
      <w:pPr>
        <w:pStyle w:val="15"/>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587375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6.25pt;height:0pt;width:442.3pt;z-index:251660288;mso-width-relative:page;mso-height-relative:page;" filled="f" stroked="t" coordsize="21600,21600" o:gfxdata="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XroqdQAAAAG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1312;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1312;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left="320" w:leftChars="100" w:right="320" w:rightChars="100"/>
                            <w:rPr>
                              <w:rStyle w:val="13"/>
                              <w:rFonts w:hint="eastAsia" w:ascii="仿宋_GB2312" w:eastAsia="仿宋_GB2312"/>
                              <w:b/>
                              <w:bCs/>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1</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59264;mso-width-relative:page;mso-height-relative:page;" filled="f" stroked="f" coordsize="21600,21600" o:gfxdata="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Jeulr9QAAAAHAQAADwAAAAAAAAABACAAAAAiAAAAZHJzL2Rvd25yZXYueG1sUEsB&#10;AhQAFAAAAAgAh07iQDAyd1LdAgAAJAYAAA4AAAAAAAAAAQAgAAAAIwEAAGRycy9lMm9Eb2MueG1s&#10;UEsFBgAAAAAGAAYAWQEAAHIGAAAAAA==&#10;">
              <v:fill on="f" focussize="0,0"/>
              <v:stroke on="f" weight="0.5pt"/>
              <v:imagedata o:title=""/>
              <o:lock v:ext="edit" aspectratio="f"/>
              <v:textbox inset="0mm,0mm,0mm,0mm" style="mso-fit-shape-to-text:t;">
                <w:txbxContent>
                  <w:p>
                    <w:pPr>
                      <w:pStyle w:val="8"/>
                      <w:ind w:left="320" w:leftChars="100" w:right="320" w:rightChars="100"/>
                      <w:rPr>
                        <w:rStyle w:val="13"/>
                        <w:rFonts w:hint="eastAsia" w:ascii="仿宋_GB2312" w:eastAsia="仿宋_GB2312"/>
                        <w:b/>
                        <w:bCs/>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1</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10591D64"/>
    <w:rsid w:val="16B800EE"/>
    <w:rsid w:val="177121A0"/>
    <w:rsid w:val="1AEC3C21"/>
    <w:rsid w:val="20783D41"/>
    <w:rsid w:val="24696853"/>
    <w:rsid w:val="247C78BD"/>
    <w:rsid w:val="260C6FC7"/>
    <w:rsid w:val="2B665A9B"/>
    <w:rsid w:val="2BA03F96"/>
    <w:rsid w:val="2F130EE6"/>
    <w:rsid w:val="2F2B3664"/>
    <w:rsid w:val="2FEE4162"/>
    <w:rsid w:val="32C5491C"/>
    <w:rsid w:val="33AE6D56"/>
    <w:rsid w:val="354778F0"/>
    <w:rsid w:val="355D7521"/>
    <w:rsid w:val="371F1D45"/>
    <w:rsid w:val="38453BBB"/>
    <w:rsid w:val="3BAC6099"/>
    <w:rsid w:val="3C25479F"/>
    <w:rsid w:val="3D7076AF"/>
    <w:rsid w:val="3EC1562C"/>
    <w:rsid w:val="3F0E35AF"/>
    <w:rsid w:val="4419237E"/>
    <w:rsid w:val="45D948F4"/>
    <w:rsid w:val="47587B93"/>
    <w:rsid w:val="4C6E5E1E"/>
    <w:rsid w:val="4CBF17F2"/>
    <w:rsid w:val="4CCA458A"/>
    <w:rsid w:val="50CD705E"/>
    <w:rsid w:val="54231BA0"/>
    <w:rsid w:val="59F967C4"/>
    <w:rsid w:val="5DF254FF"/>
    <w:rsid w:val="609006D2"/>
    <w:rsid w:val="639005FA"/>
    <w:rsid w:val="65544E0E"/>
    <w:rsid w:val="68991CEA"/>
    <w:rsid w:val="68F37D43"/>
    <w:rsid w:val="6B762AC2"/>
    <w:rsid w:val="73323C81"/>
    <w:rsid w:val="745A0337"/>
    <w:rsid w:val="75811F9B"/>
    <w:rsid w:val="75FB702D"/>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qFormat/>
    <w:uiPriority w:val="0"/>
    <w:pPr>
      <w:keepNext/>
      <w:keepLines/>
      <w:numPr>
        <w:ilvl w:val="0"/>
        <w:numId w:val="1"/>
      </w:numPr>
      <w:outlineLvl w:val="0"/>
    </w:pPr>
    <w:rPr>
      <w:b/>
      <w:kern w:val="0"/>
      <w:sz w:val="28"/>
      <w:szCs w:val="28"/>
    </w:rPr>
  </w:style>
  <w:style w:type="paragraph" w:styleId="6">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华文中宋"/>
      <w:b/>
      <w:bCs/>
      <w:w w:val="90"/>
      <w:sz w:val="44"/>
    </w:rPr>
  </w:style>
  <w:style w:type="paragraph" w:customStyle="1" w:styleId="3">
    <w:name w:val="Default"/>
    <w:basedOn w:val="4"/>
    <w:next w:val="1"/>
    <w:unhideWhenUsed/>
    <w:qFormat/>
    <w:uiPriority w:val="0"/>
    <w:pPr>
      <w:widowControl w:val="0"/>
      <w:tabs>
        <w:tab w:val="left" w:pos="2760"/>
      </w:tabs>
      <w:autoSpaceDE w:val="0"/>
      <w:autoSpaceDN w:val="0"/>
      <w:adjustRightInd w:val="0"/>
    </w:pPr>
    <w:rPr>
      <w:rFonts w:ascii="宋体" w:hAnsi="宋体" w:eastAsia="宋体" w:cs="Times New Roman"/>
      <w:color w:val="000000"/>
      <w:sz w:val="24"/>
      <w:lang w:val="en-US" w:eastAsia="zh-CN" w:bidi="ar-SA"/>
    </w:rPr>
  </w:style>
  <w:style w:type="paragraph" w:customStyle="1" w:styleId="4">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unhideWhenUsed/>
    <w:qFormat/>
    <w:uiPriority w:val="99"/>
    <w:pPr>
      <w:spacing w:after="120" w:line="480" w:lineRule="auto"/>
    </w:pPr>
  </w:style>
  <w:style w:type="character" w:styleId="13">
    <w:name w:val="page number"/>
    <w:basedOn w:val="12"/>
    <w:qFormat/>
    <w:uiPriority w:val="0"/>
  </w:style>
  <w:style w:type="paragraph" w:customStyle="1" w:styleId="14">
    <w:name w:val="纯文本1"/>
    <w:basedOn w:val="1"/>
    <w:qFormat/>
    <w:uiPriority w:val="0"/>
    <w:pPr>
      <w:tabs>
        <w:tab w:val="left" w:pos="2760"/>
      </w:tabs>
      <w:adjustRightInd w:val="0"/>
    </w:pPr>
    <w:rPr>
      <w:rFonts w:ascii="宋体" w:hAnsi="Courier New"/>
      <w:szCs w:val="20"/>
    </w:rPr>
  </w:style>
  <w:style w:type="paragraph" w:customStyle="1" w:styleId="15">
    <w:name w:val="Char"/>
    <w:basedOn w:val="1"/>
    <w:qFormat/>
    <w:uiPriority w:val="0"/>
    <w:rPr>
      <w:rFonts w:cs="宋体"/>
      <w:sz w:val="28"/>
    </w:rPr>
  </w:style>
  <w:style w:type="paragraph" w:customStyle="1" w:styleId="16">
    <w:name w:val="YJ正文*"/>
    <w:basedOn w:val="1"/>
    <w:qFormat/>
    <w:uiPriority w:val="0"/>
    <w:pPr>
      <w:spacing w:line="500" w:lineRule="exact"/>
      <w:ind w:firstLine="200" w:firstLineChars="200"/>
      <w:jc w:val="both"/>
    </w:pPr>
    <w:rPr>
      <w:rFonts w:ascii="等线" w:hAnsi="等线" w:eastAsia="宋体"/>
      <w:sz w:val="24"/>
    </w:rPr>
  </w:style>
  <w:style w:type="paragraph" w:customStyle="1" w:styleId="17">
    <w:name w:val="表字-书"/>
    <w:basedOn w:val="1"/>
    <w:qFormat/>
    <w:uiPriority w:val="0"/>
    <w:pPr>
      <w:spacing w:line="240" w:lineRule="exact"/>
      <w:ind w:firstLine="0" w:firstLineChars="0"/>
      <w:jc w:val="center"/>
    </w:pPr>
    <w:rPr>
      <w:rFonts w:hAnsi="宋体"/>
      <w:sz w:val="21"/>
      <w:szCs w:val="21"/>
    </w:rPr>
  </w:style>
  <w:style w:type="paragraph" w:customStyle="1" w:styleId="18">
    <w:name w:val="STC 正文"/>
    <w:qFormat/>
    <w:uiPriority w:val="0"/>
    <w:pPr>
      <w:widowControl w:val="0"/>
      <w:adjustRightInd w:val="0"/>
      <w:snapToGrid w:val="0"/>
      <w:spacing w:line="331" w:lineRule="auto"/>
      <w:ind w:firstLine="200" w:firstLineChars="200"/>
      <w:jc w:val="both"/>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2349</Words>
  <Characters>2498</Characters>
  <Lines>11</Lines>
  <Paragraphs>3</Paragraphs>
  <TotalTime>0</TotalTime>
  <ScaleCrop>false</ScaleCrop>
  <LinksUpToDate>false</LinksUpToDate>
  <CharactersWithSpaces>2534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2022-06-15T10:13:00Z</cp:lastPrinted>
  <dcterms:modified xsi:type="dcterms:W3CDTF">2023-11-27T05:10:14Z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F909D6E851644F3C82AD9D0B612B7F2F_13</vt:lpwstr>
  </property>
</Properties>
</file>