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于排641-平1、641-平2井项目环境影响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你单位《关于审批排641-平1、641-平2井项目环境影响报告表的请示》收悉。经研究，批复如下：</w:t>
      </w:r>
    </w:p>
    <w:p>
      <w:pPr>
        <w:pStyle w:val="12"/>
        <w:keepNext w:val="0"/>
        <w:keepLines w:val="0"/>
        <w:pageBreakBefore w:val="0"/>
        <w:widowControl w:val="0"/>
        <w:kinsoku/>
        <w:wordWrap/>
        <w:overflowPunct/>
        <w:topLinePunct w:val="0"/>
        <w:autoSpaceDE/>
        <w:autoSpaceDN/>
        <w:bidi w:val="0"/>
        <w:spacing w:after="0" w:line="54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该项目位于第七师128团1连北侧1.46公里处</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地理坐标为：东经84°35′52.000″，北纬45°3′17.670″</w:t>
      </w:r>
      <w:r>
        <w:rPr>
          <w:rFonts w:hint="default" w:ascii="Times New Roman" w:hAnsi="Times New Roman" w:eastAsia="仿宋_GB2312" w:cs="Times New Roman"/>
          <w:bCs/>
          <w:color w:val="000000" w:themeColor="text1"/>
          <w:szCs w:val="32"/>
          <w14:textFill>
            <w14:solidFill>
              <w14:schemeClr w14:val="tx1"/>
            </w14:solidFill>
          </w14:textFill>
        </w:rPr>
        <w:t>。项目</w:t>
      </w:r>
      <w:r>
        <w:rPr>
          <w:rFonts w:hint="eastAsia" w:ascii="Times New Roman" w:hAnsi="Times New Roman" w:eastAsia="仿宋_GB2312" w:cs="仿宋_GB2312"/>
          <w:bCs/>
          <w:color w:val="000000" w:themeColor="text1"/>
          <w:sz w:val="32"/>
          <w:szCs w:val="32"/>
          <w14:textFill>
            <w14:solidFill>
              <w14:schemeClr w14:val="tx1"/>
            </w14:solidFill>
          </w14:textFill>
        </w:rPr>
        <w:t>部署</w:t>
      </w:r>
      <w:r>
        <w:rPr>
          <w:rFonts w:hint="eastAsia" w:eastAsia="仿宋_GB2312" w:cs="仿宋_GB2312"/>
          <w:bCs/>
          <w:color w:val="000000" w:themeColor="text1"/>
          <w:sz w:val="32"/>
          <w:szCs w:val="32"/>
          <w:lang w:val="en-US" w:eastAsia="zh-CN"/>
          <w14:textFill>
            <w14:solidFill>
              <w14:schemeClr w14:val="tx1"/>
            </w14:solidFill>
          </w14:textFill>
        </w:rPr>
        <w:t>开发准备井</w:t>
      </w:r>
      <w:r>
        <w:rPr>
          <w:rFonts w:hint="eastAsia" w:ascii="Times New Roman" w:hAnsi="Times New Roman" w:eastAsia="仿宋_GB2312" w:cs="仿宋_GB2312"/>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14:textFill>
            <w14:solidFill>
              <w14:schemeClr w14:val="tx1"/>
            </w14:solidFill>
          </w14:textFill>
        </w:rPr>
        <w:t>口</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14:textFill>
            <w14:solidFill>
              <w14:schemeClr w14:val="tx1"/>
            </w14:solidFill>
          </w14:textFill>
        </w:rPr>
        <w:t>排</w:t>
      </w:r>
      <w:r>
        <w:rPr>
          <w:rFonts w:hint="eastAsia" w:eastAsia="仿宋_GB2312" w:cs="仿宋_GB2312"/>
          <w:color w:val="000000" w:themeColor="text1"/>
          <w:sz w:val="32"/>
          <w:lang w:val="en-US" w:eastAsia="zh-CN"/>
          <w14:textFill>
            <w14:solidFill>
              <w14:schemeClr w14:val="tx1"/>
            </w14:solidFill>
          </w14:textFill>
        </w:rPr>
        <w:t>641-</w:t>
      </w:r>
      <w:r>
        <w:rPr>
          <w:rFonts w:hint="eastAsia" w:ascii="Times New Roman" w:hAnsi="Times New Roman" w:eastAsia="仿宋_GB2312" w:cs="仿宋_GB2312"/>
          <w:color w:val="000000" w:themeColor="text1"/>
          <w:sz w:val="32"/>
          <w14:textFill>
            <w14:solidFill>
              <w14:schemeClr w14:val="tx1"/>
            </w14:solidFill>
          </w14:textFill>
        </w:rPr>
        <w:t>平1、排</w:t>
      </w:r>
      <w:r>
        <w:rPr>
          <w:rFonts w:hint="eastAsia" w:eastAsia="仿宋_GB2312" w:cs="仿宋_GB2312"/>
          <w:color w:val="000000" w:themeColor="text1"/>
          <w:sz w:val="32"/>
          <w:lang w:val="en-US" w:eastAsia="zh-CN"/>
          <w14:textFill>
            <w14:solidFill>
              <w14:schemeClr w14:val="tx1"/>
            </w14:solidFill>
          </w14:textFill>
        </w:rPr>
        <w:t>641-</w:t>
      </w:r>
      <w:r>
        <w:rPr>
          <w:rFonts w:hint="eastAsia" w:ascii="Times New Roman" w:hAnsi="Times New Roman" w:eastAsia="仿宋_GB2312" w:cs="仿宋_GB2312"/>
          <w:color w:val="000000" w:themeColor="text1"/>
          <w:sz w:val="32"/>
          <w14:textFill>
            <w14:solidFill>
              <w14:schemeClr w14:val="tx1"/>
            </w14:solidFill>
          </w14:textFill>
        </w:rPr>
        <w:t>平</w:t>
      </w:r>
      <w:r>
        <w:rPr>
          <w:rFonts w:hint="eastAsia" w:eastAsia="仿宋_GB2312" w:cs="仿宋_GB2312"/>
          <w:color w:val="000000" w:themeColor="text1"/>
          <w:sz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lang w:val="en-US" w:eastAsia="zh-CN"/>
          <w14:textFill>
            <w14:solidFill>
              <w14:schemeClr w14:val="tx1"/>
            </w14:solidFill>
          </w14:textFill>
        </w:rPr>
        <w:t>评价井</w:t>
      </w:r>
      <w:r>
        <w:rPr>
          <w:rFonts w:hint="eastAsia" w:ascii="Times New Roman" w:hAnsi="Times New Roman" w:eastAsia="仿宋_GB2312" w:cs="仿宋_GB2312"/>
          <w:color w:val="000000" w:themeColor="text1"/>
          <w:sz w:val="32"/>
          <w:szCs w:val="32"/>
          <w14:textFill>
            <w14:solidFill>
              <w14:schemeClr w14:val="tx1"/>
            </w14:solidFill>
          </w14:textFill>
        </w:rPr>
        <w:t>），采用定向水平井。项目建设钻井及试油工程相关设施</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6646-2017）中封井规范进行退役封井处置，并将临时占地恢复原貌，拆除所有地面生产设施、平整井场。项目总投资950.5万元，其中环保投资221万元，占总投资的23.25%。</w:t>
      </w:r>
      <w:bookmarkStart w:id="0" w:name="_GoBack"/>
      <w:bookmarkEnd w:id="0"/>
    </w:p>
    <w:p>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w:t>
      </w:r>
      <w:r>
        <w:rPr>
          <w:rFonts w:hint="default" w:ascii="Times New Roman" w:hAnsi="Times New Roman" w:eastAsia="仿宋_GB2312" w:cs="Times New Roman"/>
          <w:bCs/>
          <w:color w:val="auto"/>
          <w:szCs w:val="32"/>
          <w:highlight w:val="none"/>
          <w:lang w:eastAsia="zh-CN"/>
        </w:rPr>
        <w:t>减少</w:t>
      </w:r>
      <w:r>
        <w:rPr>
          <w:rFonts w:hint="default" w:ascii="Times New Roman" w:hAnsi="Times New Roman" w:eastAsia="仿宋_GB2312" w:cs="Times New Roman"/>
          <w:bCs/>
          <w:color w:val="auto"/>
          <w:szCs w:val="32"/>
          <w:highlight w:val="none"/>
        </w:rPr>
        <w:t>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定期对钻机、柴油发电机等设备进行维护，钻井过程中选用高性能柴油发电机，使用优质柴油，提高效率，减少燃烧废气的无组织排放；伴生气经过液气分离后通过放喷池点火排放。试油期井场的厂界非甲烷总烃排放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洗井废水、试油废水全部收集至废水罐，经罐车收集拉运至中石化新疆新春石油开发有限责任公司春风油田春风一号联合站；转移车辆安装GPS全程定位，并保存相关影像资料；施工区设置临时环保厕所，钻井人员产生的生活污水经环保厕所收集后，由罐车拉运至中石化新疆新春石油开发有限责任公司管理一区生活基地合理化处置。井场油罐、发电机、材料堆场等关键部位均采用防渗膜防渗，井筒采用下套管注水泥固井完井方式，对含水层进行固封处理，避免钻井液渗漏污染地下水</w:t>
      </w:r>
      <w:r>
        <w:rPr>
          <w:rFonts w:hint="default" w:ascii="Times New Roman" w:hAnsi="Times New Roman" w:eastAsia="仿宋_GB2312" w:cs="Times New Roman"/>
          <w:bCs/>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r>
        <w:rPr>
          <w:rFonts w:hint="default" w:ascii="Times New Roman" w:hAnsi="Times New Roman" w:eastAsia="仿宋_GB2312" w:cs="Times New Roman"/>
          <w:bCs/>
          <w:szCs w:val="32"/>
        </w:rPr>
        <w:t>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w:t>
      </w:r>
      <w:r>
        <w:rPr>
          <w:rFonts w:hint="default" w:ascii="Times New Roman" w:hAnsi="Times New Roman" w:eastAsia="仿宋_GB2312" w:cs="Times New Roman"/>
          <w:bCs/>
          <w:szCs w:val="32"/>
          <w:lang w:val="en-US" w:eastAsia="zh-CN"/>
        </w:rPr>
        <w:t>施工区</w:t>
      </w:r>
      <w:r>
        <w:rPr>
          <w:rFonts w:hint="default" w:ascii="Times New Roman" w:hAnsi="Times New Roman" w:eastAsia="仿宋_GB2312" w:cs="Times New Roman"/>
          <w:bCs/>
          <w:szCs w:val="32"/>
        </w:rPr>
        <w:t>噪声排放</w:t>
      </w:r>
      <w:r>
        <w:rPr>
          <w:rFonts w:hint="default"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rPr>
        <w:t>《建筑施工场界</w:t>
      </w:r>
      <w:r>
        <w:rPr>
          <w:rFonts w:hint="default" w:ascii="Times New Roman" w:hAnsi="Times New Roman" w:eastAsia="仿宋_GB2312" w:cs="Times New Roman"/>
          <w:bCs/>
          <w:szCs w:val="32"/>
          <w:lang w:val="en-US" w:eastAsia="zh-CN"/>
        </w:rPr>
        <w:t>环境</w:t>
      </w:r>
      <w:r>
        <w:rPr>
          <w:rFonts w:hint="default" w:ascii="Times New Roman" w:hAnsi="Times New Roman" w:eastAsia="仿宋_GB2312" w:cs="Times New Roman"/>
          <w:bCs/>
          <w:szCs w:val="32"/>
        </w:rPr>
        <w:t>噪声排放标准》（GB12523-2011）中限值要求。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（五）固体废物实施分类管理和妥善处理处置。项目钻井液经振动筛、除砂器、离心机分离后，将泥浆固相初步分离，液相循环利用，剩余废弃钻井泥浆、岩屑委托泥浆不落地处置单位处置</w:t>
      </w:r>
      <w:r>
        <w:rPr>
          <w:rFonts w:hint="default" w:ascii="Times New Roman" w:hAnsi="Times New Roman" w:eastAsia="仿宋_GB2312" w:cs="Times New Roman"/>
          <w:bCs/>
          <w:szCs w:val="32"/>
        </w:rPr>
        <w:t>。各钻井队在完钻及钻机搬迁后，及时清理井场及其周围使用过的物料，恢复原地貌，做到“工完、料尽、场地清”。施工机械维护产生的机械设备废油、废弃防渗膜</w:t>
      </w:r>
      <w:r>
        <w:rPr>
          <w:rFonts w:hint="eastAsia" w:eastAsia="仿宋_GB2312" w:cs="Times New Roman"/>
          <w:bCs/>
          <w:szCs w:val="32"/>
          <w:lang w:eastAsia="zh-CN"/>
        </w:rPr>
        <w:t>、</w:t>
      </w:r>
      <w:r>
        <w:rPr>
          <w:rFonts w:hint="eastAsia" w:eastAsia="仿宋_GB2312" w:cs="Times New Roman"/>
          <w:bCs/>
          <w:szCs w:val="32"/>
          <w:lang w:val="en-US" w:eastAsia="zh-CN"/>
        </w:rPr>
        <w:t>落地油</w:t>
      </w:r>
      <w:r>
        <w:rPr>
          <w:rFonts w:hint="default" w:ascii="Times New Roman" w:hAnsi="Times New Roman" w:eastAsia="仿宋_GB2312" w:cs="Times New Roman"/>
          <w:bCs/>
          <w:szCs w:val="32"/>
        </w:rPr>
        <w:t>暂存于钻井场地的危险废物暂存间内，定期交由有资质的单位处置；危险废物收集、运输须按照《危险废物收集 贮存 运输技术规范》（HJ2025-2012）和《危险废物转移管理办法》要求进行</w:t>
      </w:r>
      <w:r>
        <w:rPr>
          <w:rFonts w:hint="default" w:ascii="Times New Roman" w:hAnsi="Times New Roman" w:eastAsia="仿宋_GB2312" w:cs="Times New Roman"/>
          <w:bCs/>
          <w:color w:val="000000" w:themeColor="text1"/>
          <w:szCs w:val="32"/>
          <w14:textFill>
            <w14:solidFill>
              <w14:schemeClr w14:val="tx1"/>
            </w14:solidFill>
          </w14:textFill>
        </w:rPr>
        <w:t>。</w:t>
      </w:r>
      <w:r>
        <w:rPr>
          <w:rFonts w:hint="eastAsia" w:ascii="仿宋_GB2312" w:hAnsi="Times New Roman" w:eastAsia="仿宋_GB2312"/>
          <w:bCs/>
          <w:color w:val="000000" w:themeColor="text1"/>
          <w:szCs w:val="32"/>
          <w14:textFill>
            <w14:solidFill>
              <w14:schemeClr w14:val="tx1"/>
            </w14:solidFill>
          </w14:textFill>
        </w:rPr>
        <w:t>生活</w:t>
      </w:r>
      <w:r>
        <w:rPr>
          <w:rFonts w:hint="eastAsia" w:ascii="仿宋_GB2312" w:eastAsia="仿宋_GB2312"/>
          <w:bCs/>
          <w:color w:val="000000" w:themeColor="text1"/>
          <w:szCs w:val="32"/>
          <w14:textFill>
            <w14:solidFill>
              <w14:schemeClr w14:val="tx1"/>
            </w14:solidFill>
          </w14:textFill>
        </w:rPr>
        <w:t>垃圾</w:t>
      </w:r>
      <w:r>
        <w:rPr>
          <w:rFonts w:hint="eastAsia" w:ascii="仿宋_GB2312" w:eastAsia="仿宋_GB2312"/>
          <w:bCs/>
          <w:color w:val="000000" w:themeColor="text1"/>
          <w:szCs w:val="32"/>
          <w:lang w:val="en-US" w:eastAsia="zh-CN"/>
          <w14:textFill>
            <w14:solidFill>
              <w14:schemeClr w14:val="tx1"/>
            </w14:solidFill>
          </w14:textFill>
        </w:rPr>
        <w:t>依托</w:t>
      </w:r>
      <w:r>
        <w:rPr>
          <w:rFonts w:hint="default" w:ascii="Times New Roman" w:hAnsi="Times New Roman" w:eastAsia="仿宋_GB2312"/>
          <w:bCs/>
          <w:color w:val="000000" w:themeColor="text1"/>
          <w:szCs w:val="32"/>
          <w14:textFill>
            <w14:solidFill>
              <w14:schemeClr w14:val="tx1"/>
            </w14:solidFill>
          </w14:textFill>
        </w:rPr>
        <w:t>12</w:t>
      </w:r>
      <w:r>
        <w:rPr>
          <w:rFonts w:hint="eastAsia" w:ascii="Times New Roman" w:hAnsi="Times New Roman" w:eastAsia="仿宋_GB2312"/>
          <w:bCs/>
          <w:color w:val="000000" w:themeColor="text1"/>
          <w:szCs w:val="32"/>
          <w:lang w:val="en-US" w:eastAsia="zh-CN"/>
          <w14:textFill>
            <w14:solidFill>
              <w14:schemeClr w14:val="tx1"/>
            </w14:solidFill>
          </w14:textFill>
        </w:rPr>
        <w:t>8</w:t>
      </w:r>
      <w:r>
        <w:rPr>
          <w:rFonts w:hint="eastAsia" w:ascii="仿宋_GB2312" w:eastAsia="仿宋_GB2312"/>
          <w:bCs/>
          <w:color w:val="000000" w:themeColor="text1"/>
          <w:szCs w:val="32"/>
          <w14:textFill>
            <w14:solidFill>
              <w14:schemeClr w14:val="tx1"/>
            </w14:solidFill>
          </w14:textFill>
        </w:rPr>
        <w:t>团</w:t>
      </w:r>
      <w:r>
        <w:rPr>
          <w:rFonts w:hint="eastAsia" w:ascii="仿宋_GB2312" w:eastAsia="仿宋_GB2312"/>
          <w:bCs/>
          <w:color w:val="000000" w:themeColor="text1"/>
          <w:szCs w:val="32"/>
          <w:lang w:val="en-US" w:eastAsia="zh-CN"/>
          <w14:textFill>
            <w14:solidFill>
              <w14:schemeClr w14:val="tx1"/>
            </w14:solidFill>
          </w14:textFill>
        </w:rPr>
        <w:t>1连现有设施</w:t>
      </w:r>
      <w:r>
        <w:rPr>
          <w:rFonts w:hint="eastAsia" w:ascii="仿宋_GB2312" w:eastAsia="仿宋_GB2312"/>
          <w:bCs/>
          <w:color w:val="000000" w:themeColor="text1"/>
          <w:szCs w:val="32"/>
          <w14:textFill>
            <w14:solidFill>
              <w14:schemeClr w14:val="tx1"/>
            </w14:solidFill>
          </w14:textFill>
        </w:rPr>
        <w:t>，</w:t>
      </w:r>
      <w:r>
        <w:rPr>
          <w:rFonts w:hint="eastAsia" w:ascii="仿宋_GB2312" w:eastAsia="仿宋_GB2312"/>
          <w:bCs/>
          <w:color w:val="000000" w:themeColor="text1"/>
          <w:szCs w:val="32"/>
          <w:lang w:val="en-US" w:eastAsia="zh-CN"/>
          <w14:textFill>
            <w14:solidFill>
              <w14:schemeClr w14:val="tx1"/>
            </w14:solidFill>
          </w14:textFill>
        </w:rPr>
        <w:t>集中收集后</w:t>
      </w:r>
      <w:r>
        <w:rPr>
          <w:rFonts w:hint="eastAsia" w:ascii="仿宋_GB2312" w:eastAsia="仿宋_GB2312"/>
          <w:bCs/>
          <w:color w:val="000000" w:themeColor="text1"/>
          <w:szCs w:val="32"/>
          <w14:textFill>
            <w14:solidFill>
              <w14:schemeClr w14:val="tx1"/>
            </w14:solidFill>
          </w14:textFill>
        </w:rPr>
        <w:t>交由当地环卫部门统一处理</w:t>
      </w:r>
      <w:r>
        <w:rPr>
          <w:rFonts w:hint="default" w:ascii="Times New Roman" w:hAnsi="Times New Roman" w:eastAsia="仿宋_GB2312" w:cs="Times New Roman"/>
          <w:bCs/>
          <w:szCs w:val="32"/>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（六）严格落实环境风险防范措施。做好设备的日常巡检维护，建立健全各项环保管理制度、应急预案等，避免事故发生，引发环境污染。</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11</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28</w:t>
      </w:r>
      <w:r>
        <w:rPr>
          <w:rFonts w:hint="default" w:ascii="Times New Roman" w:hAnsi="Times New Roman" w:eastAsia="仿宋_GB2312" w:cs="Times New Roman"/>
          <w:bCs/>
          <w:color w:val="auto"/>
          <w:szCs w:val="32"/>
          <w:highlight w:val="none"/>
        </w:rPr>
        <w:t>日</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74929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49290" cy="762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2.65pt;height:0.6pt;width:452.7pt;z-index:251660288;mso-width-relative:page;mso-height-relative:page;" filled="f" stroked="t" coordsize="21600,21600" o:gfxdata="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kMoC1gAAAAYBAAAPAAAAAAAAAAEAIAAAACIAAABkcnMv&#10;ZG93bnJldi54bWxQSwECFAAUAAAACACHTuJAN8uD9gUCAAAABAAADgAAAAAAAAABACAAAAAlAQAA&#10;ZHJzL2Uyb0RvYy54bWxQSwUGAAAAAAYABgBZAQAAnAUAAAAA&#10;">
                <v:fill on="f" focussize="0,0"/>
                <v:stroke weight="1.5pt" color="#000000" joinstyle="round"/>
                <v:imagedata o:title=""/>
                <o:lock v:ext="edit" aspectratio="f"/>
              </v:line>
            </w:pict>
          </mc:Fallback>
        </mc:AlternateContent>
      </w: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66675</wp:posOffset>
                </wp:positionV>
                <wp:extent cx="5739765" cy="508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976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5.25pt;height:0.4pt;width:451.95pt;z-index:251661312;mso-width-relative:page;mso-height-relative:page;" filled="f" stroked="t" coordsize="21600,21600" o:gfxdata="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UyYN/UAAAABwEAAA8AAAAAAAAAAQAgAAAAIgAAAGRycy9kb3ducmV2Lnht&#10;bFBLAQIUABQAAAAIAIdO4kCDFAki/QEAAPU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376555</wp:posOffset>
                </wp:positionV>
                <wp:extent cx="5777865" cy="57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77865" cy="571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9.65pt;height:0.45pt;width:454.95pt;z-index:251661312;mso-width-relative:page;mso-height-relative:page;" filled="f" stroked="t" coordsize="21600,21600" o:gfxdata="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DtZ0dUAAAAGAQAADwAAAAAAAAABACAAAAAiAAAAZHJzL2Rv&#10;d25yZXYueG1sUEsBAhQAFAAAAAgAh07iQJDxmrEEAgAAAAQAAA4AAAAAAAAAAQAgAAAAJAEAAGRy&#10;cy9lMm9Eb2MueG1sUEsFBgAAAAAGAAYAWQEAAJo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361" w:bottom="1701" w:left="1474"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314325</wp:posOffset>
              </wp:positionV>
              <wp:extent cx="109093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093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85.9pt;mso-position-horizontal:outside;mso-position-horizontal-relative:margin;z-index:251659264;mso-width-relative:page;mso-height-relative:page;" filled="f" stroked="f" coordsize="21600,21600" o:gfxdata="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adkoj2AAAAAoBAAAPAAAAAAAAAAEAIAAAACIAAABkcnMvZG93bnJl&#10;di54bWxQSwECFAAUAAAACACHTuJAkNgdKuECAAAmBgAADgAAAAAAAAABACAAAAAnAQAAZHJzL2Uy&#10;b0RvYy54bWxQSwUGAAAAAAYABgBZAQAAegYAAAAA&#10;">
              <v:fill on="f" focussize="0,0"/>
              <v:stroke on="f" weight="0.5pt"/>
              <v:imagedata o:title=""/>
              <o:lock v:ext="edit" aspectratio="f"/>
              <v:textbox inset="0mm,0mm,0mm,0mm" style="mso-fit-shape-to-text:t;">
                <w:txbxContent>
                  <w:p>
                    <w:pPr>
                      <w:pStyle w:val="10"/>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C866AB"/>
    <w:rsid w:val="04B77D73"/>
    <w:rsid w:val="05737345"/>
    <w:rsid w:val="05AF76AE"/>
    <w:rsid w:val="06C71389"/>
    <w:rsid w:val="06CC7B06"/>
    <w:rsid w:val="08EC6D80"/>
    <w:rsid w:val="0994708F"/>
    <w:rsid w:val="0B432AB6"/>
    <w:rsid w:val="135F4757"/>
    <w:rsid w:val="16B800EE"/>
    <w:rsid w:val="177121A0"/>
    <w:rsid w:val="1F4E188E"/>
    <w:rsid w:val="20783D41"/>
    <w:rsid w:val="21162F81"/>
    <w:rsid w:val="21DD6837"/>
    <w:rsid w:val="24057B5F"/>
    <w:rsid w:val="24696853"/>
    <w:rsid w:val="247C78BD"/>
    <w:rsid w:val="260C6FC7"/>
    <w:rsid w:val="291034DE"/>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9B065C9"/>
    <w:rsid w:val="4CBF17F2"/>
    <w:rsid w:val="4CCA458A"/>
    <w:rsid w:val="4D7E4B98"/>
    <w:rsid w:val="50CD705E"/>
    <w:rsid w:val="54231BA0"/>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tabs>
        <w:tab w:val="left" w:pos="2760"/>
      </w:tabs>
      <w:autoSpaceDE w:val="0"/>
      <w:autoSpaceDN w:val="0"/>
    </w:pPr>
    <w:rPr>
      <w:rFonts w:hAnsi="宋体" w:eastAsia="宋体"/>
      <w:color w:val="000000"/>
      <w:sz w:val="24"/>
    </w:rPr>
  </w:style>
  <w:style w:type="paragraph" w:customStyle="1" w:styleId="3">
    <w:name w:val="纯文本1"/>
    <w:basedOn w:val="1"/>
    <w:qFormat/>
    <w:uiPriority w:val="0"/>
    <w:pPr>
      <w:tabs>
        <w:tab w:val="left" w:pos="2760"/>
      </w:tabs>
      <w:adjustRightInd w:val="0"/>
    </w:pPr>
    <w:rPr>
      <w:rFonts w:ascii="宋体" w:hAnsi="Courier New"/>
    </w:rPr>
  </w:style>
  <w:style w:type="paragraph" w:styleId="7">
    <w:name w:val="Normal Indent"/>
    <w:basedOn w:val="1"/>
    <w:qFormat/>
    <w:uiPriority w:val="0"/>
    <w:pPr>
      <w:ind w:firstLine="420" w:firstLineChars="200"/>
    </w:pPr>
    <w:rPr>
      <w:rFonts w:ascii="宋体" w:hAnsi="宋体"/>
    </w:rPr>
  </w:style>
  <w:style w:type="paragraph" w:styleId="8">
    <w:name w:val="Body Text"/>
    <w:basedOn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unhideWhenUsed/>
    <w:qFormat/>
    <w:uiPriority w:val="99"/>
    <w:pPr>
      <w:spacing w:after="120" w:line="480" w:lineRule="auto"/>
    </w:pPr>
  </w:style>
  <w:style w:type="character" w:styleId="15">
    <w:name w:val="page number"/>
    <w:basedOn w:val="14"/>
    <w:qFormat/>
    <w:uiPriority w:val="0"/>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1947</Words>
  <Characters>2082</Characters>
  <Lines>11</Lines>
  <Paragraphs>3</Paragraphs>
  <TotalTime>4</TotalTime>
  <ScaleCrop>false</ScaleCrop>
  <LinksUpToDate>false</LinksUpToDate>
  <CharactersWithSpaces>2121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2023-11-27T05:09:44Z</cp:lastPrinted>
  <dcterms:modified xsi:type="dcterms:W3CDTF">2023-11-27T08:06:16Z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C0A5259E08D54A58A69353D8EC1CE1D0_13</vt:lpwstr>
  </property>
</Properties>
</file>