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auto"/>
          <w:sz w:val="30"/>
          <w:szCs w:val="30"/>
        </w:rPr>
      </w:pPr>
      <w:r>
        <w:rPr>
          <w:rFonts w:hAnsi="黑体" w:eastAsia="黑体"/>
          <w:color w:val="auto"/>
          <w:sz w:val="30"/>
          <w:szCs w:val="30"/>
          <w:shd w:val="clear" w:color="auto" w:fill="FFFFFF"/>
        </w:rPr>
        <w:t>拟批准环境影响评价文件的建设项目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828"/>
        <w:gridCol w:w="763"/>
        <w:gridCol w:w="851"/>
        <w:gridCol w:w="850"/>
        <w:gridCol w:w="255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60"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序号</w:t>
            </w:r>
          </w:p>
        </w:tc>
        <w:tc>
          <w:tcPr>
            <w:tcW w:w="828"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项目名称</w:t>
            </w:r>
          </w:p>
        </w:tc>
        <w:tc>
          <w:tcPr>
            <w:tcW w:w="763"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建设地点</w:t>
            </w:r>
          </w:p>
        </w:tc>
        <w:tc>
          <w:tcPr>
            <w:tcW w:w="851"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建设单位</w:t>
            </w:r>
          </w:p>
        </w:tc>
        <w:tc>
          <w:tcPr>
            <w:tcW w:w="850"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环境影响评价机构</w:t>
            </w:r>
          </w:p>
        </w:tc>
        <w:tc>
          <w:tcPr>
            <w:tcW w:w="2552" w:type="dxa"/>
            <w:noWrap w:val="0"/>
            <w:vAlign w:val="center"/>
          </w:tcPr>
          <w:p>
            <w:pPr>
              <w:pStyle w:val="14"/>
              <w:spacing w:before="0" w:beforeAutospacing="0" w:after="0" w:afterAutospacing="0"/>
              <w:jc w:val="center"/>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项目概况</w:t>
            </w:r>
          </w:p>
        </w:tc>
        <w:tc>
          <w:tcPr>
            <w:tcW w:w="7938" w:type="dxa"/>
            <w:noWrap w:val="0"/>
            <w:vAlign w:val="center"/>
          </w:tcPr>
          <w:p>
            <w:pPr>
              <w:pStyle w:val="14"/>
              <w:spacing w:before="0" w:beforeAutospacing="0" w:after="0" w:afterAutospacing="0"/>
              <w:jc w:val="both"/>
              <w:rPr>
                <w:rStyle w:val="20"/>
                <w:rFonts w:hint="eastAsia" w:ascii="宋体" w:hAnsi="宋体" w:eastAsia="宋体" w:cs="宋体"/>
                <w:b w:val="0"/>
                <w:bCs w:val="0"/>
                <w:color w:val="auto"/>
                <w:sz w:val="21"/>
                <w:szCs w:val="21"/>
              </w:rPr>
            </w:pPr>
            <w:r>
              <w:rPr>
                <w:rStyle w:val="20"/>
                <w:rFonts w:hint="eastAsia" w:ascii="宋体" w:hAnsi="宋体" w:eastAsia="宋体" w:cs="宋体"/>
                <w:b w:val="0"/>
                <w:color w:val="auto"/>
                <w:sz w:val="21"/>
                <w:szCs w:val="21"/>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0" w:type="dxa"/>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828" w:type="dxa"/>
            <w:noWrap w:val="0"/>
            <w:vAlign w:val="center"/>
          </w:tcPr>
          <w:p>
            <w:pPr>
              <w:pStyle w:val="14"/>
              <w:spacing w:before="0" w:beforeAutospacing="0" w:after="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rPr>
              <w:t>胡杨河市130团14连10万千瓦光伏发电项目升压站及配送工程</w:t>
            </w:r>
          </w:p>
        </w:tc>
        <w:tc>
          <w:tcPr>
            <w:tcW w:w="763" w:type="dxa"/>
            <w:noWrap w:val="0"/>
            <w:vAlign w:val="center"/>
          </w:tcPr>
          <w:p>
            <w:pPr>
              <w:pStyle w:val="14"/>
              <w:spacing w:before="0" w:beforeAutospacing="0" w:after="0" w:afterAutospacing="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新疆生产建设兵团第七师130团14连辖区，胡杨河市经开区孵化园以东、牛场以南</w:t>
            </w:r>
          </w:p>
        </w:tc>
        <w:tc>
          <w:tcPr>
            <w:tcW w:w="851" w:type="dxa"/>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胡杨河市七电新能源有限公司</w:t>
            </w:r>
          </w:p>
        </w:tc>
        <w:tc>
          <w:tcPr>
            <w:tcW w:w="850" w:type="dxa"/>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乌鲁木齐天辰创展工程咨询有限公司</w:t>
            </w:r>
          </w:p>
        </w:tc>
        <w:tc>
          <w:tcPr>
            <w:tcW w:w="2552" w:type="dxa"/>
            <w:noWrap w:val="0"/>
            <w:vAlign w:val="center"/>
          </w:tcPr>
          <w:p>
            <w:pPr>
              <w:tabs>
                <w:tab w:val="left" w:pos="4362"/>
              </w:tabs>
              <w:rPr>
                <w:rFonts w:hint="eastAsia" w:ascii="宋体" w:hAnsi="宋体" w:eastAsia="宋体" w:cs="宋体"/>
                <w:color w:val="auto"/>
                <w:sz w:val="21"/>
                <w:szCs w:val="21"/>
              </w:rPr>
            </w:pPr>
            <w:r>
              <w:rPr>
                <w:rFonts w:hint="eastAsia" w:ascii="宋体" w:hAnsi="宋体" w:eastAsia="宋体" w:cs="宋体"/>
                <w:color w:val="auto"/>
                <w:sz w:val="21"/>
                <w:szCs w:val="21"/>
              </w:rPr>
              <w:t>本项目建设内容为新建一座110kV升压站，升压站内设置1台100MVA主变压器，110kV配电装置采用线变组接线，35kV采用单母线接线，新建1回110kV电缆线路接入130团110kV蓝天变电站110kV侧，新建电缆线路长420m，截面导线或输送容量不低于100MW的电缆，并在蓝天变扩建一个110kV出线间隔实现并网。总投资</w:t>
            </w:r>
            <w:r>
              <w:rPr>
                <w:rFonts w:hint="eastAsia" w:ascii="宋体" w:hAnsi="宋体" w:cs="宋体"/>
                <w:color w:val="auto"/>
                <w:sz w:val="21"/>
                <w:szCs w:val="21"/>
                <w:lang w:val="en-US" w:eastAsia="zh-CN"/>
              </w:rPr>
              <w:t>3321</w:t>
            </w:r>
            <w:r>
              <w:rPr>
                <w:rFonts w:hint="eastAsia" w:ascii="宋体" w:hAnsi="宋体" w:eastAsia="宋体" w:cs="宋体"/>
                <w:color w:val="auto"/>
                <w:sz w:val="21"/>
                <w:szCs w:val="21"/>
              </w:rPr>
              <w:t>万元，其中环保投资</w:t>
            </w:r>
            <w:r>
              <w:rPr>
                <w:rFonts w:hint="eastAsia" w:ascii="宋体" w:hAnsi="宋体" w:cs="宋体"/>
                <w:color w:val="auto"/>
                <w:sz w:val="21"/>
                <w:szCs w:val="21"/>
                <w:lang w:val="en-US" w:eastAsia="zh-CN"/>
              </w:rPr>
              <w:t>62</w:t>
            </w:r>
            <w:r>
              <w:rPr>
                <w:rFonts w:hint="eastAsia" w:ascii="宋体" w:hAnsi="宋体" w:eastAsia="宋体" w:cs="宋体"/>
                <w:color w:val="auto"/>
                <w:sz w:val="21"/>
                <w:szCs w:val="21"/>
                <w:lang w:val="en-US" w:eastAsia="zh-CN"/>
              </w:rPr>
              <w:t>万元</w:t>
            </w:r>
            <w:r>
              <w:rPr>
                <w:rFonts w:hint="eastAsia" w:ascii="宋体" w:hAnsi="宋体" w:eastAsia="宋体" w:cs="宋体"/>
                <w:color w:val="auto"/>
                <w:sz w:val="21"/>
                <w:szCs w:val="21"/>
              </w:rPr>
              <w:t>，占总投资的</w:t>
            </w:r>
            <w:r>
              <w:rPr>
                <w:rFonts w:hint="eastAsia" w:ascii="宋体" w:hAnsi="宋体" w:cs="宋体"/>
                <w:color w:val="auto"/>
                <w:sz w:val="21"/>
                <w:szCs w:val="21"/>
                <w:lang w:val="en-US" w:eastAsia="zh-CN"/>
              </w:rPr>
              <w:t>1.87</w:t>
            </w:r>
            <w:r>
              <w:rPr>
                <w:rFonts w:hint="eastAsia" w:ascii="宋体" w:hAnsi="宋体" w:eastAsia="宋体" w:cs="宋体"/>
                <w:color w:val="auto"/>
                <w:sz w:val="21"/>
                <w:szCs w:val="21"/>
                <w:lang w:val="en-US" w:eastAsia="zh-CN"/>
              </w:rPr>
              <w:t>%</w:t>
            </w:r>
          </w:p>
        </w:tc>
        <w:tc>
          <w:tcPr>
            <w:tcW w:w="7938" w:type="dxa"/>
            <w:noWrap w:val="0"/>
            <w:vAlign w:val="center"/>
          </w:tcPr>
          <w:p>
            <w:pPr>
              <w:pStyle w:val="33"/>
              <w:keepNext w:val="0"/>
              <w:keepLines w:val="0"/>
              <w:widowControl w:val="0"/>
              <w:suppressLineNumbers w:val="0"/>
              <w:spacing w:before="0" w:beforeAutospacing="0" w:after="0" w:afterAutospacing="0" w:line="240" w:lineRule="auto"/>
              <w:ind w:left="0" w:right="0" w:firstLine="542"/>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1生态环境影响分析</w:t>
            </w:r>
            <w:r>
              <w:rPr>
                <w:rFonts w:hint="eastAsia" w:ascii="宋体" w:hAnsi="宋体" w:eastAsia="宋体" w:cs="宋体"/>
                <w:b/>
                <w:bCs w:val="0"/>
                <w:color w:val="auto"/>
                <w:sz w:val="21"/>
                <w:szCs w:val="21"/>
                <w:lang w:val="en-US" w:eastAsia="zh-CN"/>
              </w:rPr>
              <w:t>及保护措施</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542"/>
              <w:jc w:val="both"/>
              <w:textAlignment w:val="auto"/>
              <w:rPr>
                <w:rFonts w:hint="eastAsia" w:ascii="宋体" w:hAnsi="宋体" w:eastAsia="宋体" w:cs="宋体"/>
                <w:b w:val="0"/>
                <w:bCs/>
                <w:lang w:val="en-US" w:eastAsia="zh-CN"/>
              </w:rPr>
            </w:pPr>
            <w:r>
              <w:rPr>
                <w:rFonts w:hint="eastAsia" w:ascii="宋体" w:hAnsi="宋体" w:eastAsia="宋体" w:cs="宋体"/>
                <w:b w:val="0"/>
                <w:bCs/>
                <w:snapToGrid w:val="0"/>
                <w:color w:val="auto"/>
                <w:kern w:val="0"/>
                <w:sz w:val="21"/>
                <w:szCs w:val="21"/>
                <w:lang w:val="en-US" w:eastAsia="zh-CN" w:bidi="ar-SA"/>
              </w:rPr>
              <w:t>施工期间划定施工区域，强化施工管理，增强施工人员的环境保护意识，严格控制施工占地的范围，严禁随意扩大扰动范围；缩小施工作业面和减少扰动面积；做好土石方平衡，降低工程开挖造成的水土流失；严格管理和控制车辆及重型机械的运行范围，所有车辆采用“一”字型作业法，尽量缩小扰动范围，保护原始地表，使新增水土流失得到有效控制；合理安排施工时间及工序，避开大风天气作业，弃土及时处理；施工期避开鸟类繁殖期，减少对野生动物繁殖的影响；严格按施工方案要求在指定地点堆放临时土石方；施工作业结束后，及时平整各类施工迹地，恢复原有地貌，防止新增水土流失</w:t>
            </w:r>
            <w:r>
              <w:rPr>
                <w:rFonts w:hint="eastAsia" w:ascii="宋体" w:hAnsi="宋体" w:eastAsia="宋体" w:cs="宋体"/>
                <w:b w:val="0"/>
                <w:bCs/>
                <w:lang w:val="en-US" w:eastAsia="zh-CN"/>
              </w:rPr>
              <w:t>。</w:t>
            </w:r>
          </w:p>
          <w:p>
            <w:pPr>
              <w:pStyle w:val="33"/>
              <w:keepNext w:val="0"/>
              <w:keepLines w:val="0"/>
              <w:widowControl w:val="0"/>
              <w:suppressLineNumbers w:val="0"/>
              <w:spacing w:before="0" w:beforeAutospacing="0" w:after="0" w:afterAutospacing="0" w:line="240" w:lineRule="auto"/>
              <w:ind w:left="0" w:right="0" w:firstLine="542"/>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2大气环境影响分析</w:t>
            </w:r>
            <w:r>
              <w:rPr>
                <w:rFonts w:hint="eastAsia" w:ascii="宋体" w:hAnsi="宋体" w:eastAsia="宋体" w:cs="宋体"/>
                <w:b/>
                <w:bCs w:val="0"/>
                <w:color w:val="auto"/>
                <w:sz w:val="21"/>
                <w:szCs w:val="21"/>
                <w:lang w:val="en-US" w:eastAsia="zh-CN"/>
              </w:rPr>
              <w:t>及污染防治措施</w:t>
            </w:r>
          </w:p>
          <w:p>
            <w:pPr>
              <w:pStyle w:val="48"/>
              <w:keepNext w:val="0"/>
              <w:keepLines w:val="0"/>
              <w:widowControl w:val="0"/>
              <w:suppressLineNumbers w:val="0"/>
              <w:spacing w:before="0" w:beforeAutospacing="0" w:after="0" w:afterAutospacing="0" w:line="240" w:lineRule="auto"/>
              <w:ind w:left="0" w:right="0" w:firstLine="48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项目为升压站建设项目，生产营运过程中无废气产生，废气主要为职工食堂产生的油烟。升压站生活管理区食堂灶头上部要求安装排风罩，并在配套安装1台油烟净化装置，净化效率60%，可以满足《饮食业油烟排放标准（试行）》（GB18483-2001）中小型油烟最高允许排放浓度2mg/m</w:t>
            </w:r>
            <w:r>
              <w:rPr>
                <w:rFonts w:hint="eastAsia" w:ascii="宋体" w:hAnsi="宋体" w:eastAsia="宋体" w:cs="宋体"/>
                <w:b w:val="0"/>
                <w:bCs/>
                <w:color w:val="auto"/>
                <w:sz w:val="21"/>
                <w:szCs w:val="21"/>
                <w:vertAlign w:val="superscript"/>
                <w:lang w:val="en-US" w:eastAsia="zh-CN"/>
              </w:rPr>
              <w:t>3</w:t>
            </w:r>
            <w:r>
              <w:rPr>
                <w:rFonts w:hint="eastAsia" w:ascii="宋体" w:hAnsi="宋体" w:eastAsia="宋体" w:cs="宋体"/>
                <w:b w:val="0"/>
                <w:bCs/>
                <w:color w:val="auto"/>
                <w:sz w:val="21"/>
                <w:szCs w:val="21"/>
                <w:lang w:val="en-US" w:eastAsia="zh-CN"/>
              </w:rPr>
              <w:t>限值的要求。</w:t>
            </w:r>
          </w:p>
          <w:p>
            <w:pPr>
              <w:pStyle w:val="33"/>
              <w:keepNext w:val="0"/>
              <w:keepLines w:val="0"/>
              <w:widowControl w:val="0"/>
              <w:suppressLineNumbers w:val="0"/>
              <w:spacing w:before="0" w:beforeAutospacing="0" w:after="0" w:afterAutospacing="0" w:line="240" w:lineRule="auto"/>
              <w:ind w:left="0" w:right="0" w:firstLine="542"/>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3水环境影响分析</w:t>
            </w:r>
            <w:r>
              <w:rPr>
                <w:rFonts w:hint="eastAsia" w:ascii="宋体" w:hAnsi="宋体" w:eastAsia="宋体" w:cs="宋体"/>
                <w:b/>
                <w:bCs w:val="0"/>
                <w:color w:val="auto"/>
                <w:sz w:val="21"/>
                <w:szCs w:val="21"/>
                <w:lang w:val="en-US" w:eastAsia="zh-CN"/>
              </w:rPr>
              <w:t>及污染防治措施</w:t>
            </w:r>
          </w:p>
          <w:p>
            <w:pPr>
              <w:pStyle w:val="3"/>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outlineLvl w:val="1"/>
              <w:rPr>
                <w:rFonts w:hint="eastAsia" w:ascii="宋体" w:hAnsi="宋体" w:eastAsia="宋体" w:cs="宋体"/>
                <w:b w:val="0"/>
                <w:bCs/>
                <w:color w:val="auto"/>
                <w:sz w:val="21"/>
                <w:szCs w:val="21"/>
                <w:lang w:val="en-US" w:eastAsia="zh-CN"/>
              </w:rPr>
            </w:pPr>
            <w:bookmarkStart w:id="0" w:name="_Toc18668"/>
            <w:r>
              <w:rPr>
                <w:rFonts w:hint="eastAsia" w:ascii="宋体" w:hAnsi="宋体" w:eastAsia="宋体" w:cs="宋体"/>
                <w:b w:val="0"/>
                <w:bCs/>
                <w:color w:val="auto"/>
                <w:sz w:val="21"/>
                <w:szCs w:val="21"/>
                <w:lang w:val="en-US" w:eastAsia="zh-CN"/>
              </w:rPr>
              <w:t>项目建成后运营期废水主要为职工生活污水。项目产生的生活污水和经隔油池处理后的餐饮废水通过化粪池收集后排入项目区市政管网，最终进入胡杨河经济技术开发区南园区污水处理厂处理，生活污水排放满足《污水综合排放标准》（GB8978-1996）中三级排放标准。</w:t>
            </w:r>
          </w:p>
          <w:p>
            <w:pPr>
              <w:pStyle w:val="3"/>
              <w:widowControl w:val="0"/>
              <w:suppressLineNumbers w:val="0"/>
              <w:spacing w:before="0" w:beforeAutospacing="0" w:after="0" w:afterAutospacing="0" w:line="240" w:lineRule="auto"/>
              <w:ind w:left="0" w:right="0" w:firstLine="482"/>
              <w:jc w:val="both"/>
              <w:outlineLvl w:val="1"/>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4噪声环境影响分析</w:t>
            </w:r>
            <w:bookmarkEnd w:id="0"/>
            <w:r>
              <w:rPr>
                <w:rFonts w:hint="eastAsia" w:ascii="宋体" w:hAnsi="宋体" w:eastAsia="宋体" w:cs="宋体"/>
                <w:b/>
                <w:bCs w:val="0"/>
                <w:color w:val="auto"/>
                <w:sz w:val="21"/>
                <w:szCs w:val="21"/>
                <w:lang w:val="en-US" w:eastAsia="zh-CN"/>
              </w:rPr>
              <w:t>及污染防治措施</w:t>
            </w:r>
          </w:p>
          <w:p>
            <w:pPr>
              <w:pStyle w:val="3"/>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outlineLvl w:val="1"/>
              <w:rPr>
                <w:rFonts w:hint="eastAsia" w:ascii="宋体" w:hAnsi="宋体" w:eastAsia="宋体" w:cs="宋体"/>
                <w:b w:val="0"/>
                <w:bCs/>
                <w:snapToGrid w:val="0"/>
                <w:color w:val="auto"/>
                <w:sz w:val="21"/>
                <w:szCs w:val="21"/>
              </w:rPr>
            </w:pPr>
            <w:bookmarkStart w:id="1" w:name="_Toc2920"/>
            <w:r>
              <w:rPr>
                <w:rFonts w:hint="eastAsia" w:ascii="宋体" w:hAnsi="宋体" w:eastAsia="宋体" w:cs="宋体"/>
                <w:b w:val="0"/>
                <w:bCs/>
                <w:snapToGrid w:val="0"/>
                <w:color w:val="auto"/>
                <w:sz w:val="21"/>
                <w:szCs w:val="21"/>
              </w:rPr>
              <w:t>升压站噪声主要来源于变压器</w:t>
            </w:r>
            <w:r>
              <w:rPr>
                <w:rFonts w:hint="eastAsia" w:ascii="宋体" w:hAnsi="宋体" w:eastAsia="宋体" w:cs="宋体"/>
                <w:b w:val="0"/>
                <w:bCs/>
                <w:snapToGrid w:val="0"/>
                <w:color w:val="auto"/>
                <w:sz w:val="21"/>
                <w:szCs w:val="21"/>
                <w:lang w:eastAsia="zh-CN"/>
              </w:rPr>
              <w:t>，</w:t>
            </w:r>
            <w:r>
              <w:rPr>
                <w:rFonts w:hint="eastAsia" w:ascii="宋体" w:hAnsi="宋体" w:eastAsia="宋体" w:cs="宋体"/>
                <w:b w:val="0"/>
                <w:bCs/>
                <w:snapToGrid w:val="0"/>
                <w:color w:val="auto"/>
                <w:sz w:val="21"/>
                <w:szCs w:val="21"/>
              </w:rPr>
              <w:t>订货时对主变压器设备噪声招标要求控制到70dB（A）以下，减小主变压器设备对运行环境影响。二次设备室内，从建筑上考虑采用吸声材料，合理布置站区，并在升压站四周设置2.5m高实体围墙以减少噪声对人员的影响。采取措施后厂界噪声满足《工业企业厂界环境噪声排放标准》（GB12348-2008）中2类标准要求。</w:t>
            </w:r>
          </w:p>
          <w:p>
            <w:pPr>
              <w:pStyle w:val="3"/>
              <w:widowControl w:val="0"/>
              <w:suppressLineNumbers w:val="0"/>
              <w:spacing w:before="0" w:beforeAutospacing="0" w:after="0" w:afterAutospacing="0" w:line="240" w:lineRule="auto"/>
              <w:ind w:left="0" w:right="0" w:firstLine="482"/>
              <w:jc w:val="both"/>
              <w:outlineLvl w:val="1"/>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5固体废物影响分析</w:t>
            </w:r>
            <w:bookmarkEnd w:id="1"/>
            <w:r>
              <w:rPr>
                <w:rFonts w:hint="eastAsia" w:ascii="宋体" w:hAnsi="宋体" w:eastAsia="宋体" w:cs="宋体"/>
                <w:b/>
                <w:bCs w:val="0"/>
                <w:color w:val="auto"/>
                <w:sz w:val="21"/>
                <w:szCs w:val="21"/>
                <w:lang w:val="en-US" w:eastAsia="zh-CN"/>
              </w:rPr>
              <w:t>及污染防治措施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（1）危险废物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升压站内铅酸蓄电池电池使用寿命一般为4-5年，待蓄电池到寿命周期时，交由相关资质单位进行回收处理，废铅酸蓄电池不在升压站内贮存。含油抹布分类收集后在110kV升压站内危险废物暂存间暂存。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（2）生活垃圾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生活垃圾由升压站场区垃圾桶收集后定期由130团环卫部门统一清运。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项目固废去向明确，不会产生二次污染，对周围环境影响较小</w:t>
            </w:r>
            <w:r>
              <w:rPr>
                <w:rFonts w:hint="eastAsia" w:ascii="宋体" w:hAnsi="宋体" w:eastAsia="宋体" w:cs="宋体"/>
                <w:b w:val="0"/>
                <w:bCs/>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6电磁环境影响分析及环境保护措施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合理布局站内电气设备及配电装置，做好警示和防护指示标志及环保标志的悬挂设立工作，禁止无关人员进入升压站靠近带电架构；工程升压站、地下电缆工频电场、工频磁场强满足相关设计规范要求；制定安全操作规程，加强职工安全教育，加强电磁水平监测。采取措施后，升压站及110kV地下电缆对周围的环境产生的影响在可以接受的范围，升压站及线路工程电磁环境影响能满足《电磁环境控制限值》（GB8702-2014）中频率为50Hz时的电场强度≤4000V/m、磁感应强度≤100μT的限值要求。</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542"/>
              <w:jc w:val="both"/>
              <w:textAlignment w:val="auto"/>
              <w:rPr>
                <w:rFonts w:hint="eastAsia" w:ascii="宋体" w:hAnsi="宋体" w:eastAsia="宋体" w:cs="宋体"/>
                <w:b/>
                <w:bCs w:val="0"/>
                <w:color w:val="auto"/>
                <w:sz w:val="21"/>
                <w:szCs w:val="21"/>
              </w:rPr>
            </w:pPr>
            <w:bookmarkStart w:id="2" w:name="_GoBack"/>
            <w:r>
              <w:rPr>
                <w:rFonts w:hint="eastAsia" w:ascii="宋体" w:hAnsi="宋体" w:eastAsia="宋体" w:cs="宋体"/>
                <w:b/>
                <w:bCs w:val="0"/>
                <w:color w:val="auto"/>
                <w:sz w:val="21"/>
                <w:szCs w:val="21"/>
                <w:lang w:val="en-US" w:eastAsia="zh-CN"/>
              </w:rPr>
              <w:t>7</w:t>
            </w:r>
            <w:r>
              <w:rPr>
                <w:rFonts w:hint="eastAsia" w:ascii="宋体" w:hAnsi="宋体" w:eastAsia="宋体" w:cs="宋体"/>
                <w:b/>
                <w:bCs w:val="0"/>
                <w:color w:val="auto"/>
                <w:sz w:val="21"/>
                <w:szCs w:val="21"/>
              </w:rPr>
              <w:t>环境风险分析</w:t>
            </w:r>
            <w:r>
              <w:rPr>
                <w:rFonts w:hint="eastAsia" w:ascii="宋体" w:hAnsi="宋体" w:eastAsia="宋体" w:cs="宋体"/>
                <w:b/>
                <w:bCs w:val="0"/>
                <w:color w:val="auto"/>
                <w:sz w:val="21"/>
                <w:szCs w:val="21"/>
                <w:lang w:val="en-US" w:eastAsia="zh-CN"/>
              </w:rPr>
              <w:t>及污染防治措施</w:t>
            </w:r>
          </w:p>
          <w:bookmarkEnd w:id="2"/>
          <w:p>
            <w:pPr>
              <w:adjustRightInd w:val="0"/>
              <w:snapToGrid w:val="0"/>
              <w:spacing w:line="240" w:lineRule="auto"/>
              <w:ind w:firstLine="420" w:firstLineChars="200"/>
              <w:jc w:val="left"/>
              <w:rPr>
                <w:rFonts w:hint="eastAsia" w:ascii="宋体" w:hAnsi="宋体" w:eastAsia="宋体" w:cs="宋体"/>
                <w:b w:val="0"/>
                <w:bCs/>
                <w:snapToGrid/>
                <w:color w:val="auto"/>
                <w:kern w:val="2"/>
                <w:sz w:val="21"/>
                <w:szCs w:val="21"/>
                <w:lang w:val="en-US" w:eastAsia="zh-CN" w:bidi="ar-SA"/>
              </w:rPr>
            </w:pPr>
            <w:r>
              <w:rPr>
                <w:rFonts w:hint="eastAsia" w:ascii="宋体" w:hAnsi="宋体" w:eastAsia="宋体" w:cs="宋体"/>
                <w:b w:val="0"/>
                <w:bCs/>
                <w:snapToGrid/>
                <w:color w:val="auto"/>
                <w:kern w:val="2"/>
                <w:sz w:val="21"/>
                <w:szCs w:val="21"/>
                <w:lang w:val="en-US" w:eastAsia="zh-CN" w:bidi="ar-SA"/>
              </w:rPr>
              <w:t>本项目发升压汇集站运行期间可能引发环境风险事故的主要为变压器油燃爆。火灾发生后，将产生大量浓烟，其中含有因空气不足未完全燃烧而产生的CO及烟尘等有毒有害物质，对周围环境空气产生明显不利影响。</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outlineLvl w:val="6"/>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环境风险防范措施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outlineLvl w:val="6"/>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1）制订安全、防火制度，各岗位操作规范，环境管理巡查制度等，严格落实各项防火、用电安全和环境风险防范措施，加强对职工的安全教育，向项目区职工传授消防灭火知识等；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outlineLvl w:val="6"/>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加强项目区职工的风险意识和环境意识教育，增强安全、环境意识。提高人的责任心和主动性；强化管理人员岗位责任制，严格各项操作规程和奖惩制度，对操作人员进行系统的岗位培训，使每个操作人员都能够熟悉工作岗位责任及操作规程；设置专职或兼职环保监督管理员，负责本项目区的安全和环保问题，对事故易发部位、地点必须经常检查，杜绝事故隐患，发现问题及时处置并立即向有关部门报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Cs w:val="21"/>
                <w:highlight w:val="none"/>
              </w:rPr>
              <w:t>4）项目在线路设计及设备安装中，增加了防雷保护系统，维护电站长期稳定可靠运行。为使建筑物在受到直击雷和感应雷的雷击时能有可靠保护，在屋顶上设置避雷。为防止感应雷，在直流输入端和交流输出端分别设计安装专业防雷器件。按照《火力发电厂与变电站设计防火标准》（GB50229-2019）要求，在110kV升压站内设置容积约80m</w:t>
            </w:r>
            <w:r>
              <w:rPr>
                <w:rFonts w:hint="eastAsia" w:ascii="宋体" w:hAnsi="宋体" w:eastAsia="宋体" w:cs="宋体"/>
                <w:b w:val="0"/>
                <w:bCs/>
                <w:color w:val="auto"/>
                <w:szCs w:val="21"/>
                <w:highlight w:val="none"/>
                <w:vertAlign w:val="superscript"/>
              </w:rPr>
              <w:t>3</w:t>
            </w:r>
            <w:r>
              <w:rPr>
                <w:rFonts w:hint="eastAsia" w:ascii="宋体" w:hAnsi="宋体" w:eastAsia="宋体" w:cs="宋体"/>
                <w:b w:val="0"/>
                <w:bCs/>
                <w:color w:val="auto"/>
                <w:szCs w:val="21"/>
                <w:highlight w:val="none"/>
              </w:rPr>
              <w:t>的事故油池，在变压器底部设置一个70m</w:t>
            </w:r>
            <w:r>
              <w:rPr>
                <w:rFonts w:hint="eastAsia" w:ascii="宋体" w:hAnsi="宋体" w:eastAsia="宋体" w:cs="宋体"/>
                <w:b w:val="0"/>
                <w:bCs/>
                <w:color w:val="auto"/>
                <w:szCs w:val="21"/>
                <w:highlight w:val="none"/>
                <w:vertAlign w:val="superscript"/>
              </w:rPr>
              <w:t>3</w:t>
            </w:r>
            <w:r>
              <w:rPr>
                <w:rFonts w:hint="eastAsia" w:ascii="宋体" w:hAnsi="宋体" w:eastAsia="宋体" w:cs="宋体"/>
                <w:b w:val="0"/>
                <w:bCs/>
                <w:color w:val="auto"/>
                <w:szCs w:val="21"/>
                <w:highlight w:val="none"/>
              </w:rPr>
              <w:t>的贮油坑，贮油坑四周设置高出地面100mm的挡油坎，贮油坑内铺设卵石，坑底设有排油管，能将事故废油排至事故油池中，事故结束后，事故废油交由有危险废物处置资质的单位处置。</w:t>
            </w:r>
            <w:r>
              <w:rPr>
                <w:rFonts w:hint="eastAsia" w:ascii="宋体" w:hAnsi="宋体" w:eastAsia="宋体" w:cs="宋体"/>
                <w:b w:val="0"/>
                <w:bCs/>
                <w:color w:val="auto"/>
                <w:szCs w:val="21"/>
                <w:highlight w:val="none"/>
                <w:lang w:val="en-US" w:eastAsia="zh-CN"/>
              </w:rPr>
              <w:t>采取上述措施，本项目环境风险能够控制在可接受范围内。</w:t>
            </w:r>
          </w:p>
        </w:tc>
      </w:tr>
    </w:tbl>
    <w:p>
      <w:pPr>
        <w:ind w:firstLine="480" w:firstLineChars="200"/>
        <w:rPr>
          <w:rFonts w:eastAsia="Times New Roman"/>
          <w:bCs/>
          <w:color w:val="auto"/>
          <w:sz w:val="24"/>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156B5"/>
    <w:multiLevelType w:val="multilevel"/>
    <w:tmpl w:val="2A8156B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jA4ODFjOWFmM2ZiNmE3ODBkYjk5YWY3ZGY2ZDAifQ=="/>
  </w:docVars>
  <w:rsids>
    <w:rsidRoot w:val="00172A27"/>
    <w:rsid w:val="00120834"/>
    <w:rsid w:val="00120864"/>
    <w:rsid w:val="001C4319"/>
    <w:rsid w:val="002A2D51"/>
    <w:rsid w:val="002E1F02"/>
    <w:rsid w:val="003517A2"/>
    <w:rsid w:val="003B39B1"/>
    <w:rsid w:val="003D63B2"/>
    <w:rsid w:val="00416535"/>
    <w:rsid w:val="00461D7F"/>
    <w:rsid w:val="004B0771"/>
    <w:rsid w:val="005A5935"/>
    <w:rsid w:val="007F07D5"/>
    <w:rsid w:val="008B2BED"/>
    <w:rsid w:val="00961E08"/>
    <w:rsid w:val="00995A80"/>
    <w:rsid w:val="00A411B9"/>
    <w:rsid w:val="00A5148F"/>
    <w:rsid w:val="00A70829"/>
    <w:rsid w:val="00A9280F"/>
    <w:rsid w:val="00B13FCF"/>
    <w:rsid w:val="00B57A96"/>
    <w:rsid w:val="00C14474"/>
    <w:rsid w:val="00C22A9B"/>
    <w:rsid w:val="00C46842"/>
    <w:rsid w:val="00E74080"/>
    <w:rsid w:val="00F16330"/>
    <w:rsid w:val="00F31786"/>
    <w:rsid w:val="00F33FBD"/>
    <w:rsid w:val="00F805E1"/>
    <w:rsid w:val="0A425C9E"/>
    <w:rsid w:val="0C94266A"/>
    <w:rsid w:val="0CE9111F"/>
    <w:rsid w:val="0D8751E3"/>
    <w:rsid w:val="0EAE69D7"/>
    <w:rsid w:val="0F4A4FCB"/>
    <w:rsid w:val="129D6F1E"/>
    <w:rsid w:val="155803CD"/>
    <w:rsid w:val="18D12D7F"/>
    <w:rsid w:val="1B967FE9"/>
    <w:rsid w:val="1BEE50BA"/>
    <w:rsid w:val="1D3259C7"/>
    <w:rsid w:val="1DA96999"/>
    <w:rsid w:val="1FF73D42"/>
    <w:rsid w:val="26043262"/>
    <w:rsid w:val="27075144"/>
    <w:rsid w:val="28027D61"/>
    <w:rsid w:val="291D32B7"/>
    <w:rsid w:val="29EF225D"/>
    <w:rsid w:val="307F0270"/>
    <w:rsid w:val="30F3316C"/>
    <w:rsid w:val="41C521AA"/>
    <w:rsid w:val="42203F31"/>
    <w:rsid w:val="43FF02C7"/>
    <w:rsid w:val="442D7A4C"/>
    <w:rsid w:val="46BE0BE5"/>
    <w:rsid w:val="49E5140D"/>
    <w:rsid w:val="4AF10514"/>
    <w:rsid w:val="508E073E"/>
    <w:rsid w:val="563758D6"/>
    <w:rsid w:val="571717FA"/>
    <w:rsid w:val="58B07636"/>
    <w:rsid w:val="5C4A2E02"/>
    <w:rsid w:val="5CAD7F91"/>
    <w:rsid w:val="5D0B7710"/>
    <w:rsid w:val="5F1C41EF"/>
    <w:rsid w:val="6C490C0A"/>
    <w:rsid w:val="6E4C79A9"/>
    <w:rsid w:val="6E751F61"/>
    <w:rsid w:val="6F587813"/>
    <w:rsid w:val="7662101C"/>
    <w:rsid w:val="78113B6F"/>
    <w:rsid w:val="7A513882"/>
    <w:rsid w:val="7B5A7510"/>
    <w:rsid w:val="7E7B5C83"/>
    <w:rsid w:val="7F141E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eastAsia="方正小标宋简体"/>
      <w:bCs/>
      <w:kern w:val="44"/>
      <w:sz w:val="32"/>
      <w:szCs w:val="44"/>
    </w:rPr>
  </w:style>
  <w:style w:type="paragraph" w:styleId="3">
    <w:name w:val="heading 2"/>
    <w:basedOn w:val="4"/>
    <w:next w:val="1"/>
    <w:qFormat/>
    <w:uiPriority w:val="0"/>
    <w:pPr>
      <w:spacing w:line="360" w:lineRule="auto"/>
      <w:ind w:firstLine="200" w:firstLineChars="200"/>
      <w:outlineLvl w:val="1"/>
    </w:pPr>
    <w:rPr>
      <w:rFonts w:ascii="Times New Roman" w:hAnsi="Times New Roman" w:cs="Times New Roman"/>
      <w:szCs w:val="32"/>
    </w:rPr>
  </w:style>
  <w:style w:type="paragraph" w:styleId="4">
    <w:name w:val="heading 3"/>
    <w:basedOn w:val="1"/>
    <w:next w:val="1"/>
    <w:link w:val="23"/>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napToGrid w:val="0"/>
      <w:spacing w:before="60" w:after="60" w:line="360" w:lineRule="auto"/>
      <w:outlineLvl w:val="3"/>
    </w:pPr>
    <w:rPr>
      <w:rFonts w:ascii="黑体" w:hAnsi="黑体" w:eastAsia="黑体" w:cs="Times New Roman"/>
      <w:sz w:val="24"/>
      <w:lang w:val="en-US" w:eastAsia="zh-CN" w:bidi="ar-SA"/>
    </w:rPr>
  </w:style>
  <w:style w:type="character" w:default="1" w:styleId="19">
    <w:name w:val="Default Paragraph Font"/>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line="360" w:lineRule="auto"/>
      <w:ind w:firstLine="420" w:firstLineChars="200"/>
    </w:pPr>
    <w:rPr>
      <w:kern w:val="0"/>
      <w:sz w:val="20"/>
      <w:szCs w:val="20"/>
    </w:rPr>
  </w:style>
  <w:style w:type="paragraph" w:styleId="7">
    <w:name w:val="Body Text"/>
    <w:basedOn w:val="1"/>
    <w:next w:val="8"/>
    <w:link w:val="24"/>
    <w:qFormat/>
    <w:uiPriority w:val="0"/>
    <w:pPr>
      <w:spacing w:after="120" w:afterLines="0"/>
    </w:pPr>
  </w:style>
  <w:style w:type="paragraph" w:styleId="8">
    <w:name w:val="Body Text 2"/>
    <w:basedOn w:val="1"/>
    <w:qFormat/>
    <w:uiPriority w:val="0"/>
    <w:pPr>
      <w:spacing w:after="120" w:line="480" w:lineRule="auto"/>
    </w:pPr>
  </w:style>
  <w:style w:type="paragraph" w:styleId="9">
    <w:name w:val="Body Text Indent"/>
    <w:basedOn w:val="1"/>
    <w:next w:val="7"/>
    <w:link w:val="25"/>
    <w:qFormat/>
    <w:uiPriority w:val="0"/>
    <w:pPr>
      <w:spacing w:after="120" w:afterLines="0"/>
      <w:ind w:left="420" w:leftChars="200"/>
    </w:pPr>
    <w:rPr>
      <w:szCs w:val="22"/>
    </w:rPr>
  </w:style>
  <w:style w:type="paragraph" w:styleId="10">
    <w:name w:val="Plain Text"/>
    <w:basedOn w:val="1"/>
    <w:link w:val="26"/>
    <w:qFormat/>
    <w:uiPriority w:val="0"/>
    <w:rPr>
      <w:rFonts w:ascii="宋体" w:hAnsi="Courier New"/>
      <w:szCs w:val="21"/>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next w:val="1"/>
    <w:qFormat/>
    <w:uiPriority w:val="0"/>
    <w:pPr>
      <w:ind w:left="200" w:hanging="200" w:hanging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5">
    <w:name w:val="Body Text First Indent"/>
    <w:basedOn w:val="7"/>
    <w:link w:val="29"/>
    <w:qFormat/>
    <w:uiPriority w:val="0"/>
    <w:pPr>
      <w:adjustRightInd w:val="0"/>
      <w:spacing w:after="0" w:afterLines="0" w:line="360" w:lineRule="auto"/>
      <w:ind w:firstLine="454"/>
      <w:textAlignment w:val="baseline"/>
    </w:pPr>
    <w:rPr>
      <w:sz w:val="24"/>
    </w:rPr>
  </w:style>
  <w:style w:type="paragraph" w:styleId="16">
    <w:name w:val="Body Text First Indent 2"/>
    <w:basedOn w:val="9"/>
    <w:next w:val="1"/>
    <w:qFormat/>
    <w:uiPriority w:val="0"/>
    <w:pPr>
      <w:ind w:firstLine="420" w:firstLineChars="200"/>
    </w:pPr>
    <w:rPr>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paragraph" w:customStyle="1" w:styleId="21">
    <w:name w:val="Body Text First Indent 21"/>
    <w:basedOn w:val="22"/>
    <w:qFormat/>
    <w:uiPriority w:val="0"/>
    <w:pPr>
      <w:ind w:left="0" w:leftChars="0" w:firstLine="420"/>
    </w:pPr>
    <w:rPr>
      <w:rFonts w:ascii="Times New Roman" w:hAnsi="Times New Roman"/>
      <w:szCs w:val="22"/>
    </w:rPr>
  </w:style>
  <w:style w:type="paragraph" w:customStyle="1" w:styleId="22">
    <w:name w:val="Body Text Indent1"/>
    <w:basedOn w:val="1"/>
    <w:qFormat/>
    <w:uiPriority w:val="0"/>
    <w:pPr>
      <w:ind w:left="420" w:leftChars="200"/>
    </w:pPr>
  </w:style>
  <w:style w:type="character" w:customStyle="1" w:styleId="23">
    <w:name w:val="标题 3 字符"/>
    <w:link w:val="4"/>
    <w:qFormat/>
    <w:uiPriority w:val="0"/>
    <w:rPr>
      <w:b/>
      <w:bCs/>
      <w:kern w:val="2"/>
      <w:sz w:val="32"/>
      <w:szCs w:val="32"/>
    </w:rPr>
  </w:style>
  <w:style w:type="character" w:customStyle="1" w:styleId="24">
    <w:name w:val="正文文本 字符"/>
    <w:link w:val="7"/>
    <w:qFormat/>
    <w:uiPriority w:val="0"/>
    <w:rPr>
      <w:kern w:val="2"/>
      <w:sz w:val="21"/>
      <w:szCs w:val="24"/>
    </w:rPr>
  </w:style>
  <w:style w:type="character" w:customStyle="1" w:styleId="25">
    <w:name w:val="正文文本缩进 字符"/>
    <w:link w:val="9"/>
    <w:qFormat/>
    <w:uiPriority w:val="0"/>
    <w:rPr>
      <w:kern w:val="2"/>
      <w:sz w:val="21"/>
      <w:szCs w:val="22"/>
    </w:rPr>
  </w:style>
  <w:style w:type="character" w:customStyle="1" w:styleId="26">
    <w:name w:val="纯文本 字符"/>
    <w:link w:val="10"/>
    <w:qFormat/>
    <w:uiPriority w:val="0"/>
    <w:rPr>
      <w:rFonts w:ascii="宋体" w:hAnsi="Courier New" w:eastAsia="仿宋_GB2312" w:cs="宋体"/>
      <w:kern w:val="2"/>
      <w:sz w:val="28"/>
      <w:szCs w:val="24"/>
    </w:rPr>
  </w:style>
  <w:style w:type="character" w:customStyle="1" w:styleId="27">
    <w:name w:val="页脚 字符"/>
    <w:link w:val="11"/>
    <w:qFormat/>
    <w:uiPriority w:val="0"/>
    <w:rPr>
      <w:kern w:val="2"/>
      <w:sz w:val="18"/>
      <w:szCs w:val="18"/>
    </w:rPr>
  </w:style>
  <w:style w:type="character" w:customStyle="1" w:styleId="28">
    <w:name w:val="页眉 字符"/>
    <w:link w:val="12"/>
    <w:qFormat/>
    <w:uiPriority w:val="0"/>
    <w:rPr>
      <w:rFonts w:eastAsia="宋体"/>
      <w:kern w:val="2"/>
      <w:sz w:val="18"/>
      <w:szCs w:val="18"/>
      <w:lang w:val="en-US" w:eastAsia="zh-CN" w:bidi="ar-SA"/>
    </w:rPr>
  </w:style>
  <w:style w:type="character" w:customStyle="1" w:styleId="29">
    <w:name w:val="正文文本首行缩进 字符"/>
    <w:link w:val="15"/>
    <w:qFormat/>
    <w:uiPriority w:val="0"/>
    <w:rPr>
      <w:kern w:val="2"/>
      <w:sz w:val="24"/>
      <w:szCs w:val="24"/>
    </w:rPr>
  </w:style>
  <w:style w:type="paragraph" w:customStyle="1" w:styleId="30">
    <w:name w:val="样式 正文文本缩进 + 行距: 1.5 倍行距"/>
    <w:basedOn w:val="1"/>
    <w:qFormat/>
    <w:uiPriority w:val="0"/>
    <w:pPr>
      <w:spacing w:after="120" w:line="360" w:lineRule="auto"/>
      <w:ind w:left="90" w:leftChars="32" w:firstLine="560" w:firstLineChars="200"/>
    </w:pPr>
    <w:rPr>
      <w:rFonts w:cs="宋体"/>
      <w:sz w:val="24"/>
    </w:rPr>
  </w:style>
  <w:style w:type="character" w:customStyle="1" w:styleId="31">
    <w:name w:val="纯文本 Char Char"/>
    <w:qFormat/>
    <w:uiPriority w:val="0"/>
    <w:rPr>
      <w:rFonts w:ascii="宋体" w:hAnsi="Courier New" w:cs="Courier New"/>
      <w:kern w:val="2"/>
      <w:sz w:val="21"/>
      <w:szCs w:val="21"/>
    </w:rPr>
  </w:style>
  <w:style w:type="character" w:customStyle="1" w:styleId="32">
    <w:name w:val="正文(首行缩进) Char Char"/>
    <w:link w:val="33"/>
    <w:qFormat/>
    <w:uiPriority w:val="0"/>
    <w:rPr>
      <w:snapToGrid w:val="0"/>
      <w:color w:val="000000"/>
      <w:sz w:val="24"/>
      <w:szCs w:val="24"/>
    </w:rPr>
  </w:style>
  <w:style w:type="paragraph" w:customStyle="1" w:styleId="33">
    <w:name w:val="正文(首行缩进)"/>
    <w:basedOn w:val="1"/>
    <w:next w:val="1"/>
    <w:link w:val="32"/>
    <w:qFormat/>
    <w:uiPriority w:val="0"/>
    <w:pPr>
      <w:spacing w:line="360" w:lineRule="auto"/>
      <w:ind w:firstLine="540" w:firstLineChars="225"/>
    </w:pPr>
    <w:rPr>
      <w:snapToGrid w:val="0"/>
      <w:color w:val="000000"/>
      <w:kern w:val="0"/>
      <w:sz w:val="24"/>
    </w:rPr>
  </w:style>
  <w:style w:type="character" w:customStyle="1" w:styleId="34">
    <w:name w:val="YJ正文* 字符"/>
    <w:link w:val="35"/>
    <w:qFormat/>
    <w:uiPriority w:val="0"/>
    <w:rPr>
      <w:rFonts w:ascii="宋体" w:hAnsi="宋体" w:cs="宋体"/>
      <w:sz w:val="24"/>
      <w:szCs w:val="24"/>
    </w:rPr>
  </w:style>
  <w:style w:type="paragraph" w:customStyle="1" w:styleId="35">
    <w:name w:val="YJ正文*"/>
    <w:basedOn w:val="1"/>
    <w:link w:val="34"/>
    <w:qFormat/>
    <w:uiPriority w:val="0"/>
    <w:pPr>
      <w:widowControl/>
      <w:spacing w:line="520" w:lineRule="exact"/>
      <w:ind w:firstLine="200" w:firstLineChars="200"/>
    </w:pPr>
    <w:rPr>
      <w:rFonts w:ascii="宋体" w:hAnsi="宋体"/>
      <w:kern w:val="0"/>
      <w:sz w:val="24"/>
    </w:rPr>
  </w:style>
  <w:style w:type="character" w:customStyle="1" w:styleId="36">
    <w:name w:val="正文（用） Char"/>
    <w:link w:val="37"/>
    <w:qFormat/>
    <w:uiPriority w:val="0"/>
    <w:rPr>
      <w:kern w:val="0"/>
      <w:sz w:val="24"/>
      <w:szCs w:val="20"/>
    </w:rPr>
  </w:style>
  <w:style w:type="paragraph" w:customStyle="1" w:styleId="37">
    <w:name w:val="正文（用）"/>
    <w:basedOn w:val="1"/>
    <w:next w:val="1"/>
    <w:link w:val="36"/>
    <w:qFormat/>
    <w:uiPriority w:val="0"/>
    <w:pPr>
      <w:spacing w:line="360" w:lineRule="auto"/>
      <w:ind w:firstLine="200" w:firstLineChars="200"/>
    </w:pPr>
    <w:rPr>
      <w:kern w:val="0"/>
      <w:sz w:val="24"/>
      <w:szCs w:val="20"/>
    </w:rPr>
  </w:style>
  <w:style w:type="character" w:customStyle="1" w:styleId="38">
    <w:name w:val="正文1 Char Char"/>
    <w:link w:val="39"/>
    <w:qFormat/>
    <w:uiPriority w:val="0"/>
    <w:rPr>
      <w:rFonts w:cs="宋体"/>
      <w:kern w:val="2"/>
      <w:sz w:val="24"/>
    </w:rPr>
  </w:style>
  <w:style w:type="paragraph" w:customStyle="1" w:styleId="39">
    <w:name w:val="正文1"/>
    <w:basedOn w:val="1"/>
    <w:link w:val="38"/>
    <w:qFormat/>
    <w:uiPriority w:val="0"/>
    <w:pPr>
      <w:spacing w:line="360" w:lineRule="auto"/>
      <w:ind w:firstLine="200" w:firstLineChars="200"/>
    </w:pPr>
    <w:rPr>
      <w:sz w:val="24"/>
      <w:szCs w:val="20"/>
    </w:rPr>
  </w:style>
  <w:style w:type="paragraph" w:customStyle="1" w:styleId="40">
    <w:name w:val=" Char Char Char Char Char Char Char Char Char Char Char Char Char Char Char Char"/>
    <w:basedOn w:val="1"/>
    <w:qFormat/>
    <w:uiPriority w:val="0"/>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日期1"/>
    <w:basedOn w:val="1"/>
    <w:next w:val="1"/>
    <w:qFormat/>
    <w:uiPriority w:val="0"/>
    <w:rPr>
      <w:szCs w:val="21"/>
      <w:lang w:eastAsia="ar-SA"/>
    </w:rPr>
  </w:style>
  <w:style w:type="paragraph" w:customStyle="1" w:styleId="43">
    <w:name w:val="_正文格式"/>
    <w:basedOn w:val="1"/>
    <w:qFormat/>
    <w:uiPriority w:val="0"/>
    <w:pPr>
      <w:spacing w:line="500" w:lineRule="exact"/>
      <w:ind w:firstLine="567"/>
      <w:jc w:val="left"/>
    </w:pPr>
    <w:rPr>
      <w:sz w:val="24"/>
    </w:rPr>
  </w:style>
  <w:style w:type="paragraph" w:customStyle="1" w:styleId="44">
    <w:name w:val="文本"/>
    <w:basedOn w:val="1"/>
    <w:qFormat/>
    <w:uiPriority w:val="0"/>
    <w:pPr>
      <w:adjustRightInd w:val="0"/>
      <w:snapToGrid w:val="0"/>
      <w:spacing w:line="360" w:lineRule="auto"/>
      <w:ind w:firstLine="480" w:firstLineChars="200"/>
      <w:jc w:val="left"/>
    </w:pPr>
    <w:rPr>
      <w:sz w:val="24"/>
      <w:szCs w:val="24"/>
    </w:rPr>
  </w:style>
  <w:style w:type="paragraph" w:customStyle="1" w:styleId="45">
    <w:name w:val=" Char Char Char Char Char Char Char"/>
    <w:basedOn w:val="1"/>
    <w:qFormat/>
    <w:uiPriority w:val="0"/>
    <w:pPr>
      <w:widowControl/>
      <w:jc w:val="left"/>
    </w:pPr>
    <w:rPr>
      <w:rFonts w:ascii="Tahoma" w:hAnsi="Tahoma" w:cs="仿宋_GB2312"/>
      <w:kern w:val="0"/>
      <w:sz w:val="24"/>
      <w:szCs w:val="20"/>
    </w:rPr>
  </w:style>
  <w:style w:type="paragraph" w:customStyle="1" w:styleId="46">
    <w:name w:val="Char Char Char Char Char"/>
    <w:basedOn w:val="1"/>
    <w:qFormat/>
    <w:uiPriority w:val="0"/>
    <w:pPr>
      <w:snapToGrid w:val="0"/>
      <w:spacing w:line="360" w:lineRule="auto"/>
      <w:ind w:firstLine="200" w:firstLineChars="200"/>
    </w:pPr>
  </w:style>
  <w:style w:type="paragraph" w:customStyle="1" w:styleId="47">
    <w:name w:val="报告表正文"/>
    <w:basedOn w:val="1"/>
    <w:qFormat/>
    <w:uiPriority w:val="0"/>
    <w:pPr>
      <w:adjustRightInd w:val="0"/>
      <w:spacing w:line="312" w:lineRule="auto"/>
      <w:ind w:left="113" w:right="113" w:firstLine="482"/>
      <w:jc w:val="left"/>
    </w:pPr>
    <w:rPr>
      <w:rFonts w:ascii="宋体" w:hAnsi="宋体"/>
      <w:kern w:val="0"/>
      <w:sz w:val="24"/>
      <w:szCs w:val="22"/>
    </w:rPr>
  </w:style>
  <w:style w:type="paragraph" w:customStyle="1" w:styleId="48">
    <w:name w:val="00.正文格式"/>
    <w:basedOn w:val="6"/>
    <w:qFormat/>
    <w:uiPriority w:val="0"/>
    <w:pPr>
      <w:snapToGrid/>
      <w:spacing w:line="360" w:lineRule="auto"/>
      <w:ind w:firstLine="200" w:firstLineChars="200"/>
      <w:jc w:val="both"/>
    </w:pPr>
    <w:rPr>
      <w:rFonts w:ascii="Times New Roman" w:hAnsi="Times New Roman" w:cs="Times New Roman"/>
      <w:snapToGrid w:val="0"/>
    </w:rPr>
  </w:style>
  <w:style w:type="paragraph" w:customStyle="1" w:styleId="49">
    <w:name w:val="正文-1"/>
    <w:qFormat/>
    <w:uiPriority w:val="0"/>
    <w:pPr>
      <w:spacing w:line="480" w:lineRule="exact"/>
      <w:ind w:firstLine="200" w:firstLineChars="200"/>
      <w:jc w:val="both"/>
    </w:pPr>
    <w:rPr>
      <w:rFonts w:ascii="Times New Roman" w:hAnsi="Times New Roman" w:eastAsia="宋体" w:cs="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信念技术论坛</Company>
  <Pages>4</Pages>
  <Words>1832</Words>
  <Characters>1927</Characters>
  <Lines>6</Lines>
  <Paragraphs>1</Paragraphs>
  <TotalTime>1</TotalTime>
  <ScaleCrop>false</ScaleCrop>
  <LinksUpToDate>false</LinksUpToDate>
  <CharactersWithSpaces>1927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2021-03-15T04:24:00Z</dcterms:created>
  <dc:creator>Administrator</dc:creator>
  <cp:lastModifiedBy>admin</cp:lastModifiedBy>
  <dcterms:modified xsi:type="dcterms:W3CDTF">2023-10-26T05:10:35Z</dcterms:modified>
  <dc:title>序号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D2C858FBAE0E4BE6A7C6DC2E7481DD5D</vt:lpwstr>
  </property>
</Properties>
</file>