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42</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关于中石化新疆新春石油开发有限责任公司春风移动注汽锅炉工程</w:t>
      </w:r>
      <w:r>
        <w:rPr>
          <w:rFonts w:hint="eastAsia" w:ascii="方正小标宋简体" w:hAnsi="方正小标宋简体" w:eastAsia="方正小标宋简体" w:cs="方正小标宋简体"/>
          <w:color w:val="auto"/>
          <w:sz w:val="44"/>
          <w:szCs w:val="44"/>
          <w:highlight w:val="none"/>
          <w:lang w:val="zh-CN"/>
        </w:rPr>
        <w:t>环境影响报告表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中石化新疆新春石油开发有限责任公司：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你单位《关于审批中石化新疆新春石油开发有限责任公司春风移动注汽锅炉工程环境影响报告表的请示》收悉。经研究，批复如下：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该项目位于第七师胡杨河市128团春风油田老区</w:t>
      </w:r>
      <w:r>
        <w:rPr>
          <w:rFonts w:hint="eastAsia" w:eastAsia="仿宋_GB2312" w:cs="Times New Roman"/>
          <w:color w:val="auto"/>
          <w:szCs w:val="32"/>
          <w:highlight w:val="none"/>
          <w:lang w:eastAsia="zh-CN"/>
        </w:rPr>
        <w:t>，</w:t>
      </w:r>
      <w:r>
        <w:rPr>
          <w:rFonts w:hint="eastAsia" w:eastAsia="仿宋_GB2312" w:cs="Times New Roman"/>
          <w:color w:val="auto"/>
          <w:szCs w:val="32"/>
          <w:highlight w:val="none"/>
          <w:lang w:val="en-US" w:eastAsia="zh-CN"/>
        </w:rPr>
        <w:t>项目中心地理位置坐标为东经84°38′28.615″，北纬45°3′27.510″</w:t>
      </w:r>
      <w:r>
        <w:rPr>
          <w:rFonts w:hint="default" w:ascii="Times New Roman" w:hAnsi="Times New Roman" w:eastAsia="仿宋_GB2312" w:cs="Times New Roman"/>
          <w:color w:val="auto"/>
          <w:szCs w:val="32"/>
          <w:highlight w:val="none"/>
          <w:lang w:eastAsia="zh-CN"/>
        </w:rPr>
        <w:t>。项目为新建工程，建设3台15吨/时高压注汽锅炉，每台锅炉配套2个40立方米的储水罐和1个15立方米的排污罐，其余配套设施依托春风油田现有配套设施。项目主要包括主体工程、辅助工程、公用工程、环保工程和依托工程。项目总投资200万元，其中环保投资27万元，占总投资的13.5%</w:t>
      </w:r>
      <w:r>
        <w:rPr>
          <w:rFonts w:hint="default" w:ascii="Times New Roman" w:hAnsi="Times New Roman" w:eastAsia="仿宋_GB2312" w:cs="Times New Roman"/>
          <w:color w:val="auto"/>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eastAsia" w:ascii="Times New Roman" w:hAnsi="Times New Roman" w:eastAsia="仿宋_GB2312" w:cs="Times New Roman"/>
          <w:color w:val="000000" w:themeColor="text1"/>
          <w:kern w:val="0"/>
          <w:szCs w:val="32"/>
          <w:lang w:eastAsia="zh-CN"/>
          <w14:textFill>
            <w14:solidFill>
              <w14:schemeClr w14:val="tx1"/>
            </w14:solidFill>
          </w14:textFill>
        </w:rPr>
      </w:pPr>
      <w:r>
        <w:rPr>
          <w:rFonts w:hint="eastAsia" w:ascii="仿宋_GB2312" w:hAnsi="仿宋_GB2312" w:eastAsia="仿宋_GB2312" w:cs="仿宋_GB2312"/>
          <w:sz w:val="32"/>
          <w:szCs w:val="32"/>
          <w:highlight w:val="none"/>
          <w:lang w:eastAsia="zh-CN"/>
        </w:rPr>
        <w:t>（一）严格落实大气污染防治措施。高压注汽锅炉采用低氮燃烧技术，锅炉烟气由12米高的排气筒排放，颗粒物、二氧化硫排放</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sz w:val="32"/>
          <w:szCs w:val="32"/>
          <w:highlight w:val="none"/>
          <w:lang w:eastAsia="zh-CN"/>
        </w:rPr>
        <w:t>《锅炉大气污染物排放标准》（GB13271-2014）中表2新建锅炉大气污染物排放浓度限值，氮氧化物排放</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sz w:val="32"/>
          <w:szCs w:val="32"/>
          <w:highlight w:val="none"/>
          <w:lang w:eastAsia="zh-CN"/>
        </w:rPr>
        <w:t>《关于开展自治区2022年度夏秋季大气污染防治“冬病夏治”工作的通知》（新环大气函〔2022〕483号）标准要求。</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（二）严格落实水污染防治措施。软水设备反冲洗水和锅炉排水全部暂存于防渗排污罐，最终拉运至春风二号联合污水处理系统处理</w:t>
      </w:r>
      <w:r>
        <w:rPr>
          <w:rFonts w:hint="default" w:ascii="Times New Roman" w:hAnsi="Times New Roman" w:eastAsia="仿宋_GB2312" w:cs="Times New Roman"/>
          <w:szCs w:val="32"/>
          <w:highlight w:val="none"/>
        </w:rPr>
        <w:t>。</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）严格落实噪声污染防治措施。选用低噪声机械和设备，加强机械设备的维修、管理，厂界噪声排放执行《工业企业厂界环境噪声排放标准》（GB12348-2008）中</w:t>
      </w:r>
      <w:r>
        <w:rPr>
          <w:rFonts w:hint="eastAsia"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）固体废物实施分类管理并妥善处理处置。废离子交换树脂由厂家更换回收，不在厂区暂存</w:t>
      </w:r>
      <w:r>
        <w:rPr>
          <w:rFonts w:hint="default" w:ascii="Times New Roman" w:hAnsi="Times New Roman" w:eastAsia="仿宋_GB2312" w:cs="Times New Roman"/>
          <w:bCs/>
          <w:color w:val="auto"/>
          <w:kern w:val="0"/>
          <w:sz w:val="32"/>
          <w:szCs w:val="32"/>
          <w:highlight w:val="none"/>
          <w:lang w:val="en-US" w:eastAsia="zh-CN" w:bidi="ar-SA"/>
        </w:rPr>
        <w:t>。废机油和废油桶分类分区暂存于春风油田现有危险废物暂存间，定期交由有资质单位处置。危险废物收集、运输须按照《危险废物收集 贮存 运输技术规范》（HJ2025-2012）和《危险废物转移管理办法》要求进行。</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七</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、我局委托师市生态环境保护综合行政执法支队、</w:t>
      </w:r>
      <w:r>
        <w:rPr>
          <w:rFonts w:hint="eastAsia" w:eastAsia="仿宋_GB2312" w:cs="Times New Roman"/>
          <w:bCs/>
          <w:color w:val="auto"/>
          <w:szCs w:val="32"/>
          <w:highlight w:val="none"/>
          <w:lang w:val="en-US" w:eastAsia="zh-CN"/>
        </w:rPr>
        <w:t>128团经济发展办公室</w:t>
      </w:r>
      <w:r>
        <w:rPr>
          <w:rFonts w:hint="default" w:ascii="Times New Roman" w:hAnsi="Times New Roman" w:eastAsia="仿宋_GB2312" w:cs="Times New Roman"/>
          <w:bCs/>
          <w:color w:val="auto"/>
          <w:szCs w:val="32"/>
          <w:highlight w:val="none"/>
        </w:rPr>
        <w:t>组织开展该项目的“三同时”监督检查和日常监督管理工作。</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w:t>
      </w:r>
      <w:r>
        <w:rPr>
          <w:rFonts w:hint="eastAsia" w:eastAsia="仿宋_GB2312" w:cs="Times New Roman"/>
          <w:bCs/>
          <w:color w:val="auto"/>
          <w:szCs w:val="32"/>
          <w:highlight w:val="none"/>
          <w:lang w:val="en-US" w:eastAsia="zh-CN"/>
        </w:rPr>
        <w:t>128团经济发展办公室</w:t>
      </w:r>
      <w:r>
        <w:rPr>
          <w:rFonts w:hint="default" w:ascii="Times New Roman" w:hAnsi="Times New Roman" w:eastAsia="仿宋_GB2312" w:cs="Times New Roman"/>
          <w:bCs/>
          <w:color w:val="auto"/>
          <w:szCs w:val="32"/>
          <w:highlight w:val="none"/>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10</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12</w:t>
      </w:r>
      <w:r>
        <w:rPr>
          <w:rFonts w:hint="default" w:ascii="Times New Roman" w:hAnsi="Times New Roman" w:eastAsia="仿宋_GB2312" w:cs="Times New Roman"/>
          <w:bCs/>
          <w:color w:val="auto"/>
          <w:szCs w:val="32"/>
          <w:highlight w:val="none"/>
        </w:rPr>
        <w:t>日</w:t>
      </w:r>
    </w:p>
    <w:p>
      <w:pPr>
        <w:pStyle w:val="24"/>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抄送：师市生态环境保护综合行政执法支队，1</w:t>
      </w:r>
      <w:r>
        <w:rPr>
          <w:rFonts w:hint="eastAsia"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12</w:t>
      </w:r>
      <w:bookmarkStart w:id="0" w:name="_GoBack"/>
      <w:bookmarkEnd w:id="0"/>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8"/>
        <w:rFonts w:hint="eastAsia" w:ascii="仿宋_GB2312" w:eastAsia="仿宋_GB2312"/>
        <w:b/>
        <w:bCs/>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8"/>
        <w:rFonts w:ascii="仿宋_GB2312" w:eastAsia="仿宋_GB2312"/>
        <w:sz w:val="28"/>
        <w:szCs w:val="28"/>
      </w:rPr>
      <w:t>1</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8236132"/>
    <w:rsid w:val="08EC6D80"/>
    <w:rsid w:val="0B7218AA"/>
    <w:rsid w:val="13C9545A"/>
    <w:rsid w:val="16B800EE"/>
    <w:rsid w:val="177121A0"/>
    <w:rsid w:val="1803154F"/>
    <w:rsid w:val="20783D41"/>
    <w:rsid w:val="21162F81"/>
    <w:rsid w:val="21B87493"/>
    <w:rsid w:val="21DD6837"/>
    <w:rsid w:val="24057B5F"/>
    <w:rsid w:val="24696853"/>
    <w:rsid w:val="247C78BD"/>
    <w:rsid w:val="260C6FC7"/>
    <w:rsid w:val="26802C75"/>
    <w:rsid w:val="281A0A03"/>
    <w:rsid w:val="291034DE"/>
    <w:rsid w:val="2B665A9B"/>
    <w:rsid w:val="2BA03F96"/>
    <w:rsid w:val="2D8D3C0A"/>
    <w:rsid w:val="2E9A064C"/>
    <w:rsid w:val="2F130EE6"/>
    <w:rsid w:val="2F2B3664"/>
    <w:rsid w:val="2FEE4162"/>
    <w:rsid w:val="32C5491C"/>
    <w:rsid w:val="371F1D45"/>
    <w:rsid w:val="38453BBB"/>
    <w:rsid w:val="38D1110E"/>
    <w:rsid w:val="3BAC6099"/>
    <w:rsid w:val="3C25479F"/>
    <w:rsid w:val="3D7076AF"/>
    <w:rsid w:val="3EC1562C"/>
    <w:rsid w:val="3F0B4C4E"/>
    <w:rsid w:val="3F0E35AF"/>
    <w:rsid w:val="4419237E"/>
    <w:rsid w:val="45D948F4"/>
    <w:rsid w:val="47587B93"/>
    <w:rsid w:val="49E515CA"/>
    <w:rsid w:val="4CBF17F2"/>
    <w:rsid w:val="4CCA458A"/>
    <w:rsid w:val="4E410396"/>
    <w:rsid w:val="5075710B"/>
    <w:rsid w:val="50CD705E"/>
    <w:rsid w:val="52F45CCD"/>
    <w:rsid w:val="54231BA0"/>
    <w:rsid w:val="569B7F34"/>
    <w:rsid w:val="5C9A650C"/>
    <w:rsid w:val="600D34CB"/>
    <w:rsid w:val="609006D2"/>
    <w:rsid w:val="66BE66CF"/>
    <w:rsid w:val="687436E1"/>
    <w:rsid w:val="68991CEA"/>
    <w:rsid w:val="69AB5601"/>
    <w:rsid w:val="6B762AC2"/>
    <w:rsid w:val="6D272415"/>
    <w:rsid w:val="6D4318D3"/>
    <w:rsid w:val="701D640C"/>
    <w:rsid w:val="721320EC"/>
    <w:rsid w:val="73323C81"/>
    <w:rsid w:val="745A0337"/>
    <w:rsid w:val="76E82012"/>
    <w:rsid w:val="77FA7033"/>
    <w:rsid w:val="78FB5758"/>
    <w:rsid w:val="79621333"/>
    <w:rsid w:val="796A57B5"/>
    <w:rsid w:val="798C319D"/>
    <w:rsid w:val="799F65BB"/>
    <w:rsid w:val="79F35C8E"/>
    <w:rsid w:val="7A995229"/>
    <w:rsid w:val="7D7B4DE1"/>
    <w:rsid w:val="7DF627CA"/>
    <w:rsid w:val="7E0E1A8A"/>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paragraph" w:styleId="5">
    <w:name w:val="heading 4"/>
    <w:basedOn w:val="1"/>
    <w:next w:val="1"/>
    <w:qFormat/>
    <w:uiPriority w:val="99"/>
    <w:pPr>
      <w:keepNext/>
      <w:keepLines/>
      <w:numPr>
        <w:ilvl w:val="3"/>
        <w:numId w:val="2"/>
      </w:numPr>
      <w:spacing w:line="360" w:lineRule="auto"/>
      <w:outlineLvl w:val="3"/>
    </w:pPr>
    <w:rPr>
      <w:rFonts w:ascii="Arial" w:hAnsi="Arial"/>
      <w:b/>
      <w:sz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宋体" w:hAnsi="宋体"/>
    </w:rPr>
  </w:style>
  <w:style w:type="paragraph" w:styleId="7">
    <w:name w:val="annotation text"/>
    <w:basedOn w:val="1"/>
    <w:unhideWhenUsed/>
    <w:qFormat/>
    <w:uiPriority w:val="99"/>
    <w:pPr>
      <w:jc w:val="left"/>
    </w:pPr>
  </w:style>
  <w:style w:type="paragraph" w:styleId="8">
    <w:name w:val="Body Text"/>
    <w:basedOn w:val="1"/>
    <w:next w:val="1"/>
    <w:qFormat/>
    <w:uiPriority w:val="0"/>
    <w:rPr>
      <w:rFonts w:eastAsia="华文中宋"/>
      <w:b/>
      <w:bCs/>
      <w:w w:val="90"/>
      <w:sz w:val="44"/>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index heading"/>
    <w:basedOn w:val="1"/>
    <w:next w:val="13"/>
    <w:qFormat/>
    <w:uiPriority w:val="0"/>
  </w:style>
  <w:style w:type="paragraph" w:styleId="13">
    <w:name w:val="index 1"/>
    <w:basedOn w:val="1"/>
    <w:next w:val="1"/>
    <w:qFormat/>
    <w:uiPriority w:val="0"/>
  </w:style>
  <w:style w:type="paragraph" w:styleId="14">
    <w:name w:val="Body Text 2"/>
    <w:basedOn w:val="1"/>
    <w:unhideWhenUsed/>
    <w:qFormat/>
    <w:uiPriority w:val="99"/>
    <w:pPr>
      <w:spacing w:after="120" w:line="480" w:lineRule="auto"/>
    </w:pPr>
  </w:style>
  <w:style w:type="paragraph" w:styleId="15">
    <w:name w:val="Body Text First Indent 2"/>
    <w:basedOn w:val="1"/>
    <w:next w:val="1"/>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18">
    <w:name w:val="page number"/>
    <w:basedOn w:val="17"/>
    <w:qFormat/>
    <w:uiPriority w:val="0"/>
  </w:style>
  <w:style w:type="paragraph" w:customStyle="1" w:styleId="19">
    <w:name w:val="Body Text First Indent 21"/>
    <w:basedOn w:val="20"/>
    <w:qFormat/>
    <w:uiPriority w:val="0"/>
    <w:pPr>
      <w:ind w:left="0" w:leftChars="0" w:firstLine="420"/>
    </w:pPr>
    <w:rPr>
      <w:rFonts w:ascii="Times New Roman" w:hAnsi="Times New Roman"/>
      <w:szCs w:val="22"/>
    </w:rPr>
  </w:style>
  <w:style w:type="paragraph" w:customStyle="1" w:styleId="20">
    <w:name w:val="Body Text Indent1"/>
    <w:basedOn w:val="1"/>
    <w:qFormat/>
    <w:uiPriority w:val="0"/>
    <w:pPr>
      <w:ind w:left="420" w:leftChars="200"/>
    </w:pPr>
  </w:style>
  <w:style w:type="paragraph" w:customStyle="1" w:styleId="21">
    <w:name w:val="Default"/>
    <w:basedOn w:val="22"/>
    <w:next w:val="23"/>
    <w:qFormat/>
    <w:uiPriority w:val="0"/>
    <w:pPr>
      <w:autoSpaceDE w:val="0"/>
      <w:autoSpaceDN w:val="0"/>
    </w:pPr>
    <w:rPr>
      <w:rFonts w:ascii="Times New Roman" w:hAnsi="Times New Roman" w:eastAsia="宋体" w:cs="Times New Roman"/>
      <w:color w:val="000000"/>
      <w:sz w:val="24"/>
      <w:szCs w:val="24"/>
    </w:rPr>
  </w:style>
  <w:style w:type="paragraph" w:customStyle="1" w:styleId="22">
    <w:name w:val="纯文本1"/>
    <w:basedOn w:val="1"/>
    <w:qFormat/>
    <w:uiPriority w:val="0"/>
    <w:pPr>
      <w:adjustRightInd w:val="0"/>
      <w:textAlignment w:val="baseline"/>
    </w:pPr>
    <w:rPr>
      <w:rFonts w:ascii="宋体" w:hAnsi="Courier New"/>
      <w:szCs w:val="20"/>
    </w:rPr>
  </w:style>
  <w:style w:type="paragraph" w:customStyle="1" w:styleId="23">
    <w:name w:val="样式1"/>
    <w:basedOn w:val="12"/>
    <w:next w:val="1"/>
    <w:qFormat/>
    <w:uiPriority w:val="0"/>
    <w:pPr>
      <w:ind w:firstLine="0"/>
    </w:pPr>
    <w:rPr>
      <w:rFonts w:ascii="Times New Roman"/>
      <w:b/>
      <w:sz w:val="30"/>
    </w:rPr>
  </w:style>
  <w:style w:type="paragraph" w:customStyle="1" w:styleId="24">
    <w:name w:val="Char"/>
    <w:basedOn w:val="1"/>
    <w:qFormat/>
    <w:uiPriority w:val="0"/>
    <w:rPr>
      <w:rFonts w:cs="宋体"/>
      <w:sz w:val="28"/>
    </w:rPr>
  </w:style>
  <w:style w:type="paragraph" w:customStyle="1" w:styleId="25">
    <w:name w:val="YJ正文*"/>
    <w:basedOn w:val="1"/>
    <w:qFormat/>
    <w:uiPriority w:val="0"/>
    <w:pPr>
      <w:spacing w:line="500" w:lineRule="exact"/>
      <w:ind w:firstLine="200" w:firstLineChars="200"/>
      <w:jc w:val="both"/>
    </w:pPr>
    <w:rPr>
      <w:rFonts w:ascii="等线" w:hAnsi="等线" w:eastAsia="宋体"/>
      <w:sz w:val="24"/>
    </w:rPr>
  </w:style>
  <w:style w:type="paragraph" w:customStyle="1" w:styleId="26">
    <w:name w:val="表字-书"/>
    <w:basedOn w:val="1"/>
    <w:qFormat/>
    <w:uiPriority w:val="0"/>
    <w:pPr>
      <w:spacing w:line="240" w:lineRule="exact"/>
      <w:ind w:firstLine="0" w:firstLineChars="0"/>
      <w:jc w:val="center"/>
    </w:pPr>
    <w:rPr>
      <w:rFonts w:hAnsi="宋体"/>
      <w:sz w:val="21"/>
      <w:szCs w:val="21"/>
    </w:rPr>
  </w:style>
  <w:style w:type="paragraph" w:customStyle="1" w:styleId="27">
    <w:name w:val="表格内"/>
    <w:basedOn w:val="1"/>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1551</Words>
  <Characters>1646</Characters>
  <Lines>11</Lines>
  <Paragraphs>3</Paragraphs>
  <TotalTime>5</TotalTime>
  <ScaleCrop>false</ScaleCrop>
  <LinksUpToDate>false</LinksUpToDate>
  <CharactersWithSpaces>1683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2023-07-26T03:55:00Z</cp:lastPrinted>
  <dcterms:modified xsi:type="dcterms:W3CDTF">2023-10-08T10:10:53Z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A1678C01A9454A24ADA3AE7A20555302_13</vt:lpwstr>
  </property>
</Properties>
</file>