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30"/>
        <w:tblW w:w="8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81"/>
        <w:gridCol w:w="2139"/>
        <w:gridCol w:w="1811"/>
        <w:gridCol w:w="27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建设项目名称</w:t>
            </w:r>
          </w:p>
        </w:tc>
        <w:tc>
          <w:tcPr>
            <w:tcW w:w="6718" w:type="dxa"/>
            <w:gridSpan w:val="3"/>
            <w:vAlign w:val="center"/>
          </w:tcPr>
          <w:p>
            <w:pPr>
              <w:adjustRightInd w:val="0"/>
              <w:snapToGrid w:val="0"/>
              <w:jc w:val="center"/>
              <w:rPr>
                <w:color w:val="auto"/>
                <w:sz w:val="24"/>
              </w:rPr>
            </w:pPr>
            <w:r>
              <w:rPr>
                <w:rFonts w:hint="eastAsia"/>
                <w:color w:val="auto"/>
                <w:sz w:val="24"/>
              </w:rPr>
              <w:t>131团奎屯广合商品混凝土有限责任公司HZS-120商品混凝土搅拌站及混凝土预制构件生产线建设项目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项目代码</w:t>
            </w:r>
          </w:p>
        </w:tc>
        <w:tc>
          <w:tcPr>
            <w:tcW w:w="6718" w:type="dxa"/>
            <w:gridSpan w:val="3"/>
            <w:vAlign w:val="center"/>
          </w:tcPr>
          <w:p>
            <w:pPr>
              <w:adjustRightInd w:val="0"/>
              <w:snapToGrid w:val="0"/>
              <w:jc w:val="center"/>
              <w:rPr>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建设单位联系人</w:t>
            </w:r>
          </w:p>
        </w:tc>
        <w:tc>
          <w:tcPr>
            <w:tcW w:w="2139" w:type="dxa"/>
            <w:vAlign w:val="center"/>
          </w:tcPr>
          <w:p>
            <w:pPr>
              <w:adjustRightInd w:val="0"/>
              <w:snapToGrid w:val="0"/>
              <w:jc w:val="center"/>
              <w:rPr>
                <w:color w:val="auto"/>
                <w:sz w:val="24"/>
              </w:rPr>
            </w:pPr>
            <w:r>
              <w:rPr>
                <w:rFonts w:hint="eastAsia"/>
                <w:color w:val="auto"/>
              </w:rPr>
              <w:t>马勇宁</w:t>
            </w:r>
          </w:p>
        </w:tc>
        <w:tc>
          <w:tcPr>
            <w:tcW w:w="1811" w:type="dxa"/>
            <w:vAlign w:val="center"/>
          </w:tcPr>
          <w:p>
            <w:pPr>
              <w:adjustRightInd w:val="0"/>
              <w:snapToGrid w:val="0"/>
              <w:jc w:val="center"/>
              <w:rPr>
                <w:color w:val="auto"/>
                <w:sz w:val="24"/>
              </w:rPr>
            </w:pPr>
            <w:r>
              <w:rPr>
                <w:color w:val="auto"/>
                <w:sz w:val="24"/>
              </w:rPr>
              <w:t>联系方式</w:t>
            </w:r>
          </w:p>
        </w:tc>
        <w:tc>
          <w:tcPr>
            <w:tcW w:w="2765" w:type="dxa"/>
            <w:vAlign w:val="center"/>
          </w:tcPr>
          <w:p>
            <w:pPr>
              <w:adjustRightInd w:val="0"/>
              <w:snapToGrid w:val="0"/>
              <w:jc w:val="center"/>
              <w:rPr>
                <w:color w:val="auto"/>
                <w:sz w:val="24"/>
              </w:rPr>
            </w:pPr>
            <w:r>
              <w:rPr>
                <w:rFonts w:hint="eastAsia"/>
                <w:color w:val="auto"/>
                <w:sz w:val="24"/>
              </w:rPr>
              <w:t>13309921611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建设地点</w:t>
            </w:r>
          </w:p>
        </w:tc>
        <w:tc>
          <w:tcPr>
            <w:tcW w:w="6718" w:type="dxa"/>
            <w:gridSpan w:val="3"/>
            <w:vAlign w:val="center"/>
          </w:tcPr>
          <w:p>
            <w:pPr>
              <w:adjustRightInd w:val="0"/>
              <w:snapToGrid w:val="0"/>
              <w:jc w:val="center"/>
              <w:rPr>
                <w:rFonts w:hint="default" w:eastAsia="宋体"/>
                <w:color w:val="auto"/>
                <w:sz w:val="24"/>
                <w:lang w:val="en-US" w:eastAsia="zh-CN"/>
              </w:rPr>
            </w:pPr>
            <w:r>
              <w:rPr>
                <w:color w:val="auto"/>
                <w:sz w:val="24"/>
              </w:rPr>
              <w:t>新疆</w:t>
            </w:r>
            <w:r>
              <w:rPr>
                <w:rFonts w:hint="eastAsia"/>
                <w:color w:val="auto"/>
                <w:sz w:val="24"/>
              </w:rPr>
              <w:t>生产建设兵团第七师131团10连</w:t>
            </w:r>
            <w:r>
              <w:rPr>
                <w:rFonts w:hint="eastAsia"/>
                <w:color w:val="auto"/>
                <w:sz w:val="24"/>
                <w:lang w:val="en-US" w:eastAsia="zh-CN"/>
              </w:rPr>
              <w:t>011号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地理坐标</w:t>
            </w:r>
          </w:p>
        </w:tc>
        <w:tc>
          <w:tcPr>
            <w:tcW w:w="6718" w:type="dxa"/>
            <w:gridSpan w:val="3"/>
            <w:vAlign w:val="center"/>
          </w:tcPr>
          <w:p>
            <w:pPr>
              <w:jc w:val="center"/>
              <w:rPr>
                <w:color w:val="auto"/>
                <w:sz w:val="24"/>
              </w:rPr>
            </w:pPr>
            <w:r>
              <w:rPr>
                <w:color w:val="auto"/>
                <w:sz w:val="24"/>
              </w:rPr>
              <w:t>（</w:t>
            </w:r>
            <w:r>
              <w:rPr>
                <w:rFonts w:hint="eastAsia"/>
                <w:color w:val="auto"/>
                <w:sz w:val="24"/>
              </w:rPr>
              <w:t>东经</w:t>
            </w:r>
            <w:r>
              <w:rPr>
                <w:rFonts w:hint="eastAsia"/>
                <w:color w:val="auto"/>
                <w:sz w:val="24"/>
                <w:u w:val="single"/>
              </w:rPr>
              <w:t>84</w:t>
            </w:r>
            <w:r>
              <w:rPr>
                <w:color w:val="auto"/>
                <w:sz w:val="24"/>
              </w:rPr>
              <w:t>度</w:t>
            </w:r>
            <w:r>
              <w:rPr>
                <w:rFonts w:hint="eastAsia"/>
                <w:color w:val="auto"/>
                <w:sz w:val="24"/>
                <w:u w:val="single"/>
              </w:rPr>
              <w:t>49</w:t>
            </w:r>
            <w:r>
              <w:rPr>
                <w:color w:val="auto"/>
                <w:sz w:val="24"/>
              </w:rPr>
              <w:t>分</w:t>
            </w:r>
            <w:r>
              <w:rPr>
                <w:rFonts w:hint="eastAsia"/>
                <w:color w:val="auto"/>
                <w:sz w:val="24"/>
                <w:u w:val="single"/>
              </w:rPr>
              <w:t>32.280</w:t>
            </w:r>
            <w:r>
              <w:rPr>
                <w:color w:val="auto"/>
                <w:sz w:val="24"/>
              </w:rPr>
              <w:t>秒，</w:t>
            </w:r>
            <w:r>
              <w:rPr>
                <w:rFonts w:hint="eastAsia"/>
                <w:color w:val="auto"/>
                <w:sz w:val="24"/>
              </w:rPr>
              <w:t>北纬</w:t>
            </w:r>
            <w:r>
              <w:rPr>
                <w:rFonts w:hint="eastAsia"/>
                <w:color w:val="auto"/>
                <w:sz w:val="24"/>
                <w:u w:val="single"/>
              </w:rPr>
              <w:t>44</w:t>
            </w:r>
            <w:r>
              <w:rPr>
                <w:color w:val="auto"/>
                <w:sz w:val="24"/>
              </w:rPr>
              <w:t>度</w:t>
            </w:r>
            <w:r>
              <w:rPr>
                <w:rFonts w:hint="eastAsia"/>
                <w:color w:val="auto"/>
                <w:sz w:val="24"/>
                <w:u w:val="single"/>
              </w:rPr>
              <w:t>27</w:t>
            </w:r>
            <w:r>
              <w:rPr>
                <w:color w:val="auto"/>
                <w:sz w:val="24"/>
              </w:rPr>
              <w:t>分</w:t>
            </w:r>
            <w:r>
              <w:rPr>
                <w:rFonts w:hint="eastAsia"/>
                <w:color w:val="auto"/>
                <w:sz w:val="24"/>
                <w:u w:val="single"/>
              </w:rPr>
              <w:t>24.250</w:t>
            </w:r>
            <w:r>
              <w:rPr>
                <w:color w:val="auto"/>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国民经济</w:t>
            </w:r>
          </w:p>
          <w:p>
            <w:pPr>
              <w:adjustRightInd w:val="0"/>
              <w:snapToGrid w:val="0"/>
              <w:jc w:val="center"/>
              <w:rPr>
                <w:color w:val="auto"/>
                <w:sz w:val="24"/>
              </w:rPr>
            </w:pPr>
            <w:r>
              <w:rPr>
                <w:color w:val="auto"/>
                <w:sz w:val="24"/>
              </w:rPr>
              <w:t>行业类别</w:t>
            </w:r>
          </w:p>
        </w:tc>
        <w:tc>
          <w:tcPr>
            <w:tcW w:w="2139" w:type="dxa"/>
            <w:vAlign w:val="center"/>
          </w:tcPr>
          <w:p>
            <w:pPr>
              <w:adjustRightInd w:val="0"/>
              <w:snapToGrid w:val="0"/>
              <w:jc w:val="center"/>
              <w:rPr>
                <w:color w:val="auto"/>
                <w:sz w:val="24"/>
              </w:rPr>
            </w:pPr>
            <w:r>
              <w:rPr>
                <w:rFonts w:hint="eastAsia"/>
                <w:color w:val="auto"/>
                <w:sz w:val="24"/>
              </w:rPr>
              <w:t>C3021水泥制品制造</w:t>
            </w:r>
          </w:p>
        </w:tc>
        <w:tc>
          <w:tcPr>
            <w:tcW w:w="1811" w:type="dxa"/>
            <w:vAlign w:val="center"/>
          </w:tcPr>
          <w:p>
            <w:pPr>
              <w:adjustRightInd w:val="0"/>
              <w:snapToGrid w:val="0"/>
              <w:jc w:val="center"/>
              <w:rPr>
                <w:color w:val="auto"/>
                <w:sz w:val="24"/>
              </w:rPr>
            </w:pPr>
            <w:bookmarkStart w:id="0" w:name="_Hlk49843745"/>
            <w:r>
              <w:rPr>
                <w:color w:val="auto"/>
                <w:sz w:val="24"/>
              </w:rPr>
              <w:t>建设项目</w:t>
            </w:r>
          </w:p>
          <w:p>
            <w:pPr>
              <w:adjustRightInd w:val="0"/>
              <w:snapToGrid w:val="0"/>
              <w:jc w:val="center"/>
              <w:rPr>
                <w:color w:val="auto"/>
                <w:sz w:val="24"/>
              </w:rPr>
            </w:pPr>
            <w:r>
              <w:rPr>
                <w:color w:val="auto"/>
                <w:sz w:val="24"/>
              </w:rPr>
              <w:t>行业类别</w:t>
            </w:r>
            <w:bookmarkEnd w:id="0"/>
          </w:p>
        </w:tc>
        <w:tc>
          <w:tcPr>
            <w:tcW w:w="2765" w:type="dxa"/>
            <w:vAlign w:val="center"/>
          </w:tcPr>
          <w:p>
            <w:pPr>
              <w:adjustRightInd w:val="0"/>
              <w:snapToGrid w:val="0"/>
              <w:jc w:val="left"/>
              <w:rPr>
                <w:color w:val="auto"/>
                <w:sz w:val="24"/>
              </w:rPr>
            </w:pPr>
            <w:r>
              <w:rPr>
                <w:rFonts w:hint="eastAsia"/>
                <w:color w:val="auto"/>
                <w:sz w:val="24"/>
              </w:rPr>
              <w:t>二十七、非金属矿物制品业 55石膏、水泥制品及类似制品制造302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建设性质</w:t>
            </w:r>
          </w:p>
        </w:tc>
        <w:tc>
          <w:tcPr>
            <w:tcW w:w="2139" w:type="dxa"/>
            <w:vAlign w:val="center"/>
          </w:tcPr>
          <w:p>
            <w:pPr>
              <w:jc w:val="left"/>
              <w:rPr>
                <w:color w:val="auto"/>
                <w:sz w:val="24"/>
              </w:rPr>
            </w:pPr>
            <w:r>
              <w:rPr>
                <w:color w:val="auto"/>
                <w:sz w:val="24"/>
              </w:rPr>
              <w:sym w:font="Wingdings 2" w:char="0052"/>
            </w:r>
            <w:r>
              <w:rPr>
                <w:color w:val="auto"/>
                <w:sz w:val="24"/>
              </w:rPr>
              <w:t>新建（迁建）</w:t>
            </w:r>
          </w:p>
          <w:p>
            <w:pPr>
              <w:jc w:val="left"/>
              <w:rPr>
                <w:color w:val="auto"/>
                <w:sz w:val="24"/>
              </w:rPr>
            </w:pPr>
            <w:r>
              <w:rPr>
                <w:color w:val="auto"/>
                <w:sz w:val="24"/>
              </w:rPr>
              <w:sym w:font="Wingdings 2" w:char="00A3"/>
            </w:r>
            <w:r>
              <w:rPr>
                <w:color w:val="auto"/>
                <w:sz w:val="24"/>
              </w:rPr>
              <w:t>改建</w:t>
            </w:r>
          </w:p>
          <w:p>
            <w:pPr>
              <w:jc w:val="left"/>
              <w:rPr>
                <w:color w:val="auto"/>
                <w:sz w:val="24"/>
              </w:rPr>
            </w:pPr>
            <w:r>
              <w:rPr>
                <w:color w:val="auto"/>
                <w:sz w:val="24"/>
              </w:rPr>
              <w:sym w:font="Wingdings 2" w:char="00A3"/>
            </w:r>
            <w:r>
              <w:rPr>
                <w:color w:val="auto"/>
                <w:sz w:val="24"/>
              </w:rPr>
              <w:t>扩建</w:t>
            </w:r>
          </w:p>
          <w:p>
            <w:pPr>
              <w:jc w:val="left"/>
              <w:rPr>
                <w:color w:val="auto"/>
                <w:sz w:val="24"/>
              </w:rPr>
            </w:pPr>
            <w:r>
              <w:rPr>
                <w:color w:val="auto"/>
                <w:sz w:val="24"/>
              </w:rPr>
              <w:sym w:font="Wingdings 2" w:char="00A3"/>
            </w:r>
            <w:r>
              <w:rPr>
                <w:color w:val="auto"/>
                <w:sz w:val="24"/>
              </w:rPr>
              <w:t>技术改造</w:t>
            </w:r>
          </w:p>
        </w:tc>
        <w:tc>
          <w:tcPr>
            <w:tcW w:w="1811" w:type="dxa"/>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申报情形</w:t>
            </w:r>
          </w:p>
        </w:tc>
        <w:tc>
          <w:tcPr>
            <w:tcW w:w="2765" w:type="dxa"/>
            <w:vAlign w:val="center"/>
          </w:tcPr>
          <w:p>
            <w:pPr>
              <w:jc w:val="left"/>
              <w:rPr>
                <w:color w:val="auto"/>
                <w:sz w:val="24"/>
              </w:rPr>
            </w:pPr>
            <w:r>
              <w:rPr>
                <w:color w:val="auto"/>
                <w:sz w:val="24"/>
              </w:rPr>
              <w:sym w:font="Wingdings 2" w:char="0052"/>
            </w:r>
            <w:r>
              <w:rPr>
                <w:color w:val="auto"/>
                <w:sz w:val="24"/>
              </w:rPr>
              <w:t xml:space="preserve">首次申报项目             </w:t>
            </w:r>
          </w:p>
          <w:p>
            <w:pPr>
              <w:jc w:val="left"/>
              <w:rPr>
                <w:color w:val="auto"/>
                <w:sz w:val="24"/>
              </w:rPr>
            </w:pPr>
            <w:r>
              <w:rPr>
                <w:color w:val="auto"/>
                <w:sz w:val="24"/>
              </w:rPr>
              <w:sym w:font="Wingdings 2" w:char="00A3"/>
            </w:r>
            <w:r>
              <w:rPr>
                <w:color w:val="auto"/>
                <w:sz w:val="24"/>
              </w:rPr>
              <w:t>不予批准后再次申报项目</w:t>
            </w:r>
          </w:p>
          <w:p>
            <w:pPr>
              <w:jc w:val="left"/>
              <w:rPr>
                <w:color w:val="auto"/>
                <w:sz w:val="24"/>
              </w:rPr>
            </w:pPr>
            <w:r>
              <w:rPr>
                <w:color w:val="auto"/>
                <w:sz w:val="24"/>
              </w:rPr>
              <w:sym w:font="Wingdings 2" w:char="00A3"/>
            </w:r>
            <w:r>
              <w:rPr>
                <w:color w:val="auto"/>
                <w:sz w:val="24"/>
              </w:rPr>
              <w:t xml:space="preserve">超五年重新审核项目     </w:t>
            </w:r>
          </w:p>
          <w:p>
            <w:pPr>
              <w:jc w:val="left"/>
              <w:rPr>
                <w:color w:val="auto"/>
                <w:sz w:val="24"/>
              </w:rPr>
            </w:pPr>
            <w:r>
              <w:rPr>
                <w:color w:val="auto"/>
                <w:sz w:val="24"/>
              </w:rPr>
              <w:sym w:font="Wingdings 2" w:char="00A3"/>
            </w:r>
            <w:r>
              <w:rPr>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备案）部门（选填）</w:t>
            </w:r>
          </w:p>
        </w:tc>
        <w:tc>
          <w:tcPr>
            <w:tcW w:w="2139" w:type="dxa"/>
            <w:vAlign w:val="center"/>
          </w:tcPr>
          <w:p>
            <w:pPr>
              <w:adjustRightInd w:val="0"/>
              <w:snapToGrid w:val="0"/>
              <w:jc w:val="center"/>
              <w:rPr>
                <w:color w:val="auto"/>
                <w:sz w:val="24"/>
              </w:rPr>
            </w:pPr>
            <w:r>
              <w:rPr>
                <w:rFonts w:hint="eastAsia"/>
                <w:color w:val="auto"/>
                <w:sz w:val="24"/>
              </w:rPr>
              <w:t>新疆生产建设兵团第七师发展和改革委员会</w:t>
            </w:r>
          </w:p>
        </w:tc>
        <w:tc>
          <w:tcPr>
            <w:tcW w:w="1811" w:type="dxa"/>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2765" w:type="dxa"/>
            <w:vAlign w:val="center"/>
          </w:tcPr>
          <w:p>
            <w:pPr>
              <w:adjustRightInd w:val="0"/>
              <w:snapToGrid w:val="0"/>
              <w:jc w:val="center"/>
              <w:rPr>
                <w:color w:val="auto"/>
                <w:sz w:val="24"/>
              </w:rPr>
            </w:pPr>
            <w:r>
              <w:rPr>
                <w:rFonts w:hint="eastAsia"/>
                <w:color w:val="auto"/>
                <w:sz w:val="24"/>
              </w:rPr>
              <w:t>第七师（其他）备【2021】48号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2139" w:type="dxa"/>
            <w:vAlign w:val="center"/>
          </w:tcPr>
          <w:p>
            <w:pPr>
              <w:adjustRightInd w:val="0"/>
              <w:snapToGrid w:val="0"/>
              <w:jc w:val="center"/>
              <w:rPr>
                <w:color w:val="auto"/>
                <w:sz w:val="24"/>
              </w:rPr>
            </w:pPr>
            <w:r>
              <w:rPr>
                <w:rFonts w:hint="eastAsia"/>
                <w:color w:val="auto"/>
                <w:sz w:val="24"/>
              </w:rPr>
              <w:t>12587</w:t>
            </w:r>
          </w:p>
        </w:tc>
        <w:tc>
          <w:tcPr>
            <w:tcW w:w="1811" w:type="dxa"/>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765" w:type="dxa"/>
            <w:vAlign w:val="center"/>
          </w:tcPr>
          <w:p>
            <w:pPr>
              <w:adjustRightInd w:val="0"/>
              <w:snapToGrid w:val="0"/>
              <w:jc w:val="center"/>
              <w:rPr>
                <w:color w:val="auto"/>
                <w:sz w:val="24"/>
              </w:rPr>
            </w:pPr>
            <w:r>
              <w:rPr>
                <w:rFonts w:hint="eastAsia"/>
                <w:color w:val="auto"/>
                <w:sz w:val="24"/>
              </w:rPr>
              <w:t>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环保投资占比（%）</w:t>
            </w:r>
          </w:p>
        </w:tc>
        <w:tc>
          <w:tcPr>
            <w:tcW w:w="2139" w:type="dxa"/>
            <w:vAlign w:val="center"/>
          </w:tcPr>
          <w:p>
            <w:pPr>
              <w:adjustRightInd w:val="0"/>
              <w:snapToGrid w:val="0"/>
              <w:jc w:val="center"/>
              <w:rPr>
                <w:color w:val="auto"/>
                <w:sz w:val="24"/>
              </w:rPr>
            </w:pPr>
            <w:r>
              <w:rPr>
                <w:rFonts w:hint="eastAsia"/>
                <w:color w:val="auto"/>
                <w:sz w:val="24"/>
              </w:rPr>
              <w:t>0.73</w:t>
            </w:r>
          </w:p>
        </w:tc>
        <w:tc>
          <w:tcPr>
            <w:tcW w:w="1811" w:type="dxa"/>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765" w:type="dxa"/>
            <w:vAlign w:val="center"/>
          </w:tcPr>
          <w:p>
            <w:pPr>
              <w:adjustRightInd w:val="0"/>
              <w:snapToGrid w:val="0"/>
              <w:jc w:val="center"/>
              <w:rPr>
                <w:color w:val="auto"/>
                <w:sz w:val="24"/>
              </w:rPr>
            </w:pPr>
            <w:r>
              <w:rPr>
                <w:rFonts w:hint="eastAsia"/>
                <w:color w:val="auto"/>
                <w:sz w:val="24"/>
              </w:rPr>
              <w:t>2023.8-2023.11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81" w:type="dxa"/>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2139" w:type="dxa"/>
            <w:vAlign w:val="center"/>
          </w:tcPr>
          <w:p>
            <w:pPr>
              <w:adjustRightInd w:val="0"/>
              <w:snapToGrid w:val="0"/>
              <w:rPr>
                <w:color w:val="auto"/>
              </w:rPr>
            </w:pPr>
            <w:r>
              <w:rPr>
                <w:color w:val="auto"/>
                <w:sz w:val="24"/>
              </w:rPr>
              <w:sym w:font="Wingdings 2" w:char="0052"/>
            </w:r>
            <w:r>
              <w:rPr>
                <w:color w:val="auto"/>
                <w:sz w:val="24"/>
              </w:rPr>
              <w:t>否</w:t>
            </w:r>
          </w:p>
          <w:p>
            <w:pPr>
              <w:adjustRightInd w:val="0"/>
              <w:snapToGrid w:val="0"/>
              <w:rPr>
                <w:color w:val="auto"/>
                <w:sz w:val="24"/>
              </w:rPr>
            </w:pPr>
            <w:r>
              <w:rPr>
                <w:color w:val="auto"/>
                <w:sz w:val="24"/>
              </w:rPr>
              <w:sym w:font="Wingdings 2" w:char="00A3"/>
            </w:r>
            <w:r>
              <w:rPr>
                <w:color w:val="auto"/>
                <w:sz w:val="24"/>
              </w:rPr>
              <w:t>是：</w:t>
            </w:r>
            <w:r>
              <w:rPr>
                <w:color w:val="auto"/>
                <w:sz w:val="24"/>
                <w:u w:val="single"/>
              </w:rPr>
              <w:t xml:space="preserve">            </w:t>
            </w:r>
          </w:p>
        </w:tc>
        <w:tc>
          <w:tcPr>
            <w:tcW w:w="1811" w:type="dxa"/>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2765" w:type="dxa"/>
            <w:vAlign w:val="center"/>
          </w:tcPr>
          <w:p>
            <w:pPr>
              <w:adjustRightInd w:val="0"/>
              <w:snapToGrid w:val="0"/>
              <w:ind w:firstLine="240" w:firstLineChars="100"/>
              <w:jc w:val="center"/>
              <w:rPr>
                <w:color w:val="auto"/>
                <w:sz w:val="24"/>
              </w:rPr>
            </w:pPr>
            <w:r>
              <w:rPr>
                <w:rFonts w:hint="eastAsia"/>
                <w:color w:val="auto"/>
                <w:sz w:val="24"/>
              </w:rPr>
              <w:t>117048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81" w:type="dxa"/>
            <w:vAlign w:val="center"/>
          </w:tcPr>
          <w:p>
            <w:pPr>
              <w:autoSpaceDE w:val="0"/>
              <w:autoSpaceDN w:val="0"/>
              <w:adjustRightInd w:val="0"/>
              <w:snapToGrid w:val="0"/>
              <w:rPr>
                <w:color w:val="auto"/>
                <w:sz w:val="24"/>
              </w:rPr>
            </w:pPr>
            <w:r>
              <w:rPr>
                <w:color w:val="auto"/>
                <w:sz w:val="24"/>
              </w:rPr>
              <w:t>专项评价设置情况</w:t>
            </w:r>
          </w:p>
        </w:tc>
        <w:tc>
          <w:tcPr>
            <w:tcW w:w="6718" w:type="dxa"/>
            <w:gridSpan w:val="3"/>
            <w:vAlign w:val="center"/>
          </w:tcPr>
          <w:p>
            <w:pPr>
              <w:autoSpaceDE w:val="0"/>
              <w:autoSpaceDN w:val="0"/>
              <w:adjustRightInd w:val="0"/>
              <w:snapToGrid w:val="0"/>
              <w:spacing w:line="520" w:lineRule="exact"/>
              <w:jc w:val="center"/>
              <w:rPr>
                <w:color w:val="auto"/>
              </w:rPr>
            </w:pPr>
            <w:r>
              <w:rPr>
                <w:rFonts w:hint="eastAsia"/>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81" w:type="dxa"/>
            <w:vAlign w:val="center"/>
          </w:tcPr>
          <w:p>
            <w:pPr>
              <w:autoSpaceDE w:val="0"/>
              <w:autoSpaceDN w:val="0"/>
              <w:adjustRightInd w:val="0"/>
              <w:snapToGrid w:val="0"/>
              <w:jc w:val="center"/>
              <w:rPr>
                <w:color w:val="auto"/>
                <w:kern w:val="0"/>
                <w:sz w:val="24"/>
              </w:rPr>
            </w:pPr>
            <w:r>
              <w:rPr>
                <w:color w:val="auto"/>
                <w:sz w:val="24"/>
              </w:rPr>
              <w:t>规划情况</w:t>
            </w:r>
          </w:p>
        </w:tc>
        <w:tc>
          <w:tcPr>
            <w:tcW w:w="6718" w:type="dxa"/>
            <w:gridSpan w:val="3"/>
            <w:vAlign w:val="center"/>
          </w:tcPr>
          <w:p>
            <w:pPr>
              <w:autoSpaceDE w:val="0"/>
              <w:autoSpaceDN w:val="0"/>
              <w:adjustRightInd w:val="0"/>
              <w:snapToGrid w:val="0"/>
              <w:jc w:val="center"/>
              <w:rPr>
                <w:color w:val="auto"/>
                <w:kern w:val="0"/>
                <w:sz w:val="24"/>
              </w:rPr>
            </w:pPr>
            <w:r>
              <w:rPr>
                <w:rFonts w:hint="eastAsia"/>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81" w:type="dxa"/>
            <w:vAlign w:val="center"/>
          </w:tcPr>
          <w:p>
            <w:pPr>
              <w:adjustRightInd w:val="0"/>
              <w:snapToGrid w:val="0"/>
              <w:jc w:val="center"/>
              <w:rPr>
                <w:color w:val="auto"/>
                <w:sz w:val="24"/>
              </w:rPr>
            </w:pPr>
            <w:r>
              <w:rPr>
                <w:color w:val="auto"/>
                <w:sz w:val="24"/>
              </w:rPr>
              <w:t>规划环境影响</w:t>
            </w:r>
          </w:p>
          <w:p>
            <w:pPr>
              <w:adjustRightInd w:val="0"/>
              <w:snapToGrid w:val="0"/>
              <w:jc w:val="center"/>
              <w:rPr>
                <w:color w:val="auto"/>
                <w:kern w:val="0"/>
                <w:sz w:val="24"/>
              </w:rPr>
            </w:pPr>
            <w:r>
              <w:rPr>
                <w:color w:val="auto"/>
                <w:sz w:val="24"/>
              </w:rPr>
              <w:t>评价情况</w:t>
            </w:r>
          </w:p>
        </w:tc>
        <w:tc>
          <w:tcPr>
            <w:tcW w:w="6718" w:type="dxa"/>
            <w:gridSpan w:val="3"/>
            <w:vAlign w:val="center"/>
          </w:tcPr>
          <w:p>
            <w:pPr>
              <w:autoSpaceDE w:val="0"/>
              <w:autoSpaceDN w:val="0"/>
              <w:adjustRightInd w:val="0"/>
              <w:snapToGrid w:val="0"/>
              <w:spacing w:line="520" w:lineRule="exact"/>
              <w:jc w:val="center"/>
              <w:rPr>
                <w:color w:val="auto"/>
                <w:kern w:val="0"/>
                <w:sz w:val="24"/>
              </w:rPr>
            </w:pPr>
            <w:r>
              <w:rPr>
                <w:rFonts w:hint="eastAsia"/>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81" w:type="dxa"/>
            <w:vAlign w:val="center"/>
          </w:tcPr>
          <w:p>
            <w:pPr>
              <w:autoSpaceDE w:val="0"/>
              <w:autoSpaceDN w:val="0"/>
              <w:adjustRightInd w:val="0"/>
              <w:snapToGrid w:val="0"/>
              <w:jc w:val="center"/>
              <w:rPr>
                <w:color w:val="auto"/>
                <w:kern w:val="0"/>
                <w:sz w:val="24"/>
              </w:rPr>
            </w:pPr>
            <w:r>
              <w:rPr>
                <w:color w:val="auto"/>
                <w:kern w:val="0"/>
                <w:sz w:val="24"/>
              </w:rPr>
              <w:t>规划及规划环境</w:t>
            </w:r>
          </w:p>
          <w:p>
            <w:pPr>
              <w:autoSpaceDE w:val="0"/>
              <w:autoSpaceDN w:val="0"/>
              <w:adjustRightInd w:val="0"/>
              <w:snapToGrid w:val="0"/>
              <w:jc w:val="center"/>
              <w:rPr>
                <w:color w:val="auto"/>
                <w:kern w:val="0"/>
                <w:sz w:val="24"/>
              </w:rPr>
            </w:pPr>
            <w:r>
              <w:rPr>
                <w:color w:val="auto"/>
                <w:kern w:val="0"/>
                <w:sz w:val="24"/>
              </w:rPr>
              <w:t>影响评价符合性分析</w:t>
            </w:r>
          </w:p>
        </w:tc>
        <w:tc>
          <w:tcPr>
            <w:tcW w:w="6718" w:type="dxa"/>
            <w:gridSpan w:val="3"/>
            <w:vAlign w:val="center"/>
          </w:tcPr>
          <w:p>
            <w:pPr>
              <w:pStyle w:val="63"/>
              <w:spacing w:line="520" w:lineRule="atLeast"/>
              <w:ind w:firstLine="0" w:firstLineChars="0"/>
              <w:jc w:val="center"/>
              <w:rPr>
                <w:color w:val="auto"/>
              </w:rPr>
            </w:pPr>
            <w:r>
              <w:rPr>
                <w:rFonts w:hint="eastAsia"/>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81" w:type="dxa"/>
            <w:vAlign w:val="center"/>
          </w:tcPr>
          <w:p>
            <w:pPr>
              <w:autoSpaceDE w:val="0"/>
              <w:autoSpaceDN w:val="0"/>
              <w:adjustRightInd w:val="0"/>
              <w:snapToGrid w:val="0"/>
              <w:jc w:val="center"/>
              <w:rPr>
                <w:color w:val="auto"/>
                <w:kern w:val="0"/>
                <w:sz w:val="24"/>
              </w:rPr>
            </w:pPr>
            <w:r>
              <w:rPr>
                <w:color w:val="auto"/>
                <w:kern w:val="0"/>
                <w:sz w:val="24"/>
              </w:rPr>
              <w:t>其他符合性分析</w:t>
            </w:r>
          </w:p>
        </w:tc>
        <w:tc>
          <w:tcPr>
            <w:tcW w:w="6718" w:type="dxa"/>
            <w:gridSpan w:val="3"/>
            <w:vAlign w:val="center"/>
          </w:tcPr>
          <w:p>
            <w:pPr>
              <w:numPr>
                <w:ilvl w:val="0"/>
                <w:numId w:val="3"/>
              </w:numPr>
              <w:autoSpaceDE w:val="0"/>
              <w:autoSpaceDN w:val="0"/>
              <w:adjustRightInd w:val="0"/>
              <w:snapToGrid w:val="0"/>
              <w:spacing w:line="520" w:lineRule="exact"/>
              <w:rPr>
                <w:b/>
                <w:bCs/>
                <w:color w:val="auto"/>
                <w:sz w:val="24"/>
              </w:rPr>
            </w:pPr>
            <w:r>
              <w:rPr>
                <w:b/>
                <w:bCs/>
                <w:color w:val="auto"/>
                <w:sz w:val="24"/>
              </w:rPr>
              <w:t>项目“三线一单”符合性分析</w:t>
            </w:r>
          </w:p>
          <w:p>
            <w:pPr>
              <w:pStyle w:val="5"/>
              <w:numPr>
                <w:ilvl w:val="3"/>
                <w:numId w:val="0"/>
              </w:numPr>
              <w:spacing w:line="360" w:lineRule="auto"/>
              <w:ind w:firstLine="240" w:firstLineChars="100"/>
              <w:rPr>
                <w:color w:val="auto"/>
                <w:sz w:val="24"/>
              </w:rPr>
            </w:pPr>
            <w:r>
              <w:rPr>
                <w:color w:val="auto"/>
                <w:sz w:val="24"/>
              </w:rPr>
              <w:t>本项目与《第七师胡杨河市“三线一单”生态环境分区管控方案》符合性分析详见表1-1。</w:t>
            </w:r>
          </w:p>
          <w:p>
            <w:pPr>
              <w:widowControl/>
              <w:topLinePunct/>
              <w:adjustRightInd w:val="0"/>
              <w:snapToGrid w:val="0"/>
              <w:jc w:val="center"/>
              <w:rPr>
                <w:b/>
                <w:color w:val="auto"/>
                <w:szCs w:val="21"/>
              </w:rPr>
            </w:pPr>
            <w:r>
              <w:rPr>
                <w:b/>
                <w:color w:val="auto"/>
                <w:szCs w:val="21"/>
              </w:rPr>
              <w:t>表1-1  《与第七师胡杨河市“三线一单”生态环境分区管控方案》符合性分析</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008"/>
              <w:gridCol w:w="4527"/>
              <w:gridCol w:w="9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775" w:type="pct"/>
                  <w:tcBorders>
                    <w:tl2br w:val="nil"/>
                    <w:tr2bl w:val="nil"/>
                  </w:tcBorders>
                  <w:vAlign w:val="center"/>
                </w:tcPr>
                <w:p>
                  <w:pPr>
                    <w:jc w:val="center"/>
                    <w:rPr>
                      <w:color w:val="auto"/>
                      <w:szCs w:val="21"/>
                    </w:rPr>
                  </w:pPr>
                  <w:bookmarkStart w:id="1" w:name="_Hlk67410548"/>
                  <w:r>
                    <w:rPr>
                      <w:color w:val="auto"/>
                      <w:szCs w:val="21"/>
                    </w:rPr>
                    <w:t>分析内容</w:t>
                  </w:r>
                </w:p>
              </w:tc>
              <w:tc>
                <w:tcPr>
                  <w:tcW w:w="3480" w:type="pct"/>
                  <w:tcBorders>
                    <w:tl2br w:val="nil"/>
                    <w:tr2bl w:val="nil"/>
                  </w:tcBorders>
                  <w:vAlign w:val="center"/>
                </w:tcPr>
                <w:p>
                  <w:pPr>
                    <w:jc w:val="center"/>
                    <w:rPr>
                      <w:color w:val="auto"/>
                      <w:szCs w:val="21"/>
                    </w:rPr>
                  </w:pPr>
                  <w:r>
                    <w:rPr>
                      <w:color w:val="auto"/>
                      <w:szCs w:val="21"/>
                    </w:rPr>
                    <w:t>工程建设情况</w:t>
                  </w:r>
                </w:p>
              </w:tc>
              <w:tc>
                <w:tcPr>
                  <w:tcW w:w="743" w:type="pct"/>
                  <w:tcBorders>
                    <w:tl2br w:val="nil"/>
                    <w:tr2bl w:val="nil"/>
                  </w:tcBorders>
                  <w:vAlign w:val="center"/>
                </w:tcPr>
                <w:p>
                  <w:pPr>
                    <w:jc w:val="center"/>
                    <w:rPr>
                      <w:color w:val="auto"/>
                      <w:szCs w:val="21"/>
                    </w:rPr>
                  </w:pPr>
                  <w:r>
                    <w:rPr>
                      <w:color w:val="auto"/>
                      <w:szCs w:val="21"/>
                    </w:rPr>
                    <w:t>分析结论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775" w:type="pct"/>
                  <w:tcBorders>
                    <w:tl2br w:val="nil"/>
                    <w:tr2bl w:val="nil"/>
                  </w:tcBorders>
                  <w:vAlign w:val="center"/>
                </w:tcPr>
                <w:p>
                  <w:pPr>
                    <w:jc w:val="center"/>
                    <w:rPr>
                      <w:color w:val="auto"/>
                      <w:szCs w:val="21"/>
                    </w:rPr>
                  </w:pPr>
                  <w:r>
                    <w:rPr>
                      <w:color w:val="auto"/>
                      <w:szCs w:val="21"/>
                    </w:rPr>
                    <w:t>生态保护红线</w:t>
                  </w:r>
                </w:p>
              </w:tc>
              <w:tc>
                <w:tcPr>
                  <w:tcW w:w="3480" w:type="pct"/>
                  <w:tcBorders>
                    <w:tl2br w:val="nil"/>
                    <w:tr2bl w:val="nil"/>
                  </w:tcBorders>
                  <w:vAlign w:val="center"/>
                </w:tcPr>
                <w:p>
                  <w:pPr>
                    <w:jc w:val="center"/>
                    <w:rPr>
                      <w:color w:val="auto"/>
                      <w:szCs w:val="21"/>
                    </w:rPr>
                  </w:pPr>
                  <w:r>
                    <w:rPr>
                      <w:color w:val="auto"/>
                      <w:szCs w:val="21"/>
                      <w:lang w:eastAsia="zh-Hans"/>
                    </w:rPr>
                    <w:t>根据</w:t>
                  </w:r>
                  <w:r>
                    <w:rPr>
                      <w:color w:val="auto"/>
                      <w:szCs w:val="21"/>
                    </w:rPr>
                    <w:t>《第七师胡杨河市“三线一单”生态环境分区管控方案》可知，将第七师胡杨河市划定为66个环境管控单元，分为优先保护单元、重点管控单元以及一般管控单元，本项目位于</w:t>
                  </w:r>
                  <w:r>
                    <w:rPr>
                      <w:rFonts w:hint="eastAsia"/>
                      <w:color w:val="auto"/>
                      <w:szCs w:val="21"/>
                    </w:rPr>
                    <w:t>131</w:t>
                  </w:r>
                  <w:r>
                    <w:rPr>
                      <w:color w:val="auto"/>
                      <w:szCs w:val="21"/>
                    </w:rPr>
                    <w:t>团一般管控单元</w:t>
                  </w:r>
                  <w:r>
                    <w:rPr>
                      <w:color w:val="auto"/>
                      <w:szCs w:val="21"/>
                      <w:lang w:eastAsia="zh-Hans"/>
                    </w:rPr>
                    <w:t>，用地范围及周边未触及</w:t>
                  </w:r>
                  <w:r>
                    <w:rPr>
                      <w:color w:val="auto"/>
                      <w:szCs w:val="21"/>
                    </w:rPr>
                    <w:t>生态保护红线</w:t>
                  </w:r>
                  <w:r>
                    <w:rPr>
                      <w:color w:val="auto"/>
                      <w:szCs w:val="21"/>
                      <w:lang w:eastAsia="zh-Hans"/>
                    </w:rPr>
                    <w:t>。</w:t>
                  </w:r>
                </w:p>
              </w:tc>
              <w:tc>
                <w:tcPr>
                  <w:tcW w:w="743" w:type="pct"/>
                  <w:tcBorders>
                    <w:tl2br w:val="nil"/>
                    <w:tr2bl w:val="nil"/>
                  </w:tcBorders>
                  <w:vAlign w:val="center"/>
                </w:tcPr>
                <w:p>
                  <w:pPr>
                    <w:jc w:val="center"/>
                    <w:rPr>
                      <w:color w:val="auto"/>
                      <w:szCs w:val="21"/>
                    </w:rPr>
                  </w:pPr>
                  <w:r>
                    <w:rPr>
                      <w:color w:val="auto"/>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775" w:type="pct"/>
                  <w:tcBorders>
                    <w:tl2br w:val="nil"/>
                    <w:tr2bl w:val="nil"/>
                  </w:tcBorders>
                  <w:vAlign w:val="center"/>
                </w:tcPr>
                <w:p>
                  <w:pPr>
                    <w:jc w:val="center"/>
                    <w:rPr>
                      <w:color w:val="auto"/>
                      <w:szCs w:val="21"/>
                    </w:rPr>
                  </w:pPr>
                  <w:r>
                    <w:rPr>
                      <w:color w:val="auto"/>
                      <w:szCs w:val="21"/>
                    </w:rPr>
                    <w:t>环境质量底线</w:t>
                  </w:r>
                </w:p>
              </w:tc>
              <w:tc>
                <w:tcPr>
                  <w:tcW w:w="3480" w:type="pct"/>
                  <w:tcBorders>
                    <w:tl2br w:val="nil"/>
                    <w:tr2bl w:val="nil"/>
                  </w:tcBorders>
                  <w:vAlign w:val="center"/>
                </w:tcPr>
                <w:p>
                  <w:pPr>
                    <w:jc w:val="center"/>
                    <w:rPr>
                      <w:color w:val="auto"/>
                      <w:szCs w:val="21"/>
                    </w:rPr>
                  </w:pPr>
                  <w:r>
                    <w:rPr>
                      <w:color w:val="auto"/>
                      <w:szCs w:val="21"/>
                    </w:rPr>
                    <w:t>根据中华人民共和国生态环境部环境工程评估中心发布的“环境空气质量模型技术支持服务系统”中发布的数据，项目所在区域为环境空气质量达标区域。项目废气、噪声均能实现达标排放，无</w:t>
                  </w:r>
                  <w:r>
                    <w:rPr>
                      <w:rFonts w:hint="eastAsia"/>
                      <w:color w:val="auto"/>
                      <w:szCs w:val="21"/>
                    </w:rPr>
                    <w:t>生产</w:t>
                  </w:r>
                  <w:r>
                    <w:rPr>
                      <w:color w:val="auto"/>
                      <w:szCs w:val="21"/>
                    </w:rPr>
                    <w:t>废水排放，</w:t>
                  </w:r>
                  <w:r>
                    <w:rPr>
                      <w:rFonts w:hint="eastAsia"/>
                      <w:color w:val="auto"/>
                      <w:szCs w:val="21"/>
                    </w:rPr>
                    <w:t>生活污水经化粪池收集后拉运至奎屯市中区污水处理厂进行处理，</w:t>
                  </w:r>
                  <w:r>
                    <w:rPr>
                      <w:color w:val="auto"/>
                      <w:szCs w:val="21"/>
                    </w:rPr>
                    <w:t>固废均得到合理处置。运营过程对区域环境质量的影响较小，不会突破区域环境质量底线。</w:t>
                  </w:r>
                </w:p>
              </w:tc>
              <w:tc>
                <w:tcPr>
                  <w:tcW w:w="743" w:type="pct"/>
                  <w:tcBorders>
                    <w:tl2br w:val="nil"/>
                    <w:tr2bl w:val="nil"/>
                  </w:tcBorders>
                  <w:vAlign w:val="center"/>
                </w:tcPr>
                <w:p>
                  <w:pPr>
                    <w:jc w:val="center"/>
                    <w:rPr>
                      <w:color w:val="auto"/>
                      <w:spacing w:val="-8"/>
                      <w:szCs w:val="21"/>
                    </w:rPr>
                  </w:pPr>
                  <w:r>
                    <w:rPr>
                      <w:color w:val="auto"/>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775" w:type="pct"/>
                  <w:tcBorders>
                    <w:tl2br w:val="nil"/>
                    <w:tr2bl w:val="nil"/>
                  </w:tcBorders>
                  <w:vAlign w:val="center"/>
                </w:tcPr>
                <w:p>
                  <w:pPr>
                    <w:jc w:val="center"/>
                    <w:rPr>
                      <w:color w:val="auto"/>
                      <w:szCs w:val="21"/>
                    </w:rPr>
                  </w:pPr>
                  <w:r>
                    <w:rPr>
                      <w:color w:val="auto"/>
                      <w:szCs w:val="21"/>
                    </w:rPr>
                    <w:t>资源利用上线</w:t>
                  </w:r>
                </w:p>
              </w:tc>
              <w:tc>
                <w:tcPr>
                  <w:tcW w:w="3480" w:type="pct"/>
                  <w:tcBorders>
                    <w:tl2br w:val="nil"/>
                    <w:tr2bl w:val="nil"/>
                  </w:tcBorders>
                  <w:vAlign w:val="center"/>
                </w:tcPr>
                <w:p>
                  <w:pPr>
                    <w:jc w:val="center"/>
                    <w:rPr>
                      <w:color w:val="auto"/>
                      <w:szCs w:val="21"/>
                    </w:rPr>
                  </w:pPr>
                  <w:r>
                    <w:rPr>
                      <w:color w:val="auto"/>
                      <w:szCs w:val="21"/>
                    </w:rPr>
                    <w:t>项目运营过程中会消耗一定水、电资源，资源消耗量总体相对区域资源利用总量较少。用电由市政电网供应，用水来</w:t>
                  </w:r>
                  <w:r>
                    <w:rPr>
                      <w:rFonts w:hint="eastAsia"/>
                      <w:color w:val="auto"/>
                      <w:szCs w:val="21"/>
                      <w:lang w:eastAsia="zh-CN"/>
                    </w:rPr>
                    <w:t>自</w:t>
                  </w:r>
                  <w:r>
                    <w:rPr>
                      <w:color w:val="auto"/>
                      <w:szCs w:val="21"/>
                    </w:rPr>
                    <w:t>市政供水管网，用地符合土地规划，符合资源利用上限要求。</w:t>
                  </w:r>
                </w:p>
              </w:tc>
              <w:tc>
                <w:tcPr>
                  <w:tcW w:w="743" w:type="pct"/>
                  <w:tcBorders>
                    <w:tl2br w:val="nil"/>
                    <w:tr2bl w:val="nil"/>
                  </w:tcBorders>
                  <w:vAlign w:val="center"/>
                </w:tcPr>
                <w:p>
                  <w:pPr>
                    <w:jc w:val="center"/>
                    <w:rPr>
                      <w:color w:val="auto"/>
                      <w:szCs w:val="21"/>
                    </w:rPr>
                  </w:pPr>
                  <w:r>
                    <w:rPr>
                      <w:color w:val="auto"/>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4" w:hRule="atLeast"/>
                <w:jc w:val="center"/>
              </w:trPr>
              <w:tc>
                <w:tcPr>
                  <w:tcW w:w="775" w:type="pct"/>
                  <w:tcBorders>
                    <w:tl2br w:val="nil"/>
                    <w:tr2bl w:val="nil"/>
                  </w:tcBorders>
                  <w:vAlign w:val="center"/>
                </w:tcPr>
                <w:p>
                  <w:pPr>
                    <w:jc w:val="center"/>
                    <w:rPr>
                      <w:color w:val="auto"/>
                      <w:szCs w:val="21"/>
                    </w:rPr>
                  </w:pPr>
                  <w:r>
                    <w:rPr>
                      <w:color w:val="auto"/>
                      <w:szCs w:val="21"/>
                    </w:rPr>
                    <w:t>生态环境准入清单</w:t>
                  </w:r>
                </w:p>
              </w:tc>
              <w:tc>
                <w:tcPr>
                  <w:tcW w:w="3480" w:type="pct"/>
                  <w:tcBorders>
                    <w:tl2br w:val="nil"/>
                    <w:tr2bl w:val="nil"/>
                  </w:tcBorders>
                  <w:vAlign w:val="center"/>
                </w:tcPr>
                <w:p>
                  <w:pPr>
                    <w:jc w:val="center"/>
                    <w:rPr>
                      <w:color w:val="auto"/>
                      <w:szCs w:val="21"/>
                    </w:rPr>
                  </w:pPr>
                  <w:r>
                    <w:rPr>
                      <w:color w:val="auto"/>
                      <w:szCs w:val="21"/>
                    </w:rPr>
                    <w:t>根据《第七师胡杨河市“三线一单”生态环境分区管控方案》中附件3第七师胡杨河市生态环境准入清单，分析本项目生态环境准入符合性，详见表1-2。</w:t>
                  </w:r>
                </w:p>
              </w:tc>
              <w:tc>
                <w:tcPr>
                  <w:tcW w:w="743" w:type="pct"/>
                  <w:tcBorders>
                    <w:tl2br w:val="nil"/>
                    <w:tr2bl w:val="nil"/>
                  </w:tcBorders>
                  <w:vAlign w:val="center"/>
                </w:tcPr>
                <w:p>
                  <w:pPr>
                    <w:jc w:val="center"/>
                    <w:rPr>
                      <w:color w:val="auto"/>
                      <w:szCs w:val="21"/>
                    </w:rPr>
                  </w:pPr>
                  <w:r>
                    <w:rPr>
                      <w:color w:val="auto"/>
                      <w:szCs w:val="21"/>
                    </w:rPr>
                    <w:t>符合</w:t>
                  </w:r>
                </w:p>
              </w:tc>
            </w:tr>
            <w:bookmarkEnd w:id="1"/>
          </w:tbl>
          <w:p>
            <w:pPr>
              <w:autoSpaceDE w:val="0"/>
              <w:autoSpaceDN w:val="0"/>
              <w:adjustRightInd w:val="0"/>
              <w:snapToGrid w:val="0"/>
              <w:spacing w:line="360" w:lineRule="auto"/>
              <w:ind w:firstLine="480" w:firstLineChars="200"/>
              <w:rPr>
                <w:color w:val="auto"/>
                <w:sz w:val="24"/>
              </w:rPr>
            </w:pPr>
            <w:r>
              <w:rPr>
                <w:color w:val="auto"/>
                <w:sz w:val="24"/>
              </w:rPr>
              <w:t>依据新疆生产建设兵团发布的《关于印发&lt;第七师胡杨河市“三线一单”生态环境分区管控方案&gt;的通知》附件《第七师胡杨河市生态环境准入清单》的规定，拟建项目位于</w:t>
            </w:r>
            <w:r>
              <w:rPr>
                <w:rFonts w:hint="eastAsia"/>
                <w:color w:val="auto"/>
                <w:sz w:val="24"/>
              </w:rPr>
              <w:t>131</w:t>
            </w:r>
            <w:r>
              <w:rPr>
                <w:color w:val="auto"/>
                <w:sz w:val="24"/>
              </w:rPr>
              <w:t>团一般管控单元（</w:t>
            </w:r>
            <w:r>
              <w:rPr>
                <w:rFonts w:hint="eastAsia"/>
                <w:color w:val="auto"/>
                <w:sz w:val="24"/>
              </w:rPr>
              <w:t>ZH65770930001</w:t>
            </w:r>
            <w:r>
              <w:rPr>
                <w:color w:val="auto"/>
                <w:sz w:val="24"/>
              </w:rPr>
              <w:t>），详见本项目所在第七师胡杨河市环境管控单元分类图1-1。具体管控要求见表1-2（含自治区一般管控单元要求）。</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表1-2  一般管控单元管控要求符合性分析一览表</w:t>
            </w:r>
          </w:p>
          <w:tbl>
            <w:tblPr>
              <w:tblStyle w:val="30"/>
              <w:tblW w:w="499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343"/>
              <w:gridCol w:w="14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管控</w:t>
                  </w:r>
                </w:p>
                <w:p>
                  <w:pPr>
                    <w:adjustRightInd w:val="0"/>
                    <w:snapToGrid w:val="0"/>
                    <w:spacing w:line="320" w:lineRule="atLeast"/>
                    <w:jc w:val="center"/>
                    <w:rPr>
                      <w:b/>
                      <w:bCs/>
                      <w:color w:val="auto"/>
                      <w:szCs w:val="21"/>
                    </w:rPr>
                  </w:pPr>
                  <w:r>
                    <w:rPr>
                      <w:b/>
                      <w:bCs/>
                      <w:color w:val="auto"/>
                      <w:szCs w:val="21"/>
                    </w:rPr>
                    <w:t>类别</w:t>
                  </w:r>
                </w:p>
              </w:tc>
              <w:tc>
                <w:tcPr>
                  <w:tcW w:w="4384"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管控要求</w:t>
                  </w:r>
                </w:p>
              </w:tc>
              <w:tc>
                <w:tcPr>
                  <w:tcW w:w="1456"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项目符合性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38" w:type="dxa"/>
                  <w:gridSpan w:val="3"/>
                  <w:tcBorders>
                    <w:tl2br w:val="nil"/>
                    <w:tr2bl w:val="nil"/>
                  </w:tcBorders>
                  <w:vAlign w:val="center"/>
                </w:tcPr>
                <w:p>
                  <w:pPr>
                    <w:jc w:val="center"/>
                    <w:rPr>
                      <w:b/>
                      <w:bCs/>
                      <w:color w:val="auto"/>
                      <w:szCs w:val="21"/>
                    </w:rPr>
                  </w:pPr>
                  <w:r>
                    <w:rPr>
                      <w:b/>
                      <w:bCs/>
                      <w:color w:val="auto"/>
                      <w:szCs w:val="21"/>
                    </w:rPr>
                    <w:t>空间布局约束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第七师胡杨河市总体管控要求</w:t>
                  </w:r>
                </w:p>
              </w:tc>
              <w:tc>
                <w:tcPr>
                  <w:tcW w:w="4384" w:type="dxa"/>
                  <w:tcBorders>
                    <w:tl2br w:val="nil"/>
                    <w:tr2bl w:val="nil"/>
                  </w:tcBorders>
                  <w:vAlign w:val="center"/>
                </w:tcPr>
                <w:p>
                  <w:pPr>
                    <w:spacing w:line="300" w:lineRule="exact"/>
                    <w:rPr>
                      <w:color w:val="auto"/>
                      <w:szCs w:val="21"/>
                    </w:rPr>
                  </w:pPr>
                  <w:r>
                    <w:rPr>
                      <w:color w:val="auto"/>
                      <w:szCs w:val="21"/>
                    </w:rPr>
                    <w:t>（1.1.4）饮用水源二级保护区内禁止一切破坏水环境生态平衡的活动以及破坏水源林、护岸林、与水源保护相关植被的活动。严格禁止各类污染源进入水源地及其保护区范围内。保护区附近不得建设对水质有严重污染的建设项目。严禁在水源地及其附近地区进行矿产开采、搞地下建筑和大型建筑。</w:t>
                  </w:r>
                </w:p>
                <w:p>
                  <w:pPr>
                    <w:spacing w:line="300" w:lineRule="exact"/>
                    <w:rPr>
                      <w:color w:val="auto"/>
                      <w:szCs w:val="21"/>
                    </w:rPr>
                  </w:pPr>
                  <w:r>
                    <w:rPr>
                      <w:color w:val="auto"/>
                      <w:szCs w:val="21"/>
                    </w:rPr>
                    <w:t>（1.1.10）严禁在地下水超采区新增地下水开采。严格按照《新疆用水总量控制方案》开展水资源开发利用，对地下水超采区和超出地下水用水总量指标的师团，禁止新打井开采地下水。</w:t>
                  </w:r>
                </w:p>
                <w:p>
                  <w:pPr>
                    <w:spacing w:line="300" w:lineRule="exact"/>
                    <w:rPr>
                      <w:color w:val="auto"/>
                      <w:szCs w:val="21"/>
                    </w:rPr>
                  </w:pPr>
                  <w:r>
                    <w:rPr>
                      <w:color w:val="auto"/>
                      <w:szCs w:val="21"/>
                    </w:rPr>
                    <w:t>（1.1.11）加大燃煤小锅炉淘汰力度。①城市建成区淘汰每小时10蒸吨及以下燃煤锅炉及茶水炉、经营性炉灶、储粮烘干设备等燃煤设施，原则上不再新建每小时35蒸吨以下的燃煤锅炉。②团场严禁新建10蒸吨以下的小锅炉，严格限制建设20蒸吨以下的小锅炉。③环境空气质量未达标地区加大淘汰力度。④国家级、兵团级工业园区基本淘汰每小时35蒸吨以下燃煤锅炉，禁止新建每小时65蒸吨以下燃煤锅炉。</w:t>
                  </w:r>
                </w:p>
              </w:tc>
              <w:tc>
                <w:tcPr>
                  <w:tcW w:w="1456" w:type="dxa"/>
                  <w:tcBorders>
                    <w:tl2br w:val="nil"/>
                    <w:tr2bl w:val="nil"/>
                  </w:tcBorders>
                  <w:vAlign w:val="center"/>
                </w:tcPr>
                <w:p>
                  <w:pPr>
                    <w:spacing w:line="300" w:lineRule="exact"/>
                    <w:rPr>
                      <w:color w:val="auto"/>
                      <w:szCs w:val="21"/>
                    </w:rPr>
                  </w:pPr>
                  <w:r>
                    <w:rPr>
                      <w:color w:val="auto"/>
                      <w:szCs w:val="21"/>
                    </w:rPr>
                    <w:t>（1.14）项目不涉及水源保护区。（1.1.10）本项目不涉及地下水开采。（1.1.11）项目不涉及锅炉。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1</w:t>
                  </w:r>
                  <w:r>
                    <w:rPr>
                      <w:rFonts w:hint="eastAsia"/>
                      <w:b/>
                      <w:bCs/>
                      <w:color w:val="auto"/>
                      <w:szCs w:val="21"/>
                    </w:rPr>
                    <w:t>31</w:t>
                  </w:r>
                  <w:r>
                    <w:rPr>
                      <w:b/>
                      <w:bCs/>
                      <w:color w:val="auto"/>
                      <w:szCs w:val="21"/>
                    </w:rPr>
                    <w:t>团一般管控单元</w:t>
                  </w:r>
                </w:p>
              </w:tc>
              <w:tc>
                <w:tcPr>
                  <w:tcW w:w="4384" w:type="dxa"/>
                  <w:tcBorders>
                    <w:tl2br w:val="nil"/>
                    <w:tr2bl w:val="nil"/>
                  </w:tcBorders>
                  <w:vAlign w:val="center"/>
                </w:tcPr>
                <w:p>
                  <w:pPr>
                    <w:spacing w:line="300" w:lineRule="exact"/>
                    <w:rPr>
                      <w:color w:val="auto"/>
                      <w:szCs w:val="21"/>
                    </w:rPr>
                  </w:pPr>
                  <w:r>
                    <w:rPr>
                      <w:color w:val="auto"/>
                      <w:szCs w:val="21"/>
                    </w:rPr>
                    <w:t>（1）</w:t>
                  </w:r>
                  <w:r>
                    <w:rPr>
                      <w:rFonts w:hint="eastAsia"/>
                      <w:color w:val="auto"/>
                      <w:szCs w:val="21"/>
                    </w:rPr>
                    <w:t>将保护现有荒漠植被作为防沙治沙的首要任务，划定为沙化土地封禁保护区，保护绿洲边缘荒漠林，避免营造高耗水的人工速生林。</w:t>
                  </w:r>
                </w:p>
                <w:p>
                  <w:pPr>
                    <w:spacing w:line="300" w:lineRule="exact"/>
                    <w:rPr>
                      <w:color w:val="auto"/>
                      <w:szCs w:val="21"/>
                    </w:rPr>
                  </w:pPr>
                  <w:r>
                    <w:rPr>
                      <w:rFonts w:hint="eastAsia"/>
                      <w:color w:val="auto"/>
                      <w:szCs w:val="21"/>
                    </w:rPr>
                    <w:t>（</w:t>
                  </w:r>
                  <w:r>
                    <w:rPr>
                      <w:color w:val="auto"/>
                      <w:szCs w:val="21"/>
                    </w:rPr>
                    <w:t>2</w:t>
                  </w:r>
                  <w:r>
                    <w:rPr>
                      <w:rFonts w:hint="eastAsia"/>
                      <w:color w:val="auto"/>
                      <w:szCs w:val="21"/>
                    </w:rPr>
                    <w:t>）加强农田防护林网体系建设，保护基本农田，改造中低产农田和盐碱地，发展设施农业，并改进农业种植技术。</w:t>
                  </w:r>
                </w:p>
              </w:tc>
              <w:tc>
                <w:tcPr>
                  <w:tcW w:w="1456" w:type="dxa"/>
                  <w:tcBorders>
                    <w:tl2br w:val="nil"/>
                    <w:tr2bl w:val="nil"/>
                  </w:tcBorders>
                  <w:vAlign w:val="center"/>
                </w:tcPr>
                <w:p>
                  <w:pPr>
                    <w:spacing w:line="300" w:lineRule="exact"/>
                    <w:rPr>
                      <w:color w:val="auto"/>
                      <w:szCs w:val="21"/>
                    </w:rPr>
                  </w:pPr>
                  <w:r>
                    <w:rPr>
                      <w:rFonts w:hint="eastAsia"/>
                      <w:color w:val="auto"/>
                      <w:szCs w:val="21"/>
                    </w:rPr>
                    <w:t>（1）项目区基本无植被分布</w:t>
                  </w:r>
                </w:p>
                <w:p>
                  <w:pPr>
                    <w:spacing w:line="300" w:lineRule="exact"/>
                    <w:rPr>
                      <w:color w:val="auto"/>
                      <w:szCs w:val="21"/>
                    </w:rPr>
                  </w:pPr>
                  <w:r>
                    <w:rPr>
                      <w:color w:val="auto"/>
                      <w:szCs w:val="21"/>
                    </w:rPr>
                    <w:t>（</w:t>
                  </w:r>
                  <w:r>
                    <w:rPr>
                      <w:rFonts w:hint="eastAsia"/>
                      <w:color w:val="auto"/>
                      <w:szCs w:val="21"/>
                    </w:rPr>
                    <w:t>2</w:t>
                  </w:r>
                  <w:r>
                    <w:rPr>
                      <w:color w:val="auto"/>
                      <w:szCs w:val="21"/>
                    </w:rPr>
                    <w:t>）项目不占用农田。</w:t>
                  </w:r>
                </w:p>
                <w:p>
                  <w:pPr>
                    <w:spacing w:line="300" w:lineRule="exact"/>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自治区一般管控单元</w:t>
                  </w:r>
                </w:p>
              </w:tc>
              <w:tc>
                <w:tcPr>
                  <w:tcW w:w="4384" w:type="dxa"/>
                  <w:tcBorders>
                    <w:tl2br w:val="nil"/>
                    <w:tr2bl w:val="nil"/>
                  </w:tcBorders>
                  <w:vAlign w:val="center"/>
                </w:tcPr>
                <w:p>
                  <w:pPr>
                    <w:spacing w:line="300" w:lineRule="exact"/>
                    <w:rPr>
                      <w:color w:val="auto"/>
                      <w:szCs w:val="21"/>
                    </w:rPr>
                  </w:pPr>
                  <w:r>
                    <w:rPr>
                      <w:color w:val="auto"/>
                      <w:szCs w:val="21"/>
                    </w:rPr>
                    <w:t>【A7.1-1】限制进行大规模高强度工业化城镇化开发，严格控制金属冶炼、石油化工、焦化等“高污染、高环境风险产品”工业项目，原则上不增加产能，现有“高污染、高环境风险产品”工业项目持续削减污染物排放总量并严格控制环境风险。原则上禁止建设涉及一类重金属、持久性有机污染物排放的工业项目。建立集镇居住商业区、耕地保护区与工业功能区等集聚区块之间的防护带。严格执行畜禽养殖禁养区规定，根据区域用地和消纳水平，合理确定养殖规模。加强基本农田保护，严格限制非农项目占用耕地。</w:t>
                  </w:r>
                </w:p>
              </w:tc>
              <w:tc>
                <w:tcPr>
                  <w:tcW w:w="1456" w:type="dxa"/>
                  <w:tcBorders>
                    <w:tl2br w:val="nil"/>
                    <w:tr2bl w:val="nil"/>
                  </w:tcBorders>
                  <w:vAlign w:val="center"/>
                </w:tcPr>
                <w:p>
                  <w:pPr>
                    <w:spacing w:line="300" w:lineRule="exact"/>
                    <w:rPr>
                      <w:color w:val="auto"/>
                      <w:szCs w:val="21"/>
                    </w:rPr>
                  </w:pPr>
                  <w:r>
                    <w:rPr>
                      <w:color w:val="auto"/>
                      <w:szCs w:val="21"/>
                    </w:rPr>
                    <w:t>【A7.1-1】本项目不属于高污染、高环境风险产品的工业项目</w:t>
                  </w:r>
                </w:p>
                <w:p>
                  <w:pPr>
                    <w:spacing w:line="300" w:lineRule="exact"/>
                    <w:ind w:firstLine="420" w:firstLineChars="200"/>
                    <w:rPr>
                      <w:color w:val="auto"/>
                      <w:szCs w:val="21"/>
                    </w:rPr>
                  </w:pPr>
                  <w:r>
                    <w:rPr>
                      <w:color w:val="auto"/>
                      <w:szCs w:val="21"/>
                    </w:rPr>
                    <w:t>本项目符合空间布局约束总体要求。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38" w:type="dxa"/>
                  <w:gridSpan w:val="3"/>
                  <w:tcBorders>
                    <w:tl2br w:val="nil"/>
                    <w:tr2bl w:val="nil"/>
                  </w:tcBorders>
                  <w:vAlign w:val="center"/>
                </w:tcPr>
                <w:p>
                  <w:pPr>
                    <w:pStyle w:val="23"/>
                    <w:ind w:left="842" w:leftChars="200" w:hanging="422"/>
                    <w:jc w:val="center"/>
                    <w:rPr>
                      <w:color w:val="auto"/>
                      <w:szCs w:val="21"/>
                    </w:rPr>
                  </w:pPr>
                  <w:r>
                    <w:rPr>
                      <w:b/>
                      <w:bCs/>
                      <w:color w:val="auto"/>
                      <w:szCs w:val="21"/>
                    </w:rPr>
                    <w:t>污染物排放管控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第七师胡杨河市总体管控要求</w:t>
                  </w:r>
                </w:p>
              </w:tc>
              <w:tc>
                <w:tcPr>
                  <w:tcW w:w="4384" w:type="dxa"/>
                  <w:tcBorders>
                    <w:tl2br w:val="nil"/>
                    <w:tr2bl w:val="nil"/>
                  </w:tcBorders>
                  <w:vAlign w:val="center"/>
                </w:tcPr>
                <w:p>
                  <w:pPr>
                    <w:spacing w:line="300" w:lineRule="exact"/>
                    <w:rPr>
                      <w:color w:val="auto"/>
                      <w:szCs w:val="21"/>
                    </w:rPr>
                  </w:pPr>
                  <w:r>
                    <w:rPr>
                      <w:color w:val="auto"/>
                      <w:szCs w:val="21"/>
                    </w:rPr>
                    <w:t>（2.1.1）严格控制污染物排放总量（二氧化硫、氮氧化物），对电力行业重点加强结构调整与脱硫设施的稳定运行，实施低氮燃烧技术；新、扩、改建机组必须配套烟气脱硝设施。加大小锅炉淘汰，对大吨位锅炉因地制宜采取脱硫减排措施。</w:t>
                  </w:r>
                </w:p>
                <w:p>
                  <w:pPr>
                    <w:spacing w:line="300" w:lineRule="exact"/>
                    <w:rPr>
                      <w:color w:val="auto"/>
                      <w:szCs w:val="21"/>
                    </w:rPr>
                  </w:pPr>
                  <w:r>
                    <w:rPr>
                      <w:color w:val="auto"/>
                      <w:szCs w:val="21"/>
                    </w:rPr>
                    <w:t>（2.2.4）从源头消减废水排放，严格控制企业废水达标排放。重点加强化工企业的污染防治，积极推动重污染行业工艺废水的深度处理与中水回用。</w:t>
                  </w:r>
                </w:p>
                <w:p>
                  <w:pPr>
                    <w:spacing w:line="300" w:lineRule="exact"/>
                    <w:rPr>
                      <w:color w:val="auto"/>
                      <w:szCs w:val="21"/>
                    </w:rPr>
                  </w:pPr>
                  <w:r>
                    <w:rPr>
                      <w:color w:val="auto"/>
                      <w:szCs w:val="21"/>
                    </w:rPr>
                    <w:t>（2.3.1）推进固体废物源头减量，推进清洁生产，建立生态产业链，加强固体废物综合利用。</w:t>
                  </w:r>
                </w:p>
              </w:tc>
              <w:tc>
                <w:tcPr>
                  <w:tcW w:w="1456" w:type="dxa"/>
                  <w:tcBorders>
                    <w:tl2br w:val="nil"/>
                    <w:tr2bl w:val="nil"/>
                  </w:tcBorders>
                  <w:vAlign w:val="center"/>
                </w:tcPr>
                <w:p>
                  <w:pPr>
                    <w:spacing w:line="300" w:lineRule="exact"/>
                    <w:rPr>
                      <w:color w:val="auto"/>
                      <w:szCs w:val="21"/>
                    </w:rPr>
                  </w:pPr>
                  <w:r>
                    <w:rPr>
                      <w:color w:val="auto"/>
                      <w:szCs w:val="21"/>
                    </w:rPr>
                    <w:t>（2.1.1）项目不涉及二氧化硫、氮氧化物排放。</w:t>
                  </w:r>
                </w:p>
                <w:p>
                  <w:pPr>
                    <w:spacing w:line="300" w:lineRule="exact"/>
                    <w:rPr>
                      <w:color w:val="auto"/>
                      <w:szCs w:val="21"/>
                    </w:rPr>
                  </w:pPr>
                  <w:r>
                    <w:rPr>
                      <w:color w:val="auto"/>
                      <w:szCs w:val="21"/>
                    </w:rPr>
                    <w:t>（2.2.4）项目不涉及生产废水排放。</w:t>
                  </w:r>
                </w:p>
                <w:p>
                  <w:pPr>
                    <w:spacing w:line="300" w:lineRule="exact"/>
                    <w:rPr>
                      <w:color w:val="auto"/>
                      <w:szCs w:val="21"/>
                    </w:rPr>
                  </w:pPr>
                  <w:r>
                    <w:rPr>
                      <w:color w:val="auto"/>
                      <w:szCs w:val="21"/>
                    </w:rPr>
                    <w:t>（2.3.1）项目生产固废大部分能够回用生产和综合利用。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1</w:t>
                  </w:r>
                  <w:r>
                    <w:rPr>
                      <w:rFonts w:hint="eastAsia"/>
                      <w:b/>
                      <w:bCs/>
                      <w:color w:val="auto"/>
                      <w:szCs w:val="21"/>
                    </w:rPr>
                    <w:t>31</w:t>
                  </w:r>
                  <w:r>
                    <w:rPr>
                      <w:b/>
                      <w:bCs/>
                      <w:color w:val="auto"/>
                      <w:szCs w:val="21"/>
                    </w:rPr>
                    <w:t>团一般管控单元</w:t>
                  </w:r>
                </w:p>
              </w:tc>
              <w:tc>
                <w:tcPr>
                  <w:tcW w:w="4384" w:type="dxa"/>
                  <w:tcBorders>
                    <w:tl2br w:val="nil"/>
                    <w:tr2bl w:val="nil"/>
                  </w:tcBorders>
                  <w:vAlign w:val="center"/>
                </w:tcPr>
                <w:p>
                  <w:pPr>
                    <w:widowControl/>
                    <w:jc w:val="left"/>
                    <w:rPr>
                      <w:color w:val="auto"/>
                      <w:szCs w:val="21"/>
                    </w:rPr>
                  </w:pPr>
                  <w:r>
                    <w:rPr>
                      <w:color w:val="auto"/>
                      <w:szCs w:val="21"/>
                    </w:rPr>
                    <w:t>（1</w:t>
                  </w:r>
                  <w:r>
                    <w:rPr>
                      <w:rFonts w:hint="eastAsia"/>
                      <w:color w:val="auto"/>
                      <w:szCs w:val="21"/>
                    </w:rPr>
                    <w:t>）严格落实环境保护目标责任制，强化污染物总量控制目标考核，健全重大环境事件和污染事故责任追究制度，加大问责力度。强化环境执法监督、严格污染物排放标准、环境影响评价和污染物排放许可制度，进一步健全环境监管体制。严格执行行业排放标准，降低污染物产生强度、排放强度。</w:t>
                  </w:r>
                </w:p>
              </w:tc>
              <w:tc>
                <w:tcPr>
                  <w:tcW w:w="1456" w:type="dxa"/>
                  <w:tcBorders>
                    <w:tl2br w:val="nil"/>
                    <w:tr2bl w:val="nil"/>
                  </w:tcBorders>
                  <w:vAlign w:val="center"/>
                </w:tcPr>
                <w:p>
                  <w:pPr>
                    <w:spacing w:line="300" w:lineRule="exact"/>
                    <w:rPr>
                      <w:color w:val="auto"/>
                      <w:szCs w:val="21"/>
                    </w:rPr>
                  </w:pPr>
                  <w:r>
                    <w:rPr>
                      <w:color w:val="auto"/>
                      <w:szCs w:val="21"/>
                    </w:rPr>
                    <w:t>（1）本项目</w:t>
                  </w:r>
                  <w:r>
                    <w:rPr>
                      <w:rFonts w:hint="eastAsia"/>
                      <w:color w:val="auto"/>
                      <w:szCs w:val="21"/>
                    </w:rPr>
                    <w:t>将严格落实环境保护目标责任制</w:t>
                  </w:r>
                  <w:r>
                    <w:rPr>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自治区一般管控单元</w:t>
                  </w:r>
                </w:p>
              </w:tc>
              <w:tc>
                <w:tcPr>
                  <w:tcW w:w="4384" w:type="dxa"/>
                  <w:tcBorders>
                    <w:tl2br w:val="nil"/>
                    <w:tr2bl w:val="nil"/>
                  </w:tcBorders>
                  <w:vAlign w:val="center"/>
                </w:tcPr>
                <w:p>
                  <w:pPr>
                    <w:spacing w:line="300" w:lineRule="exact"/>
                    <w:rPr>
                      <w:color w:val="auto"/>
                      <w:szCs w:val="21"/>
                    </w:rPr>
                  </w:pPr>
                  <w:r>
                    <w:rPr>
                      <w:color w:val="auto"/>
                      <w:szCs w:val="21"/>
                    </w:rPr>
                    <w:t>【A7.2-1】落实污染物总量控制制度，根据区域环境质量改善目标，削减污染物排放总量。加强农业面源污染治理，严格控制化肥农药施加量，逐步削减农业面源污染物排放量。</w:t>
                  </w:r>
                </w:p>
              </w:tc>
              <w:tc>
                <w:tcPr>
                  <w:tcW w:w="1456" w:type="dxa"/>
                  <w:tcBorders>
                    <w:tl2br w:val="nil"/>
                    <w:tr2bl w:val="nil"/>
                  </w:tcBorders>
                  <w:vAlign w:val="center"/>
                </w:tcPr>
                <w:p>
                  <w:pPr>
                    <w:pStyle w:val="9"/>
                    <w:spacing w:before="0" w:after="0" w:line="240" w:lineRule="auto"/>
                    <w:rPr>
                      <w:color w:val="auto"/>
                      <w:sz w:val="21"/>
                      <w:szCs w:val="21"/>
                    </w:rPr>
                  </w:pPr>
                  <w:r>
                    <w:rPr>
                      <w:color w:val="auto"/>
                      <w:sz w:val="21"/>
                      <w:szCs w:val="21"/>
                    </w:rPr>
                    <w:t>【A7.2-1】本项目不需要申请总量控制。</w:t>
                  </w:r>
                </w:p>
                <w:p>
                  <w:pPr>
                    <w:pStyle w:val="9"/>
                    <w:spacing w:before="0" w:after="0" w:line="240" w:lineRule="auto"/>
                    <w:rPr>
                      <w:color w:val="auto"/>
                      <w:sz w:val="21"/>
                      <w:szCs w:val="21"/>
                    </w:rPr>
                  </w:pPr>
                  <w:r>
                    <w:rPr>
                      <w:color w:val="auto"/>
                      <w:sz w:val="21"/>
                      <w:szCs w:val="21"/>
                    </w:rPr>
                    <w:t>本项目符合污染物排放管控相关要求。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538" w:type="dxa"/>
                  <w:gridSpan w:val="3"/>
                  <w:tcBorders>
                    <w:tl2br w:val="nil"/>
                    <w:tr2bl w:val="nil"/>
                  </w:tcBorders>
                  <w:vAlign w:val="center"/>
                </w:tcPr>
                <w:p>
                  <w:pPr>
                    <w:ind w:left="420" w:leftChars="200"/>
                    <w:jc w:val="center"/>
                    <w:rPr>
                      <w:color w:val="auto"/>
                      <w:szCs w:val="21"/>
                    </w:rPr>
                  </w:pPr>
                  <w:r>
                    <w:rPr>
                      <w:b/>
                      <w:bCs/>
                      <w:color w:val="auto"/>
                      <w:szCs w:val="21"/>
                    </w:rPr>
                    <w:t>环境风险防控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第七师胡杨河市总体管控要求</w:t>
                  </w:r>
                </w:p>
              </w:tc>
              <w:tc>
                <w:tcPr>
                  <w:tcW w:w="4384" w:type="dxa"/>
                  <w:tcBorders>
                    <w:tl2br w:val="nil"/>
                    <w:tr2bl w:val="nil"/>
                  </w:tcBorders>
                  <w:vAlign w:val="center"/>
                </w:tcPr>
                <w:p>
                  <w:pPr>
                    <w:spacing w:line="300" w:lineRule="exact"/>
                    <w:rPr>
                      <w:color w:val="auto"/>
                      <w:szCs w:val="21"/>
                    </w:rPr>
                  </w:pPr>
                  <w:r>
                    <w:rPr>
                      <w:color w:val="auto"/>
                      <w:szCs w:val="21"/>
                    </w:rPr>
                    <w:t>（3.1）加强危险废物管理。加大危险废物管理法律法规宣传；继续开展危险废物经营许可证管理；加快医疗废物专业收集运输体系和集中处置设施的建设，做好医疗废物污染环境防治。</w:t>
                  </w:r>
                </w:p>
              </w:tc>
              <w:tc>
                <w:tcPr>
                  <w:tcW w:w="1456" w:type="dxa"/>
                  <w:tcBorders>
                    <w:tl2br w:val="nil"/>
                    <w:tr2bl w:val="nil"/>
                  </w:tcBorders>
                  <w:vAlign w:val="center"/>
                </w:tcPr>
                <w:p>
                  <w:pPr>
                    <w:spacing w:line="300" w:lineRule="exact"/>
                    <w:rPr>
                      <w:color w:val="auto"/>
                      <w:szCs w:val="21"/>
                    </w:rPr>
                  </w:pPr>
                  <w:r>
                    <w:rPr>
                      <w:color w:val="auto"/>
                      <w:szCs w:val="21"/>
                    </w:rPr>
                    <w:t>（3.1）项目不涉及。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rFonts w:hint="eastAsia"/>
                      <w:b/>
                      <w:bCs/>
                      <w:color w:val="auto"/>
                      <w:szCs w:val="21"/>
                    </w:rPr>
                    <w:t>131</w:t>
                  </w:r>
                  <w:r>
                    <w:rPr>
                      <w:b/>
                      <w:bCs/>
                      <w:color w:val="auto"/>
                      <w:szCs w:val="21"/>
                    </w:rPr>
                    <w:t>团一般管控单元</w:t>
                  </w:r>
                </w:p>
              </w:tc>
              <w:tc>
                <w:tcPr>
                  <w:tcW w:w="4384" w:type="dxa"/>
                  <w:tcBorders>
                    <w:tl2br w:val="nil"/>
                    <w:tr2bl w:val="nil"/>
                  </w:tcBorders>
                  <w:vAlign w:val="center"/>
                </w:tcPr>
                <w:p>
                  <w:pPr>
                    <w:spacing w:line="300" w:lineRule="exact"/>
                    <w:rPr>
                      <w:color w:val="auto"/>
                      <w:szCs w:val="21"/>
                    </w:rPr>
                  </w:pPr>
                  <w:r>
                    <w:rPr>
                      <w:color w:val="auto"/>
                      <w:szCs w:val="21"/>
                    </w:rPr>
                    <w:t>（1）对耕地面积减少或土壤环境质量下降的团场要进行预警提醒，并依法采取环评限批等限制性措施。</w:t>
                  </w:r>
                </w:p>
              </w:tc>
              <w:tc>
                <w:tcPr>
                  <w:tcW w:w="1456" w:type="dxa"/>
                  <w:tcBorders>
                    <w:tl2br w:val="nil"/>
                    <w:tr2bl w:val="nil"/>
                  </w:tcBorders>
                  <w:vAlign w:val="center"/>
                </w:tcPr>
                <w:p>
                  <w:pPr>
                    <w:spacing w:line="300" w:lineRule="exact"/>
                    <w:rPr>
                      <w:color w:val="auto"/>
                      <w:szCs w:val="21"/>
                    </w:rPr>
                  </w:pPr>
                  <w:r>
                    <w:rPr>
                      <w:color w:val="auto"/>
                      <w:szCs w:val="21"/>
                    </w:rPr>
                    <w:t>（1）项目不占用耕地。</w:t>
                  </w:r>
                </w:p>
                <w:p>
                  <w:pPr>
                    <w:spacing w:line="300" w:lineRule="exact"/>
                    <w:rPr>
                      <w:color w:val="auto"/>
                      <w:szCs w:val="21"/>
                    </w:rPr>
                  </w:pPr>
                  <w:r>
                    <w:rPr>
                      <w:color w:val="auto"/>
                      <w:szCs w:val="21"/>
                    </w:rPr>
                    <w:t>项目符合环境风险防控要求。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自治区一般管控单元</w:t>
                  </w:r>
                </w:p>
              </w:tc>
              <w:tc>
                <w:tcPr>
                  <w:tcW w:w="4384" w:type="dxa"/>
                  <w:tcBorders>
                    <w:tl2br w:val="nil"/>
                    <w:tr2bl w:val="nil"/>
                  </w:tcBorders>
                  <w:vAlign w:val="center"/>
                </w:tcPr>
                <w:p>
                  <w:pPr>
                    <w:spacing w:line="300" w:lineRule="exact"/>
                    <w:rPr>
                      <w:color w:val="auto"/>
                      <w:szCs w:val="21"/>
                    </w:rPr>
                  </w:pPr>
                  <w:r>
                    <w:rPr>
                      <w:color w:val="auto"/>
                      <w:szCs w:val="21"/>
                    </w:rPr>
                    <w:t>【A7.3-1】加强生态公益林保护与建设，防止水土流失。禁止向农用地排放重金属或者其他有毒有害物质含量超标的污水、污泥，以及可能造成土壤污染的尾矿、矿渣等。加强农田土壤、灌溉水的监测及评价，对周边或区域环境风险源进行评估。</w:t>
                  </w:r>
                </w:p>
              </w:tc>
              <w:tc>
                <w:tcPr>
                  <w:tcW w:w="1456" w:type="dxa"/>
                  <w:tcBorders>
                    <w:tl2br w:val="nil"/>
                    <w:tr2bl w:val="nil"/>
                  </w:tcBorders>
                  <w:vAlign w:val="center"/>
                </w:tcPr>
                <w:p>
                  <w:pPr>
                    <w:spacing w:line="300" w:lineRule="exact"/>
                    <w:rPr>
                      <w:color w:val="auto"/>
                      <w:szCs w:val="21"/>
                    </w:rPr>
                  </w:pPr>
                  <w:r>
                    <w:rPr>
                      <w:color w:val="auto"/>
                      <w:szCs w:val="21"/>
                    </w:rPr>
                    <w:t>【A7.3-1】已提出施工期防治水土流失措施，项目无重金属和有毒有害物质含量超标的污水、污泥排放。</w:t>
                  </w:r>
                </w:p>
                <w:p>
                  <w:pPr>
                    <w:spacing w:line="300" w:lineRule="exact"/>
                    <w:rPr>
                      <w:color w:val="auto"/>
                      <w:szCs w:val="21"/>
                    </w:rPr>
                  </w:pPr>
                  <w:r>
                    <w:rPr>
                      <w:color w:val="auto"/>
                      <w:szCs w:val="21"/>
                    </w:rPr>
                    <w:t>项目符合环境风险防控要求。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538" w:type="dxa"/>
                  <w:gridSpan w:val="3"/>
                  <w:tcBorders>
                    <w:tl2br w:val="nil"/>
                    <w:tr2bl w:val="nil"/>
                  </w:tcBorders>
                  <w:vAlign w:val="center"/>
                </w:tcPr>
                <w:p>
                  <w:pPr>
                    <w:ind w:left="420" w:leftChars="200"/>
                    <w:jc w:val="center"/>
                    <w:rPr>
                      <w:color w:val="auto"/>
                      <w:szCs w:val="21"/>
                    </w:rPr>
                  </w:pPr>
                  <w:r>
                    <w:rPr>
                      <w:b/>
                      <w:bCs/>
                      <w:color w:val="auto"/>
                      <w:szCs w:val="21"/>
                    </w:rPr>
                    <w:t>资源利用效率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第七师胡杨河市总体管控要求</w:t>
                  </w:r>
                </w:p>
              </w:tc>
              <w:tc>
                <w:tcPr>
                  <w:tcW w:w="4384" w:type="dxa"/>
                  <w:tcBorders>
                    <w:tl2br w:val="nil"/>
                    <w:tr2bl w:val="nil"/>
                  </w:tcBorders>
                  <w:vAlign w:val="center"/>
                </w:tcPr>
                <w:p>
                  <w:pPr>
                    <w:spacing w:line="300" w:lineRule="exact"/>
                    <w:rPr>
                      <w:color w:val="auto"/>
                      <w:szCs w:val="21"/>
                    </w:rPr>
                  </w:pPr>
                  <w:r>
                    <w:rPr>
                      <w:color w:val="auto"/>
                      <w:szCs w:val="21"/>
                    </w:rPr>
                    <w:t>（4.1.1）加强中水回用，提高水资源利用率；对七师所掌握的水资源进行综合统筹利用，编制园区的水资源论证报告，落实供水方案，保障产业发展的需求。</w:t>
                  </w:r>
                </w:p>
                <w:p>
                  <w:pPr>
                    <w:spacing w:line="300" w:lineRule="exact"/>
                    <w:rPr>
                      <w:color w:val="auto"/>
                      <w:szCs w:val="21"/>
                    </w:rPr>
                  </w:pPr>
                  <w:r>
                    <w:rPr>
                      <w:color w:val="auto"/>
                      <w:szCs w:val="21"/>
                    </w:rPr>
                    <w:t>（4.2.1）组织开展燃煤锅炉节能减排攻坚战，完成燃煤工业锅炉能效普查年度任务；推进锅炉系统安全节能标准化管理。</w:t>
                  </w:r>
                </w:p>
                <w:p>
                  <w:pPr>
                    <w:spacing w:line="300" w:lineRule="exact"/>
                    <w:rPr>
                      <w:color w:val="auto"/>
                      <w:szCs w:val="21"/>
                    </w:rPr>
                  </w:pPr>
                  <w:r>
                    <w:rPr>
                      <w:color w:val="auto"/>
                      <w:szCs w:val="21"/>
                    </w:rPr>
                    <w:t>（4.3.1）强化废物在企业内部的循环使用和综合利用，推广循环经济模式，减少固体废物的产生量。</w:t>
                  </w:r>
                </w:p>
                <w:p>
                  <w:pPr>
                    <w:spacing w:line="300" w:lineRule="exact"/>
                    <w:rPr>
                      <w:color w:val="auto"/>
                      <w:szCs w:val="21"/>
                    </w:rPr>
                  </w:pPr>
                </w:p>
              </w:tc>
              <w:tc>
                <w:tcPr>
                  <w:tcW w:w="1456" w:type="dxa"/>
                  <w:tcBorders>
                    <w:tl2br w:val="nil"/>
                    <w:tr2bl w:val="nil"/>
                  </w:tcBorders>
                  <w:vAlign w:val="center"/>
                </w:tcPr>
                <w:p>
                  <w:pPr>
                    <w:spacing w:line="300" w:lineRule="exact"/>
                    <w:rPr>
                      <w:color w:val="auto"/>
                      <w:szCs w:val="21"/>
                    </w:rPr>
                  </w:pPr>
                  <w:r>
                    <w:rPr>
                      <w:color w:val="auto"/>
                      <w:szCs w:val="21"/>
                    </w:rPr>
                    <w:t>（4.1.1）项目无需生产用水，生活污水排入防渗化粪池收集由吸污车定期清运</w:t>
                  </w:r>
                  <w:r>
                    <w:rPr>
                      <w:rFonts w:hint="eastAsia"/>
                      <w:color w:val="auto"/>
                      <w:szCs w:val="21"/>
                    </w:rPr>
                    <w:t>至污水处理厂进一步处理</w:t>
                  </w:r>
                  <w:r>
                    <w:rPr>
                      <w:color w:val="auto"/>
                      <w:szCs w:val="21"/>
                    </w:rPr>
                    <w:t>。</w:t>
                  </w:r>
                </w:p>
                <w:p>
                  <w:pPr>
                    <w:spacing w:line="300" w:lineRule="exact"/>
                    <w:rPr>
                      <w:color w:val="auto"/>
                      <w:szCs w:val="21"/>
                    </w:rPr>
                  </w:pPr>
                  <w:r>
                    <w:rPr>
                      <w:color w:val="auto"/>
                      <w:szCs w:val="21"/>
                    </w:rPr>
                    <w:t>（4.2.1）项目不建设锅炉。</w:t>
                  </w:r>
                </w:p>
                <w:p>
                  <w:pPr>
                    <w:spacing w:line="300" w:lineRule="exact"/>
                    <w:rPr>
                      <w:color w:val="auto"/>
                      <w:szCs w:val="21"/>
                    </w:rPr>
                  </w:pPr>
                  <w:r>
                    <w:rPr>
                      <w:color w:val="auto"/>
                      <w:szCs w:val="21"/>
                    </w:rPr>
                    <w:t>（4.3.1）项目一般固废大部分能够回用生产和综合利用。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1</w:t>
                  </w:r>
                  <w:r>
                    <w:rPr>
                      <w:rFonts w:hint="eastAsia"/>
                      <w:b/>
                      <w:bCs/>
                      <w:color w:val="auto"/>
                      <w:szCs w:val="21"/>
                    </w:rPr>
                    <w:t>31</w:t>
                  </w:r>
                  <w:r>
                    <w:rPr>
                      <w:b/>
                      <w:bCs/>
                      <w:color w:val="auto"/>
                      <w:szCs w:val="21"/>
                    </w:rPr>
                    <w:t>团一般管控单元</w:t>
                  </w:r>
                </w:p>
              </w:tc>
              <w:tc>
                <w:tcPr>
                  <w:tcW w:w="4384" w:type="dxa"/>
                  <w:tcBorders>
                    <w:tl2br w:val="nil"/>
                    <w:tr2bl w:val="nil"/>
                  </w:tcBorders>
                  <w:vAlign w:val="center"/>
                </w:tcPr>
                <w:p>
                  <w:pPr>
                    <w:spacing w:line="300" w:lineRule="exact"/>
                    <w:rPr>
                      <w:color w:val="auto"/>
                      <w:szCs w:val="21"/>
                    </w:rPr>
                  </w:pPr>
                  <w:r>
                    <w:rPr>
                      <w:color w:val="auto"/>
                      <w:szCs w:val="21"/>
                    </w:rPr>
                    <w:t>（1）推行秸秆还田、增施有机肥、少耕免耕、粮豆轮作、化肥农药减量、农膜减量与回收利用等措施，切实保护耕地土壤环境质量。</w:t>
                  </w:r>
                </w:p>
              </w:tc>
              <w:tc>
                <w:tcPr>
                  <w:tcW w:w="1456" w:type="dxa"/>
                  <w:tcBorders>
                    <w:tl2br w:val="nil"/>
                    <w:tr2bl w:val="nil"/>
                  </w:tcBorders>
                  <w:vAlign w:val="center"/>
                </w:tcPr>
                <w:p>
                  <w:pPr>
                    <w:spacing w:line="300" w:lineRule="exact"/>
                    <w:rPr>
                      <w:color w:val="auto"/>
                      <w:szCs w:val="21"/>
                    </w:rPr>
                  </w:pPr>
                  <w:r>
                    <w:rPr>
                      <w:color w:val="auto"/>
                      <w:szCs w:val="21"/>
                    </w:rPr>
                    <w:t>（1）项目不涉及。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tcBorders>
                    <w:tl2br w:val="nil"/>
                    <w:tr2bl w:val="nil"/>
                  </w:tcBorders>
                  <w:vAlign w:val="center"/>
                </w:tcPr>
                <w:p>
                  <w:pPr>
                    <w:adjustRightInd w:val="0"/>
                    <w:snapToGrid w:val="0"/>
                    <w:spacing w:line="320" w:lineRule="atLeast"/>
                    <w:jc w:val="center"/>
                    <w:rPr>
                      <w:b/>
                      <w:bCs/>
                      <w:color w:val="auto"/>
                      <w:szCs w:val="21"/>
                    </w:rPr>
                  </w:pPr>
                  <w:r>
                    <w:rPr>
                      <w:b/>
                      <w:bCs/>
                      <w:color w:val="auto"/>
                      <w:szCs w:val="21"/>
                    </w:rPr>
                    <w:t>自治区一般管控单元</w:t>
                  </w:r>
                </w:p>
              </w:tc>
              <w:tc>
                <w:tcPr>
                  <w:tcW w:w="4384" w:type="dxa"/>
                  <w:tcBorders>
                    <w:tl2br w:val="nil"/>
                    <w:tr2bl w:val="nil"/>
                  </w:tcBorders>
                  <w:vAlign w:val="center"/>
                </w:tcPr>
                <w:p>
                  <w:pPr>
                    <w:spacing w:line="300" w:lineRule="exact"/>
                    <w:rPr>
                      <w:color w:val="auto"/>
                      <w:szCs w:val="21"/>
                    </w:rPr>
                  </w:pPr>
                  <w:r>
                    <w:rPr>
                      <w:color w:val="auto"/>
                      <w:szCs w:val="21"/>
                    </w:rPr>
                    <w:t>【A7.4-1】实行水资源消耗总量和强度双控，推进农业节水，提高农业用水效率。优化能源结构，加强能源清洁利用</w:t>
                  </w:r>
                </w:p>
              </w:tc>
              <w:tc>
                <w:tcPr>
                  <w:tcW w:w="1456" w:type="dxa"/>
                  <w:tcBorders>
                    <w:tl2br w:val="nil"/>
                    <w:tr2bl w:val="nil"/>
                  </w:tcBorders>
                  <w:vAlign w:val="center"/>
                </w:tcPr>
                <w:p>
                  <w:pPr>
                    <w:spacing w:line="300" w:lineRule="exact"/>
                    <w:rPr>
                      <w:color w:val="auto"/>
                      <w:szCs w:val="21"/>
                    </w:rPr>
                  </w:pPr>
                  <w:r>
                    <w:rPr>
                      <w:bCs/>
                      <w:color w:val="auto"/>
                      <w:szCs w:val="21"/>
                    </w:rPr>
                    <w:t>【A7.4-1】</w:t>
                  </w:r>
                  <w:r>
                    <w:rPr>
                      <w:color w:val="auto"/>
                      <w:szCs w:val="21"/>
                    </w:rPr>
                    <w:t>项目不涉及。</w:t>
                  </w:r>
                </w:p>
              </w:tc>
            </w:tr>
          </w:tbl>
          <w:p>
            <w:pPr>
              <w:spacing w:before="120" w:beforeLines="50" w:line="360" w:lineRule="auto"/>
              <w:ind w:firstLine="480" w:firstLineChars="200"/>
              <w:rPr>
                <w:color w:val="auto"/>
                <w:sz w:val="24"/>
              </w:rPr>
            </w:pPr>
            <w:r>
              <w:rPr>
                <w:color w:val="auto"/>
                <w:sz w:val="24"/>
              </w:rPr>
              <w:t>本项目建成后对大气环境影响较小；项目运营期不向地表水体直接排放污水；项目厂界噪声可实现达标排放。项目建成后不会使周围环境质量下降，基本无生态环境风险。拟建项目用地不涉及生态红线，符合《第七师胡杨河市“三线一单”生态环境分区管控方案》。</w:t>
            </w:r>
          </w:p>
          <w:p>
            <w:pPr>
              <w:autoSpaceDE w:val="0"/>
              <w:autoSpaceDN w:val="0"/>
              <w:adjustRightInd w:val="0"/>
              <w:snapToGrid w:val="0"/>
              <w:spacing w:line="520" w:lineRule="exact"/>
              <w:ind w:firstLine="482" w:firstLineChars="200"/>
              <w:rPr>
                <w:b/>
                <w:bCs/>
                <w:color w:val="auto"/>
                <w:sz w:val="24"/>
              </w:rPr>
            </w:pPr>
            <w:r>
              <w:rPr>
                <w:b/>
                <w:bCs/>
                <w:color w:val="auto"/>
                <w:sz w:val="24"/>
              </w:rPr>
              <w:t>2、产业政策符合性分析</w:t>
            </w:r>
          </w:p>
          <w:p>
            <w:pPr>
              <w:pStyle w:val="69"/>
              <w:rPr>
                <w:color w:val="auto"/>
                <w:kern w:val="0"/>
              </w:rPr>
            </w:pPr>
            <w:r>
              <w:rPr>
                <w:color w:val="auto"/>
              </w:rPr>
              <w:t>本项目为</w:t>
            </w:r>
            <w:r>
              <w:rPr>
                <w:rFonts w:hint="eastAsia"/>
                <w:color w:val="auto"/>
              </w:rPr>
              <w:t>混凝土搅拌及混凝土预制构件生产</w:t>
            </w:r>
            <w:r>
              <w:rPr>
                <w:color w:val="auto"/>
              </w:rPr>
              <w:t>项目，根据国家发改委《产业结构调整指导目录</w:t>
            </w:r>
            <w:r>
              <w:rPr>
                <w:color w:val="auto"/>
                <w:kern w:val="0"/>
              </w:rPr>
              <w:t>》（</w:t>
            </w:r>
            <w:r>
              <w:rPr>
                <w:color w:val="auto"/>
              </w:rPr>
              <w:t>2019年本）本项目不属于鼓励类、淘汰类和限制类项目。根据国务院关于发布实施《促进产业结构调整暂行规定》的决定第三章产业结构调整指导目录第十三条“不属于鼓励类、限制类和淘汰类</w:t>
            </w:r>
            <w:r>
              <w:rPr>
                <w:color w:val="auto"/>
                <w:kern w:val="0"/>
              </w:rPr>
              <w:t>，且符合国家有关法律、法规和政策规定的，为允许类”，</w:t>
            </w:r>
            <w:r>
              <w:rPr>
                <w:rFonts w:hint="eastAsia"/>
                <w:color w:val="auto"/>
                <w:kern w:val="0"/>
              </w:rPr>
              <w:t>本项目已在第七师发展和改革委员会备案。</w:t>
            </w:r>
          </w:p>
          <w:p>
            <w:pPr>
              <w:pStyle w:val="69"/>
              <w:rPr>
                <w:color w:val="auto"/>
                <w:kern w:val="0"/>
              </w:rPr>
            </w:pPr>
            <w:r>
              <w:rPr>
                <w:color w:val="auto"/>
                <w:kern w:val="0"/>
              </w:rPr>
              <w:t>因此本项目符合国家的产业政策。</w:t>
            </w:r>
          </w:p>
          <w:p>
            <w:pPr>
              <w:pStyle w:val="69"/>
              <w:ind w:firstLine="482"/>
              <w:rPr>
                <w:b/>
                <w:bCs/>
                <w:color w:val="auto"/>
              </w:rPr>
            </w:pPr>
            <w:r>
              <w:rPr>
                <w:rFonts w:hint="eastAsia"/>
                <w:b/>
                <w:bCs/>
                <w:color w:val="auto"/>
              </w:rPr>
              <w:t>3、与《新疆生产建设兵团“十四五”生态环境保护规划》符合性分析</w:t>
            </w:r>
          </w:p>
          <w:p>
            <w:pPr>
              <w:pStyle w:val="69"/>
              <w:rPr>
                <w:color w:val="auto"/>
                <w:kern w:val="0"/>
              </w:rPr>
            </w:pPr>
            <w:r>
              <w:rPr>
                <w:rFonts w:hint="eastAsia"/>
                <w:color w:val="auto"/>
                <w:kern w:val="0"/>
              </w:rPr>
              <w:t>新疆生产建设兵团“十四五”生态环境保护规划中明确指出要“</w:t>
            </w:r>
            <w:r>
              <w:rPr>
                <w:color w:val="auto"/>
                <w:kern w:val="0"/>
              </w:rPr>
              <w:t>严格环境准入，推动工业绿色转型。建立以“三线一单”为核心全覆盖的生态环境分区管控体系，完善管控单元环境准入清单，深化高耗能、高排放项目环境准入及管控要求，建立动态更新和调整机制。加强“三线一单”在政策制定、环境准入、园区管理、执法监管等方面的应用。持续推进区域和行业规划环境影响评价，严禁“三高”项目进兵团，严格落实钢铁、有色、煤炭、电力、石油化工、建材、印染等行业新、改、扩建项目的环境准入。有序承接精细化工产业转移，推进化工产业高质量发展；环境已超载或易引发次生环境风险的地区，限制承接化工产业。</w:t>
            </w:r>
            <w:r>
              <w:rPr>
                <w:rFonts w:hint="eastAsia"/>
                <w:color w:val="auto"/>
                <w:kern w:val="0"/>
              </w:rPr>
              <w:t>”</w:t>
            </w:r>
          </w:p>
          <w:p>
            <w:pPr>
              <w:pStyle w:val="69"/>
              <w:rPr>
                <w:color w:val="auto"/>
              </w:rPr>
            </w:pPr>
            <w:r>
              <w:rPr>
                <w:rFonts w:hint="eastAsia"/>
                <w:color w:val="auto"/>
                <w:kern w:val="0"/>
              </w:rPr>
              <w:t>本项目属于混凝土制品业，不属于“三高”及钢铁、有色、煤炭、电力、石油化工等项目，经分析项目符合</w:t>
            </w:r>
            <w:r>
              <w:rPr>
                <w:color w:val="auto"/>
                <w:kern w:val="0"/>
              </w:rPr>
              <w:t>《第七师胡杨河市“三线一单”生态环境分区管控方案》</w:t>
            </w:r>
            <w:r>
              <w:rPr>
                <w:rFonts w:hint="eastAsia"/>
                <w:color w:val="auto"/>
                <w:kern w:val="0"/>
              </w:rPr>
              <w:t>要求，不存在明显制约因素，符合《新疆生产建设兵团“十四五”生态环境保护规划》中推动绿色低碳循环发展的要求</w:t>
            </w:r>
            <w:r>
              <w:rPr>
                <w:rFonts w:hint="eastAsia" w:ascii="Helvetica" w:hAnsi="Helvetica" w:eastAsia="Helvetica" w:cs="Helvetica"/>
                <w:color w:val="auto"/>
                <w:sz w:val="21"/>
                <w:szCs w:val="21"/>
              </w:rPr>
              <w:t>。</w:t>
            </w:r>
          </w:p>
          <w:p>
            <w:pPr>
              <w:pStyle w:val="69"/>
              <w:ind w:firstLine="482"/>
              <w:rPr>
                <w:b/>
                <w:bCs/>
                <w:color w:val="auto"/>
              </w:rPr>
            </w:pPr>
            <w:r>
              <w:rPr>
                <w:rFonts w:hint="eastAsia"/>
                <w:b/>
                <w:bCs/>
                <w:color w:val="auto"/>
              </w:rPr>
              <w:t>4、项目与大气污染防治条例及环境空气细颗粒物污染综合防治技术政策的符合性</w:t>
            </w:r>
          </w:p>
          <w:p>
            <w:pPr>
              <w:pStyle w:val="69"/>
              <w:rPr>
                <w:color w:val="auto"/>
              </w:rPr>
            </w:pPr>
            <w:r>
              <w:rPr>
                <w:rFonts w:hint="eastAsia"/>
                <w:color w:val="auto"/>
              </w:rPr>
              <w:t>对照相关大气污染防治条例及政策，本项目与“条列”及“政策”中各项环保要求相容。</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表1-</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 xml:space="preserve">  项目与大气污染防治条例</w:t>
            </w:r>
            <w:r>
              <w:rPr>
                <w:rFonts w:hint="eastAsia" w:ascii="Times New Roman" w:hAnsi="Times New Roman" w:eastAsia="宋体" w:cs="Times New Roman"/>
                <w:b/>
                <w:color w:val="auto"/>
                <w:szCs w:val="21"/>
              </w:rPr>
              <w:t>及环境空气细颗粒物污染综合防治技术政策相符性对应分析表</w:t>
            </w:r>
          </w:p>
          <w:tbl>
            <w:tblPr>
              <w:tblStyle w:val="30"/>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888"/>
              <w:gridCol w:w="2073"/>
              <w:gridCol w:w="2370"/>
              <w:gridCol w:w="7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 w:type="pct"/>
                  <w:vAlign w:val="center"/>
                </w:tcPr>
                <w:p>
                  <w:pPr>
                    <w:pStyle w:val="103"/>
                    <w:ind w:left="-63" w:right="-63"/>
                    <w:rPr>
                      <w:color w:val="auto"/>
                    </w:rPr>
                  </w:pPr>
                  <w:r>
                    <w:rPr>
                      <w:color w:val="auto"/>
                    </w:rPr>
                    <w:t>序号</w:t>
                  </w:r>
                </w:p>
              </w:tc>
              <w:tc>
                <w:tcPr>
                  <w:tcW w:w="683" w:type="pct"/>
                  <w:vAlign w:val="center"/>
                </w:tcPr>
                <w:p>
                  <w:pPr>
                    <w:pStyle w:val="103"/>
                    <w:ind w:left="-63" w:right="-63"/>
                    <w:rPr>
                      <w:color w:val="auto"/>
                    </w:rPr>
                  </w:pPr>
                  <w:r>
                    <w:rPr>
                      <w:color w:val="auto"/>
                    </w:rPr>
                    <w:t>名称</w:t>
                  </w:r>
                </w:p>
              </w:tc>
              <w:tc>
                <w:tcPr>
                  <w:tcW w:w="1594" w:type="pct"/>
                  <w:vAlign w:val="center"/>
                </w:tcPr>
                <w:p>
                  <w:pPr>
                    <w:pStyle w:val="103"/>
                    <w:ind w:left="-63" w:right="-63"/>
                    <w:rPr>
                      <w:color w:val="auto"/>
                    </w:rPr>
                  </w:pPr>
                  <w:r>
                    <w:rPr>
                      <w:rFonts w:hint="eastAsia"/>
                      <w:color w:val="auto"/>
                    </w:rPr>
                    <w:t>相关</w:t>
                  </w:r>
                  <w:r>
                    <w:rPr>
                      <w:color w:val="auto"/>
                    </w:rPr>
                    <w:t>要求</w:t>
                  </w:r>
                </w:p>
              </w:tc>
              <w:tc>
                <w:tcPr>
                  <w:tcW w:w="1823" w:type="pct"/>
                  <w:vAlign w:val="center"/>
                </w:tcPr>
                <w:p>
                  <w:pPr>
                    <w:pStyle w:val="103"/>
                    <w:ind w:left="-63" w:right="-63"/>
                    <w:rPr>
                      <w:color w:val="auto"/>
                    </w:rPr>
                  </w:pPr>
                  <w:r>
                    <w:rPr>
                      <w:color w:val="auto"/>
                    </w:rPr>
                    <w:t>本项目实际情况</w:t>
                  </w:r>
                </w:p>
              </w:tc>
              <w:tc>
                <w:tcPr>
                  <w:tcW w:w="557" w:type="pct"/>
                  <w:vAlign w:val="center"/>
                </w:tcPr>
                <w:p>
                  <w:pPr>
                    <w:pStyle w:val="103"/>
                    <w:ind w:left="-63" w:right="-63"/>
                    <w:rPr>
                      <w:color w:val="auto"/>
                    </w:rPr>
                  </w:pPr>
                  <w:r>
                    <w:rPr>
                      <w:color w:val="auto"/>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103"/>
                    <w:ind w:left="-63" w:right="-63"/>
                    <w:rPr>
                      <w:color w:val="auto"/>
                    </w:rPr>
                  </w:pPr>
                  <w:r>
                    <w:rPr>
                      <w:color w:val="auto"/>
                    </w:rPr>
                    <w:t>1</w:t>
                  </w:r>
                </w:p>
              </w:tc>
              <w:tc>
                <w:tcPr>
                  <w:tcW w:w="683" w:type="pct"/>
                  <w:vAlign w:val="center"/>
                </w:tcPr>
                <w:p>
                  <w:pPr>
                    <w:pStyle w:val="103"/>
                    <w:ind w:left="-63" w:right="-63"/>
                    <w:rPr>
                      <w:color w:val="auto"/>
                    </w:rPr>
                  </w:pPr>
                  <w:r>
                    <w:rPr>
                      <w:color w:val="auto"/>
                    </w:rPr>
                    <w:t>新疆维吾尔自治区大气污染防治条例（2019年1月1日起施行）</w:t>
                  </w:r>
                </w:p>
              </w:tc>
              <w:tc>
                <w:tcPr>
                  <w:tcW w:w="1594" w:type="pct"/>
                  <w:vAlign w:val="center"/>
                </w:tcPr>
                <w:p>
                  <w:pPr>
                    <w:pStyle w:val="103"/>
                    <w:ind w:left="-63" w:right="-63"/>
                    <w:rPr>
                      <w:color w:val="auto"/>
                    </w:rPr>
                  </w:pPr>
                  <w:r>
                    <w:rPr>
                      <w:color w:val="auto"/>
                    </w:rPr>
                    <w:t>第三十七条，应加强物料运输的扬尘和沙尘污染治理，保持道路清洁，控制料堆堆放。</w:t>
                  </w:r>
                </w:p>
                <w:p>
                  <w:pPr>
                    <w:pStyle w:val="103"/>
                    <w:ind w:left="-63" w:right="-63"/>
                    <w:rPr>
                      <w:color w:val="auto"/>
                    </w:rPr>
                  </w:pPr>
                  <w:r>
                    <w:rPr>
                      <w:color w:val="auto"/>
                    </w:rPr>
                    <w:t>第四十三条，贮存易产生扬尘的煤炭、煤矸石、煤渣、煤灰、水泥、石灰、石膏、砂土等物料的堆场应当密闭；不能密闭的应按照物料类别采取相应的围挡、防风抑尘网、喷淋等防风抑尘措施。</w:t>
                  </w:r>
                </w:p>
              </w:tc>
              <w:tc>
                <w:tcPr>
                  <w:tcW w:w="1823" w:type="pct"/>
                  <w:vMerge w:val="restart"/>
                  <w:vAlign w:val="center"/>
                </w:tcPr>
                <w:p>
                  <w:pPr>
                    <w:pStyle w:val="103"/>
                    <w:ind w:left="-63" w:right="-63"/>
                    <w:rPr>
                      <w:color w:val="auto"/>
                    </w:rPr>
                  </w:pPr>
                  <w:r>
                    <w:rPr>
                      <w:color w:val="auto"/>
                    </w:rPr>
                    <w:t>本项目所用的水泥、矿粉贮存至密闭粉料仓中，水泥、矿粉采用密闭罐车运输至项目区，泵入粉料仓中。水泥、矿粉仓顶均设置布袋除尘器，生产过程中产生的粉尘经除尘器除尘后通过15m高排气筒排放</w:t>
                  </w:r>
                  <w:r>
                    <w:rPr>
                      <w:rFonts w:hint="eastAsia"/>
                      <w:color w:val="auto"/>
                    </w:rPr>
                    <w:t>，搅拌楼全密闭；</w:t>
                  </w:r>
                  <w:r>
                    <w:rPr>
                      <w:color w:val="auto"/>
                    </w:rPr>
                    <w:t>场内道路进行砾石复压硬化，配备洒水车，采用洒水对道路进行充分预湿，运输车辆出厂时，采取苫盖篷布的措施，并对车辆进行冲洗。</w:t>
                  </w:r>
                  <w:r>
                    <w:rPr>
                      <w:rFonts w:hint="eastAsia"/>
                      <w:color w:val="auto"/>
                    </w:rPr>
                    <w:t>砂石料存储于半封闭原料库房，库房顶部设置自动雾化喷淋装置</w:t>
                  </w:r>
                </w:p>
              </w:tc>
              <w:tc>
                <w:tcPr>
                  <w:tcW w:w="557" w:type="pct"/>
                  <w:vAlign w:val="center"/>
                </w:tcPr>
                <w:p>
                  <w:pPr>
                    <w:pStyle w:val="103"/>
                    <w:ind w:left="-63" w:right="-63"/>
                    <w:rPr>
                      <w:color w:val="auto"/>
                    </w:rPr>
                  </w:pPr>
                  <w:r>
                    <w:rPr>
                      <w:color w:val="auto"/>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40" w:type="pct"/>
                  <w:vAlign w:val="center"/>
                </w:tcPr>
                <w:p>
                  <w:pPr>
                    <w:pStyle w:val="37"/>
                    <w:rPr>
                      <w:color w:val="auto"/>
                    </w:rPr>
                  </w:pPr>
                  <w:r>
                    <w:rPr>
                      <w:rFonts w:hint="eastAsia"/>
                      <w:color w:val="auto"/>
                    </w:rPr>
                    <w:t>2</w:t>
                  </w:r>
                </w:p>
              </w:tc>
              <w:tc>
                <w:tcPr>
                  <w:tcW w:w="683" w:type="pct"/>
                  <w:vAlign w:val="center"/>
                </w:tcPr>
                <w:p>
                  <w:pPr>
                    <w:pStyle w:val="37"/>
                    <w:rPr>
                      <w:color w:val="auto"/>
                    </w:rPr>
                  </w:pPr>
                  <w:r>
                    <w:rPr>
                      <w:color w:val="auto"/>
                    </w:rPr>
                    <w:t>环境空气细颗粒物污染综合防治技术政策</w:t>
                  </w:r>
                  <w:r>
                    <w:rPr>
                      <w:rFonts w:hint="eastAsia"/>
                      <w:color w:val="auto"/>
                    </w:rPr>
                    <w:t>（2013年9月25日实施）</w:t>
                  </w:r>
                </w:p>
              </w:tc>
              <w:tc>
                <w:tcPr>
                  <w:tcW w:w="1594" w:type="pct"/>
                  <w:vAlign w:val="center"/>
                </w:tcPr>
                <w:p>
                  <w:pPr>
                    <w:pStyle w:val="103"/>
                    <w:ind w:left="-63" w:right="-63"/>
                    <w:rPr>
                      <w:rFonts w:ascii="宋体" w:hAnsi="宋体" w:cs="宋体"/>
                      <w:color w:val="auto"/>
                    </w:rPr>
                  </w:pPr>
                  <w:r>
                    <w:rPr>
                      <w:rFonts w:ascii="宋体" w:hAnsi="宋体" w:cs="宋体"/>
                      <w:color w:val="auto"/>
                    </w:rPr>
                    <w:t>对于</w:t>
                  </w:r>
                  <w:r>
                    <w:rPr>
                      <w:rFonts w:hint="eastAsia" w:ascii="宋体" w:hAnsi="宋体" w:cs="宋体"/>
                      <w:color w:val="auto"/>
                    </w:rPr>
                    <w:t>排</w:t>
                  </w:r>
                  <w:r>
                    <w:rPr>
                      <w:rFonts w:ascii="宋体" w:hAnsi="宋体" w:cs="宋体"/>
                      <w:color w:val="auto"/>
                    </w:rPr>
                    <w:t>放细颗粒物的工业污染源，应按照生产工艺、挂放方式和烟(度)气组成的特点，选取适用的污染防治技术。工业污染源有组织排放的颗粒物，宜采取袋</w:t>
                  </w:r>
                  <w:r>
                    <w:rPr>
                      <w:rFonts w:hint="eastAsia" w:ascii="宋体" w:hAnsi="宋体" w:cs="宋体"/>
                      <w:color w:val="auto"/>
                    </w:rPr>
                    <w:t>式</w:t>
                  </w:r>
                  <w:r>
                    <w:rPr>
                      <w:rFonts w:ascii="宋体" w:hAnsi="宋体" w:cs="宋体"/>
                      <w:color w:val="auto"/>
                    </w:rPr>
                    <w:t>除尘、电除尘、电袋除尘等高效除尘技术，鼓励火电机组和大型燃煤锅炉采用湿式电除尘等新技术</w:t>
                  </w:r>
                </w:p>
                <w:p>
                  <w:pPr>
                    <w:pStyle w:val="103"/>
                    <w:ind w:left="-63" w:right="-63"/>
                    <w:rPr>
                      <w:rFonts w:ascii="宋体" w:hAnsi="宋体" w:cs="宋体"/>
                      <w:color w:val="auto"/>
                    </w:rPr>
                  </w:pPr>
                  <w:r>
                    <w:rPr>
                      <w:rFonts w:ascii="宋体" w:hAnsi="宋体" w:cs="宋体"/>
                      <w:color w:val="auto"/>
                    </w:rPr>
                    <w:t>产生大气颗粒物及其前体物污染物的生产活动应尽量采用</w:t>
                  </w:r>
                  <w:r>
                    <w:rPr>
                      <w:rFonts w:hint="eastAsia" w:ascii="宋体" w:hAnsi="宋体" w:cs="宋体"/>
                      <w:color w:val="auto"/>
                    </w:rPr>
                    <w:t>密闭装置，避免无组织排放；无法完全密闭的，应安装集气装置收集逸散的污染物，经净化后排放</w:t>
                  </w:r>
                </w:p>
              </w:tc>
              <w:tc>
                <w:tcPr>
                  <w:tcW w:w="1823" w:type="pct"/>
                  <w:vMerge w:val="continue"/>
                  <w:vAlign w:val="center"/>
                </w:tcPr>
                <w:p>
                  <w:pPr>
                    <w:pStyle w:val="103"/>
                    <w:ind w:left="-63" w:right="-63"/>
                    <w:rPr>
                      <w:color w:val="auto"/>
                    </w:rPr>
                  </w:pPr>
                </w:p>
              </w:tc>
              <w:tc>
                <w:tcPr>
                  <w:tcW w:w="557" w:type="pct"/>
                  <w:vAlign w:val="center"/>
                </w:tcPr>
                <w:p>
                  <w:pPr>
                    <w:pStyle w:val="103"/>
                    <w:ind w:left="-63" w:right="-63"/>
                    <w:rPr>
                      <w:color w:val="auto"/>
                    </w:rPr>
                  </w:pPr>
                  <w:r>
                    <w:rPr>
                      <w:rFonts w:hint="eastAsia"/>
                      <w:color w:val="auto"/>
                    </w:rPr>
                    <w:t>符合</w:t>
                  </w:r>
                </w:p>
              </w:tc>
            </w:tr>
          </w:tbl>
          <w:p>
            <w:pPr>
              <w:autoSpaceDE w:val="0"/>
              <w:autoSpaceDN w:val="0"/>
              <w:adjustRightInd w:val="0"/>
              <w:snapToGrid w:val="0"/>
              <w:spacing w:line="520" w:lineRule="exact"/>
              <w:ind w:firstLine="482" w:firstLineChars="200"/>
              <w:rPr>
                <w:b/>
                <w:bCs/>
                <w:color w:val="auto"/>
                <w:sz w:val="24"/>
              </w:rPr>
            </w:pPr>
            <w:r>
              <w:rPr>
                <w:rFonts w:hint="eastAsia"/>
                <w:b/>
                <w:bCs/>
                <w:color w:val="auto"/>
                <w:sz w:val="24"/>
              </w:rPr>
              <w:t>5、项目与《新疆维吾尔自治区大气污染防治行动计划实施方案》的符合性分析</w:t>
            </w:r>
          </w:p>
          <w:p>
            <w:pPr>
              <w:pStyle w:val="69"/>
              <w:rPr>
                <w:rFonts w:hint="eastAsia" w:eastAsia="宋体"/>
                <w:color w:val="auto"/>
                <w:kern w:val="0"/>
                <w:lang w:eastAsia="zh-CN"/>
              </w:rPr>
            </w:pPr>
            <w:r>
              <w:rPr>
                <w:color w:val="auto"/>
                <w:kern w:val="0"/>
              </w:rPr>
              <w:t>《</w:t>
            </w:r>
            <w:r>
              <w:rPr>
                <w:rFonts w:hint="eastAsia" w:cs="Times New Roman"/>
                <w:b/>
                <w:bCs/>
                <w:color w:val="auto"/>
              </w:rPr>
              <w:t>新疆维吾尔自治区大气污染防治行动计划实施方案</w:t>
            </w:r>
            <w:r>
              <w:rPr>
                <w:color w:val="auto"/>
                <w:kern w:val="0"/>
              </w:rPr>
              <w:t>》要</w:t>
            </w:r>
            <w:r>
              <w:rPr>
                <w:color w:val="auto"/>
              </w:rPr>
              <w:t>求</w:t>
            </w:r>
            <w:r>
              <w:rPr>
                <w:rFonts w:hint="eastAsia"/>
                <w:color w:val="auto"/>
              </w:rPr>
              <w:t>：“加强施工扬尘监管，积极推进绿色施工。各类建筑施工、道路施工、市政工程等工地和构筑物拆除场地周边应全封闭设置围挡墙、湿法作业，严禁敞开式作业。施工现场道路应进行地面硬化，禁止现场搅拌混凝土、砂浆。渣土运输车辆采取密闭措施，逐步安装卫星定位系统。煤堆、料堆、渣堆实现封闭存储。推行道路机械化清扫等低尘作业方式”</w:t>
            </w:r>
            <w:r>
              <w:rPr>
                <w:rFonts w:hint="eastAsia"/>
                <w:color w:val="auto"/>
                <w:lang w:eastAsia="zh-CN"/>
              </w:rPr>
              <w:t>。</w:t>
            </w:r>
          </w:p>
          <w:p>
            <w:pPr>
              <w:pStyle w:val="69"/>
              <w:rPr>
                <w:color w:val="auto"/>
              </w:rPr>
            </w:pPr>
            <w:r>
              <w:rPr>
                <w:color w:val="auto"/>
              </w:rPr>
              <w:t>本项目</w:t>
            </w:r>
            <w:r>
              <w:rPr>
                <w:rFonts w:hint="eastAsia"/>
                <w:color w:val="auto"/>
              </w:rPr>
              <w:t>施工期施工场地周边设置全封闭围墙，施工现场道路采取硬化措施，采用商品混凝土，渣土运输车辆采取密闭措施，项目营运期水泥、矿粉采用密闭罐车运输至项目区，泵入粉料仓中</w:t>
            </w:r>
            <w:r>
              <w:rPr>
                <w:color w:val="auto"/>
              </w:rPr>
              <w:t>，并在水泥筒仓及矿粉筒仓顶部配备布袋除尘器；</w:t>
            </w:r>
            <w:r>
              <w:rPr>
                <w:rFonts w:hint="eastAsia"/>
                <w:color w:val="auto"/>
              </w:rPr>
              <w:t>搅拌楼全密闭；场内</w:t>
            </w:r>
            <w:r>
              <w:rPr>
                <w:color w:val="auto"/>
              </w:rPr>
              <w:t>道路进行砾石复压</w:t>
            </w:r>
            <w:r>
              <w:rPr>
                <w:rFonts w:hint="eastAsia"/>
                <w:color w:val="auto"/>
              </w:rPr>
              <w:t>硬化</w:t>
            </w:r>
            <w:r>
              <w:rPr>
                <w:color w:val="auto"/>
              </w:rPr>
              <w:t>，</w:t>
            </w:r>
            <w:r>
              <w:rPr>
                <w:rFonts w:hint="eastAsia"/>
                <w:color w:val="auto"/>
              </w:rPr>
              <w:t>配备洒水车，采用洒水对道路进行充分预湿，</w:t>
            </w:r>
            <w:r>
              <w:rPr>
                <w:color w:val="auto"/>
              </w:rPr>
              <w:t>运输车辆出厂时，采取苫盖篷布的措施，</w:t>
            </w:r>
            <w:r>
              <w:rPr>
                <w:rFonts w:hint="eastAsia"/>
                <w:color w:val="auto"/>
              </w:rPr>
              <w:t>并对车辆进行冲洗，砂石料存储于半封闭原料库房，库房顶部设置</w:t>
            </w:r>
            <w:r>
              <w:rPr>
                <w:rFonts w:hint="eastAsia"/>
                <w:color w:val="auto"/>
                <w:szCs w:val="21"/>
              </w:rPr>
              <w:t>自动雾化喷淋装置</w:t>
            </w:r>
            <w:r>
              <w:rPr>
                <w:rFonts w:hint="eastAsia"/>
                <w:color w:val="auto"/>
              </w:rPr>
              <w:t>。</w:t>
            </w:r>
          </w:p>
          <w:p>
            <w:pPr>
              <w:pStyle w:val="69"/>
              <w:rPr>
                <w:color w:val="auto"/>
              </w:rPr>
            </w:pPr>
            <w:r>
              <w:rPr>
                <w:color w:val="auto"/>
              </w:rPr>
              <w:t>综上，</w:t>
            </w:r>
            <w:r>
              <w:rPr>
                <w:rFonts w:hint="eastAsia"/>
                <w:color w:val="auto"/>
              </w:rPr>
              <w:t>本项目针对项目扬尘采取了严格的环保措施，大大降低扬尘环境影响，</w:t>
            </w:r>
            <w:r>
              <w:rPr>
                <w:color w:val="auto"/>
              </w:rPr>
              <w:t>符合《</w:t>
            </w:r>
            <w:r>
              <w:rPr>
                <w:rFonts w:hint="eastAsia"/>
                <w:color w:val="auto"/>
              </w:rPr>
              <w:t>新疆维吾尔自治区大气污染防治行动计划实施方案</w:t>
            </w:r>
            <w:r>
              <w:rPr>
                <w:color w:val="auto"/>
              </w:rPr>
              <w:t>》</w:t>
            </w:r>
            <w:r>
              <w:rPr>
                <w:rFonts w:hint="eastAsia"/>
                <w:color w:val="auto"/>
              </w:rPr>
              <w:t>相关</w:t>
            </w:r>
            <w:r>
              <w:rPr>
                <w:color w:val="auto"/>
              </w:rPr>
              <w:t>要求。</w:t>
            </w:r>
          </w:p>
          <w:p>
            <w:pPr>
              <w:autoSpaceDE w:val="0"/>
              <w:autoSpaceDN w:val="0"/>
              <w:adjustRightInd w:val="0"/>
              <w:snapToGrid w:val="0"/>
              <w:spacing w:line="520" w:lineRule="exact"/>
              <w:ind w:firstLine="482" w:firstLineChars="200"/>
              <w:rPr>
                <w:b/>
                <w:bCs/>
                <w:color w:val="auto"/>
                <w:sz w:val="24"/>
              </w:rPr>
            </w:pPr>
            <w:r>
              <w:rPr>
                <w:rFonts w:hint="eastAsia"/>
                <w:b/>
                <w:bCs/>
                <w:color w:val="auto"/>
                <w:sz w:val="24"/>
              </w:rPr>
              <w:t>6、项目与</w:t>
            </w:r>
            <w:r>
              <w:rPr>
                <w:rFonts w:hint="eastAsia"/>
                <w:b/>
                <w:bCs/>
                <w:color w:val="auto"/>
                <w:sz w:val="24"/>
                <w:lang w:val="zh-TW"/>
              </w:rPr>
              <w:t>《工业料堆场扬尘整治规范》（DB65/T 4061-2017）</w:t>
            </w:r>
            <w:r>
              <w:rPr>
                <w:rFonts w:hint="eastAsia"/>
                <w:b/>
                <w:bCs/>
                <w:color w:val="auto"/>
                <w:sz w:val="24"/>
              </w:rPr>
              <w:t>的符合性分析。</w:t>
            </w:r>
          </w:p>
          <w:p>
            <w:pPr>
              <w:pStyle w:val="69"/>
              <w:rPr>
                <w:color w:val="auto"/>
              </w:rPr>
            </w:pPr>
            <w:r>
              <w:rPr>
                <w:color w:val="auto"/>
              </w:rPr>
              <w:t>根据《工业料堆场扬尘整治规范》（DB65/T 4061-2017）表1工业料堆场类型划分，工业料堆场所在地环境敏感程度、堆场规模、当地年平均风速、物料粒度，将工业料堆场划分为Ⅰ、Ⅱ和Ⅲ三个类型，其分类判据见表</w:t>
            </w:r>
            <w:r>
              <w:rPr>
                <w:rFonts w:hint="eastAsia"/>
                <w:color w:val="auto"/>
              </w:rPr>
              <w:t>1</w:t>
            </w:r>
            <w:r>
              <w:rPr>
                <w:color w:val="auto"/>
              </w:rPr>
              <w:t>-</w:t>
            </w:r>
            <w:r>
              <w:rPr>
                <w:rFonts w:hint="eastAsia"/>
                <w:color w:val="auto"/>
              </w:rPr>
              <w:t>4</w:t>
            </w:r>
            <w:r>
              <w:rPr>
                <w:color w:val="auto"/>
              </w:rPr>
              <w:t>。</w:t>
            </w:r>
          </w:p>
          <w:p>
            <w:pPr>
              <w:widowControl/>
              <w:topLinePunct/>
              <w:adjustRightInd w:val="0"/>
              <w:snapToGrid w:val="0"/>
              <w:jc w:val="center"/>
              <w:rPr>
                <w:rFonts w:ascii="Times New Roman" w:hAnsi="Times New Roman" w:eastAsia="宋体" w:cs="Times New Roman"/>
                <w:b/>
                <w:color w:val="auto"/>
                <w:szCs w:val="21"/>
                <w:lang w:val="zh-TW"/>
              </w:rPr>
            </w:pPr>
            <w:r>
              <w:rPr>
                <w:rFonts w:ascii="Times New Roman" w:hAnsi="Times New Roman" w:eastAsia="宋体" w:cs="Times New Roman"/>
                <w:b/>
                <w:color w:val="auto"/>
                <w:szCs w:val="21"/>
                <w:lang w:val="zh-TW"/>
              </w:rPr>
              <w:t>表</w:t>
            </w:r>
            <w:r>
              <w:rPr>
                <w:rFonts w:hint="eastAsia" w:ascii="Times New Roman" w:hAnsi="Times New Roman" w:eastAsia="宋体" w:cs="Times New Roman"/>
                <w:b/>
                <w:color w:val="auto"/>
                <w:szCs w:val="21"/>
              </w:rPr>
              <w:t>1-4</w:t>
            </w:r>
            <w:r>
              <w:rPr>
                <w:rFonts w:ascii="Times New Roman" w:hAnsi="Times New Roman" w:eastAsia="宋体" w:cs="Times New Roman"/>
                <w:b/>
                <w:color w:val="auto"/>
                <w:szCs w:val="21"/>
                <w:lang w:val="zh-TW"/>
              </w:rPr>
              <w:t xml:space="preserve">    工业料堆场类型划分</w:t>
            </w:r>
          </w:p>
          <w:tbl>
            <w:tblPr>
              <w:tblStyle w:val="30"/>
              <w:tblW w:w="5000" w:type="pct"/>
              <w:jc w:val="center"/>
              <w:tblLayout w:type="autofit"/>
              <w:tblCellMar>
                <w:top w:w="0" w:type="dxa"/>
                <w:left w:w="108" w:type="dxa"/>
                <w:bottom w:w="0" w:type="dxa"/>
                <w:right w:w="108" w:type="dxa"/>
              </w:tblCellMar>
            </w:tblPr>
            <w:tblGrid>
              <w:gridCol w:w="938"/>
              <w:gridCol w:w="1091"/>
              <w:gridCol w:w="1064"/>
              <w:gridCol w:w="1176"/>
              <w:gridCol w:w="1174"/>
              <w:gridCol w:w="1059"/>
            </w:tblGrid>
            <w:tr>
              <w:tblPrEx>
                <w:tblCellMar>
                  <w:top w:w="0" w:type="dxa"/>
                  <w:left w:w="108" w:type="dxa"/>
                  <w:bottom w:w="0" w:type="dxa"/>
                  <w:right w:w="108" w:type="dxa"/>
                </w:tblCellMar>
              </w:tblPrEx>
              <w:trPr>
                <w:jc w:val="center"/>
              </w:trPr>
              <w:tc>
                <w:tcPr>
                  <w:tcW w:w="721" w:type="pct"/>
                  <w:vMerge w:val="restart"/>
                  <w:tcBorders>
                    <w:top w:val="single" w:color="auto" w:sz="12" w:space="0"/>
                    <w:right w:val="single" w:color="auto" w:sz="4" w:space="0"/>
                  </w:tcBorders>
                  <w:vAlign w:val="center"/>
                </w:tcPr>
                <w:p>
                  <w:pPr>
                    <w:pStyle w:val="103"/>
                    <w:ind w:left="-63" w:right="-63"/>
                    <w:rPr>
                      <w:color w:val="auto"/>
                    </w:rPr>
                  </w:pPr>
                  <w:r>
                    <w:rPr>
                      <w:color w:val="auto"/>
                    </w:rPr>
                    <w:t>环境控制区</w:t>
                  </w:r>
                </w:p>
              </w:tc>
              <w:tc>
                <w:tcPr>
                  <w:tcW w:w="839" w:type="pct"/>
                  <w:vMerge w:val="restart"/>
                  <w:tcBorders>
                    <w:top w:val="single" w:color="auto" w:sz="12" w:space="0"/>
                    <w:left w:val="nil"/>
                    <w:right w:val="single" w:color="auto" w:sz="4" w:space="0"/>
                  </w:tcBorders>
                  <w:vAlign w:val="center"/>
                </w:tcPr>
                <w:p>
                  <w:pPr>
                    <w:pStyle w:val="103"/>
                    <w:ind w:left="-63" w:right="-63"/>
                    <w:rPr>
                      <w:color w:val="auto"/>
                    </w:rPr>
                  </w:pPr>
                  <w:r>
                    <w:rPr>
                      <w:color w:val="auto"/>
                    </w:rPr>
                    <w:t>规模（m</w:t>
                  </w:r>
                  <w:r>
                    <w:rPr>
                      <w:color w:val="auto"/>
                      <w:vertAlign w:val="superscript"/>
                    </w:rPr>
                    <w:t>3</w:t>
                  </w:r>
                  <w:r>
                    <w:rPr>
                      <w:color w:val="auto"/>
                    </w:rPr>
                    <w:t>）</w:t>
                  </w:r>
                </w:p>
              </w:tc>
              <w:tc>
                <w:tcPr>
                  <w:tcW w:w="818" w:type="pct"/>
                  <w:vMerge w:val="restart"/>
                  <w:tcBorders>
                    <w:top w:val="single" w:color="auto" w:sz="12" w:space="0"/>
                    <w:left w:val="nil"/>
                    <w:right w:val="single" w:color="auto" w:sz="4" w:space="0"/>
                  </w:tcBorders>
                  <w:vAlign w:val="center"/>
                </w:tcPr>
                <w:p>
                  <w:pPr>
                    <w:pStyle w:val="103"/>
                    <w:ind w:left="-63" w:right="-63"/>
                    <w:rPr>
                      <w:color w:val="auto"/>
                    </w:rPr>
                  </w:pPr>
                  <w:r>
                    <w:rPr>
                      <w:color w:val="auto"/>
                    </w:rPr>
                    <w:t>风速（m/s）</w:t>
                  </w:r>
                </w:p>
              </w:tc>
              <w:tc>
                <w:tcPr>
                  <w:tcW w:w="2621" w:type="pct"/>
                  <w:gridSpan w:val="3"/>
                  <w:tcBorders>
                    <w:top w:val="single" w:color="auto" w:sz="12" w:space="0"/>
                    <w:left w:val="nil"/>
                    <w:bottom w:val="single" w:color="auto" w:sz="4" w:space="0"/>
                  </w:tcBorders>
                  <w:vAlign w:val="center"/>
                </w:tcPr>
                <w:p>
                  <w:pPr>
                    <w:pStyle w:val="103"/>
                    <w:ind w:left="-63" w:right="-63"/>
                    <w:rPr>
                      <w:color w:val="auto"/>
                    </w:rPr>
                  </w:pPr>
                  <w:r>
                    <w:rPr>
                      <w:color w:val="auto"/>
                    </w:rPr>
                    <w:t>粒度（mm）</w:t>
                  </w:r>
                </w:p>
              </w:tc>
            </w:tr>
            <w:tr>
              <w:tblPrEx>
                <w:tblCellMar>
                  <w:top w:w="0" w:type="dxa"/>
                  <w:left w:w="108" w:type="dxa"/>
                  <w:bottom w:w="0" w:type="dxa"/>
                  <w:right w:w="108" w:type="dxa"/>
                </w:tblCellMar>
              </w:tblPrEx>
              <w:trPr>
                <w:jc w:val="center"/>
              </w:trPr>
              <w:tc>
                <w:tcPr>
                  <w:tcW w:w="721" w:type="pct"/>
                  <w:vMerge w:val="continue"/>
                  <w:tcBorders>
                    <w:bottom w:val="single" w:color="auto" w:sz="4" w:space="0"/>
                    <w:right w:val="single" w:color="auto" w:sz="4" w:space="0"/>
                  </w:tcBorders>
                  <w:vAlign w:val="center"/>
                </w:tcPr>
                <w:p>
                  <w:pPr>
                    <w:pStyle w:val="103"/>
                    <w:ind w:left="-63" w:right="-63"/>
                    <w:rPr>
                      <w:color w:val="auto"/>
                    </w:rPr>
                  </w:pPr>
                </w:p>
              </w:tc>
              <w:tc>
                <w:tcPr>
                  <w:tcW w:w="839" w:type="pct"/>
                  <w:vMerge w:val="continue"/>
                  <w:tcBorders>
                    <w:left w:val="nil"/>
                    <w:bottom w:val="single" w:color="auto" w:sz="4" w:space="0"/>
                    <w:right w:val="single" w:color="auto" w:sz="4" w:space="0"/>
                  </w:tcBorders>
                  <w:vAlign w:val="center"/>
                </w:tcPr>
                <w:p>
                  <w:pPr>
                    <w:pStyle w:val="103"/>
                    <w:ind w:left="-63" w:right="-63"/>
                    <w:rPr>
                      <w:color w:val="auto"/>
                    </w:rPr>
                  </w:pPr>
                </w:p>
              </w:tc>
              <w:tc>
                <w:tcPr>
                  <w:tcW w:w="818" w:type="pct"/>
                  <w:vMerge w:val="continue"/>
                  <w:tcBorders>
                    <w:left w:val="nil"/>
                    <w:bottom w:val="single" w:color="auto" w:sz="4" w:space="0"/>
                    <w:right w:val="single" w:color="auto" w:sz="4" w:space="0"/>
                  </w:tcBorders>
                  <w:vAlign w:val="center"/>
                </w:tcPr>
                <w:p>
                  <w:pPr>
                    <w:pStyle w:val="103"/>
                    <w:ind w:left="-63" w:right="-63"/>
                    <w:rPr>
                      <w:color w:val="auto"/>
                    </w:rPr>
                  </w:pPr>
                </w:p>
              </w:tc>
              <w:tc>
                <w:tcPr>
                  <w:tcW w:w="904" w:type="pct"/>
                  <w:tcBorders>
                    <w:top w:val="single" w:color="auto" w:sz="4" w:space="0"/>
                    <w:left w:val="nil"/>
                    <w:bottom w:val="single" w:color="auto" w:sz="4" w:space="0"/>
                    <w:right w:val="single" w:color="auto" w:sz="4" w:space="0"/>
                  </w:tcBorders>
                  <w:vAlign w:val="center"/>
                </w:tcPr>
                <w:p>
                  <w:pPr>
                    <w:pStyle w:val="103"/>
                    <w:ind w:left="-63" w:right="-63"/>
                    <w:rPr>
                      <w:color w:val="auto"/>
                    </w:rPr>
                  </w:pPr>
                  <w:r>
                    <w:rPr>
                      <w:color w:val="auto"/>
                    </w:rPr>
                    <w:t>粉体：≤0.5</w:t>
                  </w:r>
                </w:p>
              </w:tc>
              <w:tc>
                <w:tcPr>
                  <w:tcW w:w="903" w:type="pct"/>
                  <w:tcBorders>
                    <w:top w:val="single" w:color="auto" w:sz="4" w:space="0"/>
                    <w:left w:val="nil"/>
                    <w:bottom w:val="single" w:color="auto" w:sz="4" w:space="0"/>
                    <w:right w:val="single" w:color="auto" w:sz="4" w:space="0"/>
                  </w:tcBorders>
                  <w:vAlign w:val="center"/>
                </w:tcPr>
                <w:p>
                  <w:pPr>
                    <w:pStyle w:val="103"/>
                    <w:ind w:left="-63" w:right="-63"/>
                    <w:rPr>
                      <w:color w:val="auto"/>
                    </w:rPr>
                  </w:pPr>
                  <w:r>
                    <w:rPr>
                      <w:color w:val="auto"/>
                    </w:rPr>
                    <w:t>颗粒：0.5~13</w:t>
                  </w:r>
                </w:p>
              </w:tc>
              <w:tc>
                <w:tcPr>
                  <w:tcW w:w="813" w:type="pct"/>
                  <w:tcBorders>
                    <w:top w:val="single" w:color="auto" w:sz="4" w:space="0"/>
                    <w:left w:val="nil"/>
                    <w:bottom w:val="single" w:color="auto" w:sz="4" w:space="0"/>
                  </w:tcBorders>
                  <w:vAlign w:val="center"/>
                </w:tcPr>
                <w:p>
                  <w:pPr>
                    <w:pStyle w:val="103"/>
                    <w:ind w:left="-63" w:right="-63"/>
                    <w:rPr>
                      <w:color w:val="auto"/>
                    </w:rPr>
                  </w:pPr>
                  <w:r>
                    <w:rPr>
                      <w:color w:val="auto"/>
                    </w:rPr>
                    <w:t>块体：≥13</w:t>
                  </w:r>
                </w:p>
              </w:tc>
            </w:tr>
            <w:tr>
              <w:tblPrEx>
                <w:tblCellMar>
                  <w:top w:w="0" w:type="dxa"/>
                  <w:left w:w="108" w:type="dxa"/>
                  <w:bottom w:w="0" w:type="dxa"/>
                  <w:right w:w="108" w:type="dxa"/>
                </w:tblCellMar>
              </w:tblPrEx>
              <w:trPr>
                <w:jc w:val="center"/>
              </w:trPr>
              <w:tc>
                <w:tcPr>
                  <w:tcW w:w="721" w:type="pct"/>
                  <w:vMerge w:val="restart"/>
                  <w:tcBorders>
                    <w:top w:val="nil"/>
                    <w:bottom w:val="single" w:color="auto" w:sz="4" w:space="0"/>
                    <w:right w:val="single" w:color="auto" w:sz="4" w:space="0"/>
                  </w:tcBorders>
                  <w:vAlign w:val="center"/>
                </w:tcPr>
                <w:p>
                  <w:pPr>
                    <w:pStyle w:val="103"/>
                    <w:ind w:left="-63" w:right="-63"/>
                    <w:rPr>
                      <w:color w:val="auto"/>
                    </w:rPr>
                  </w:pPr>
                  <w:r>
                    <w:rPr>
                      <w:color w:val="auto"/>
                    </w:rPr>
                    <w:t>重点控制区</w:t>
                  </w: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≥10000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 xml:space="preserve">≥4 </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300~10000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≤300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restart"/>
                  <w:tcBorders>
                    <w:top w:val="nil"/>
                    <w:bottom w:val="single" w:color="auto" w:sz="4" w:space="0"/>
                    <w:right w:val="single" w:color="auto" w:sz="4" w:space="0"/>
                  </w:tcBorders>
                  <w:vAlign w:val="center"/>
                </w:tcPr>
                <w:p>
                  <w:pPr>
                    <w:pStyle w:val="103"/>
                    <w:ind w:left="-63" w:right="-63"/>
                    <w:rPr>
                      <w:color w:val="auto"/>
                    </w:rPr>
                  </w:pPr>
                  <w:r>
                    <w:rPr>
                      <w:color w:val="auto"/>
                    </w:rPr>
                    <w:t>一般控制区</w:t>
                  </w: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≥10000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300~10000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shd w:val="clear" w:color="auto" w:fill="auto"/>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shd w:val="clear" w:color="auto" w:fill="auto"/>
                  <w:vAlign w:val="center"/>
                </w:tcPr>
                <w:p>
                  <w:pPr>
                    <w:pStyle w:val="103"/>
                    <w:ind w:left="-63" w:right="-63"/>
                    <w:rPr>
                      <w:color w:val="auto"/>
                    </w:rPr>
                  </w:pPr>
                </w:p>
              </w:tc>
              <w:tc>
                <w:tcPr>
                  <w:tcW w:w="818" w:type="pct"/>
                  <w:tcBorders>
                    <w:top w:val="nil"/>
                    <w:left w:val="nil"/>
                    <w:bottom w:val="single" w:color="auto" w:sz="4" w:space="0"/>
                    <w:right w:val="single" w:color="auto" w:sz="4" w:space="0"/>
                  </w:tcBorders>
                  <w:shd w:val="clear" w:color="auto" w:fill="auto"/>
                  <w:vAlign w:val="center"/>
                </w:tcPr>
                <w:p>
                  <w:pPr>
                    <w:pStyle w:val="103"/>
                    <w:ind w:left="-63" w:right="-63"/>
                    <w:rPr>
                      <w:color w:val="auto"/>
                    </w:rPr>
                  </w:pPr>
                  <w:r>
                    <w:rPr>
                      <w:color w:val="auto"/>
                    </w:rPr>
                    <w:t>2~4</w:t>
                  </w:r>
                </w:p>
              </w:tc>
              <w:tc>
                <w:tcPr>
                  <w:tcW w:w="904" w:type="pct"/>
                  <w:tcBorders>
                    <w:top w:val="single" w:color="auto" w:sz="4" w:space="0"/>
                    <w:left w:val="nil"/>
                    <w:bottom w:val="single" w:color="auto" w:sz="4" w:space="0"/>
                    <w:right w:val="single" w:color="auto" w:sz="4" w:space="0"/>
                  </w:tcBorders>
                  <w:shd w:val="clear" w:color="auto" w:fill="FFC000"/>
                  <w:vAlign w:val="center"/>
                </w:tcPr>
                <w:p>
                  <w:pPr>
                    <w:pStyle w:val="103"/>
                    <w:ind w:left="-63" w:right="-63"/>
                    <w:rPr>
                      <w:color w:val="auto"/>
                    </w:rPr>
                  </w:pPr>
                  <w:r>
                    <w:rPr>
                      <w:color w:val="auto"/>
                    </w:rPr>
                    <w:t>Ⅰ</w:t>
                  </w:r>
                </w:p>
              </w:tc>
              <w:tc>
                <w:tcPr>
                  <w:tcW w:w="903" w:type="pct"/>
                  <w:tcBorders>
                    <w:top w:val="single" w:color="auto" w:sz="4" w:space="0"/>
                    <w:left w:val="nil"/>
                    <w:bottom w:val="single" w:color="auto" w:sz="4" w:space="0"/>
                    <w:right w:val="single" w:color="auto" w:sz="4" w:space="0"/>
                  </w:tcBorders>
                  <w:shd w:val="clear" w:color="auto" w:fill="FFC000"/>
                  <w:vAlign w:val="center"/>
                </w:tcPr>
                <w:p>
                  <w:pPr>
                    <w:pStyle w:val="103"/>
                    <w:ind w:left="-63" w:right="-63"/>
                    <w:rPr>
                      <w:color w:val="auto"/>
                    </w:rPr>
                  </w:pPr>
                  <w:r>
                    <w:rPr>
                      <w:color w:val="auto"/>
                    </w:rPr>
                    <w:t>Ⅱ</w:t>
                  </w:r>
                </w:p>
              </w:tc>
              <w:tc>
                <w:tcPr>
                  <w:tcW w:w="813" w:type="pct"/>
                  <w:tcBorders>
                    <w:top w:val="nil"/>
                    <w:left w:val="nil"/>
                    <w:bottom w:val="single" w:color="auto" w:sz="4" w:space="0"/>
                  </w:tcBorders>
                  <w:shd w:val="clear" w:color="auto" w:fill="FFC000"/>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single" w:color="auto" w:sz="4" w:space="0"/>
                    <w:left w:val="nil"/>
                    <w:bottom w:val="single" w:color="auto" w:sz="4" w:space="0"/>
                    <w:right w:val="single" w:color="auto" w:sz="4" w:space="0"/>
                  </w:tcBorders>
                  <w:shd w:val="clear" w:color="auto" w:fill="auto"/>
                  <w:vAlign w:val="center"/>
                </w:tcPr>
                <w:p>
                  <w:pPr>
                    <w:pStyle w:val="103"/>
                    <w:ind w:left="-63" w:right="-63"/>
                    <w:rPr>
                      <w:color w:val="auto"/>
                    </w:rPr>
                  </w:pPr>
                  <w:r>
                    <w:rPr>
                      <w:color w:val="auto"/>
                    </w:rPr>
                    <w:t>Ⅰ</w:t>
                  </w:r>
                </w:p>
              </w:tc>
              <w:tc>
                <w:tcPr>
                  <w:tcW w:w="903" w:type="pct"/>
                  <w:tcBorders>
                    <w:top w:val="single" w:color="auto" w:sz="4" w:space="0"/>
                    <w:left w:val="nil"/>
                    <w:bottom w:val="single" w:color="auto" w:sz="4" w:space="0"/>
                    <w:right w:val="single" w:color="auto" w:sz="4" w:space="0"/>
                  </w:tcBorders>
                  <w:shd w:val="clear" w:color="auto" w:fill="auto"/>
                  <w:vAlign w:val="center"/>
                </w:tcPr>
                <w:p>
                  <w:pPr>
                    <w:pStyle w:val="103"/>
                    <w:ind w:left="-63" w:right="-63"/>
                    <w:rPr>
                      <w:color w:val="auto"/>
                    </w:rPr>
                  </w:pPr>
                  <w:r>
                    <w:rPr>
                      <w:color w:val="auto"/>
                    </w:rPr>
                    <w:t>Ⅱ</w:t>
                  </w:r>
                </w:p>
              </w:tc>
              <w:tc>
                <w:tcPr>
                  <w:tcW w:w="813" w:type="pct"/>
                  <w:tcBorders>
                    <w:top w:val="single" w:color="auto" w:sz="4" w:space="0"/>
                    <w:left w:val="nil"/>
                    <w:bottom w:val="single" w:color="auto" w:sz="4" w:space="0"/>
                  </w:tcBorders>
                  <w:shd w:val="clear" w:color="auto" w:fill="auto"/>
                  <w:vAlign w:val="center"/>
                </w:tcPr>
                <w:p>
                  <w:pPr>
                    <w:pStyle w:val="103"/>
                    <w:ind w:left="-63" w:right="-63"/>
                    <w:rPr>
                      <w:color w:val="auto"/>
                    </w:rPr>
                  </w:pPr>
                  <w:r>
                    <w:rPr>
                      <w:color w:val="auto"/>
                    </w:rPr>
                    <w:t>Ⅲ</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≤300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4" w:space="0"/>
                  </w:tcBorders>
                  <w:vAlign w:val="center"/>
                </w:tcPr>
                <w:p>
                  <w:pPr>
                    <w:pStyle w:val="103"/>
                    <w:ind w:left="-63" w:right="-63"/>
                    <w:rPr>
                      <w:color w:val="auto"/>
                    </w:rPr>
                  </w:pPr>
                  <w:r>
                    <w:rPr>
                      <w:color w:val="auto"/>
                    </w:rPr>
                    <w:t>Ⅲ</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4" w:space="0"/>
                  </w:tcBorders>
                  <w:vAlign w:val="center"/>
                </w:tcPr>
                <w:p>
                  <w:pPr>
                    <w:pStyle w:val="103"/>
                    <w:ind w:left="-63" w:right="-63"/>
                    <w:rPr>
                      <w:color w:val="auto"/>
                    </w:rPr>
                  </w:pPr>
                  <w:r>
                    <w:rPr>
                      <w:color w:val="auto"/>
                    </w:rPr>
                    <w:t>Ⅲ</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12"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12" w:space="0"/>
                    <w:right w:val="single" w:color="auto" w:sz="4" w:space="0"/>
                  </w:tcBorders>
                  <w:vAlign w:val="center"/>
                </w:tcPr>
                <w:p>
                  <w:pPr>
                    <w:pStyle w:val="103"/>
                    <w:ind w:left="-63" w:right="-63"/>
                    <w:rPr>
                      <w:color w:val="auto"/>
                    </w:rPr>
                  </w:pPr>
                </w:p>
              </w:tc>
              <w:tc>
                <w:tcPr>
                  <w:tcW w:w="818" w:type="pct"/>
                  <w:tcBorders>
                    <w:top w:val="nil"/>
                    <w:left w:val="nil"/>
                    <w:bottom w:val="single" w:color="auto" w:sz="12"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12"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12"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12" w:space="0"/>
                  </w:tcBorders>
                  <w:vAlign w:val="center"/>
                </w:tcPr>
                <w:p>
                  <w:pPr>
                    <w:pStyle w:val="103"/>
                    <w:ind w:left="-63" w:right="-63"/>
                    <w:rPr>
                      <w:color w:val="auto"/>
                    </w:rPr>
                  </w:pPr>
                  <w:r>
                    <w:rPr>
                      <w:color w:val="auto"/>
                    </w:rPr>
                    <w:t>Ⅲ</w:t>
                  </w:r>
                </w:p>
              </w:tc>
            </w:tr>
          </w:tbl>
          <w:p>
            <w:pPr>
              <w:pStyle w:val="69"/>
              <w:rPr>
                <w:color w:val="auto"/>
              </w:rPr>
            </w:pPr>
            <w:r>
              <w:rPr>
                <w:color w:val="auto"/>
              </w:rPr>
              <w:t>由上表可知，本项目</w:t>
            </w:r>
            <w:r>
              <w:rPr>
                <w:rFonts w:hint="eastAsia"/>
                <w:color w:val="auto"/>
              </w:rPr>
              <w:t>砂石料堆场</w:t>
            </w:r>
            <w:r>
              <w:rPr>
                <w:color w:val="auto"/>
              </w:rPr>
              <w:t>所在地为一般控制区，</w:t>
            </w:r>
            <w:r>
              <w:rPr>
                <w:rFonts w:hint="eastAsia"/>
                <w:color w:val="auto"/>
              </w:rPr>
              <w:t>堆场堆存规模在300-10000m</w:t>
            </w:r>
            <w:r>
              <w:rPr>
                <w:rFonts w:hint="eastAsia"/>
                <w:color w:val="auto"/>
                <w:vertAlign w:val="superscript"/>
              </w:rPr>
              <w:t>3</w:t>
            </w:r>
            <w:r>
              <w:rPr>
                <w:rFonts w:hint="eastAsia"/>
                <w:color w:val="auto"/>
              </w:rPr>
              <w:t>之间，项目区多年</w:t>
            </w:r>
            <w:r>
              <w:rPr>
                <w:color w:val="auto"/>
              </w:rPr>
              <w:t>平均风速</w:t>
            </w:r>
            <w:r>
              <w:rPr>
                <w:rFonts w:hint="eastAsia"/>
                <w:color w:val="auto"/>
              </w:rPr>
              <w:t>1.3</w:t>
            </w:r>
            <w:r>
              <w:rPr>
                <w:color w:val="auto"/>
              </w:rPr>
              <w:t>m/s，本项目</w:t>
            </w:r>
            <w:r>
              <w:rPr>
                <w:rFonts w:hint="eastAsia"/>
                <w:color w:val="auto"/>
              </w:rPr>
              <w:t>细料为水洗砂，起尘量有限，中石子及小石子粒径0</w:t>
            </w:r>
            <w:r>
              <w:rPr>
                <w:color w:val="auto"/>
              </w:rPr>
              <w:t>.5</w:t>
            </w:r>
            <w:r>
              <w:rPr>
                <w:rFonts w:hint="eastAsia"/>
                <w:color w:val="auto"/>
              </w:rPr>
              <w:t>～</w:t>
            </w:r>
            <w:r>
              <w:rPr>
                <w:color w:val="auto"/>
              </w:rPr>
              <w:t>1.3</w:t>
            </w:r>
            <w:r>
              <w:rPr>
                <w:rFonts w:hint="eastAsia"/>
                <w:color w:val="auto"/>
              </w:rPr>
              <w:t>mm。因此本项目砂石料堆场均为</w:t>
            </w:r>
            <w:r>
              <w:rPr>
                <w:color w:val="auto"/>
              </w:rPr>
              <w:t>Ⅱ</w:t>
            </w:r>
            <w:r>
              <w:rPr>
                <w:rFonts w:hint="eastAsia"/>
                <w:color w:val="auto"/>
              </w:rPr>
              <w:t>类料堆场。</w:t>
            </w:r>
          </w:p>
          <w:p>
            <w:pPr>
              <w:pStyle w:val="69"/>
              <w:rPr>
                <w:color w:val="auto"/>
              </w:rPr>
            </w:pPr>
            <w:r>
              <w:rPr>
                <w:rFonts w:hint="eastAsia"/>
                <w:color w:val="auto"/>
                <w:lang w:val="en-US" w:eastAsia="zh-CN"/>
              </w:rPr>
              <w:t>本项目建设半封闭原料库房</w:t>
            </w:r>
            <w:r>
              <w:rPr>
                <w:rFonts w:hint="eastAsia"/>
                <w:color w:val="auto"/>
              </w:rPr>
              <w:t>，</w:t>
            </w:r>
            <w:r>
              <w:rPr>
                <w:rFonts w:hint="eastAsia"/>
                <w:color w:val="auto"/>
                <w:lang w:val="en-US" w:eastAsia="zh-CN"/>
              </w:rPr>
              <w:t>并定期洒水</w:t>
            </w:r>
            <w:r>
              <w:rPr>
                <w:rFonts w:hint="eastAsia"/>
                <w:color w:val="auto"/>
              </w:rPr>
              <w:t>。</w:t>
            </w:r>
            <w:r>
              <w:rPr>
                <w:rFonts w:hint="eastAsia"/>
                <w:color w:val="auto"/>
                <w:szCs w:val="21"/>
              </w:rPr>
              <w:t>采取的堆场扬尘防治方案满足</w:t>
            </w:r>
            <w:r>
              <w:rPr>
                <w:color w:val="auto"/>
              </w:rPr>
              <w:t>《工业料堆场扬尘整治规范》（DB65/T 4061-2017）</w:t>
            </w:r>
            <w:r>
              <w:rPr>
                <w:rFonts w:hint="eastAsia"/>
                <w:color w:val="auto"/>
              </w:rPr>
              <w:t>中</w:t>
            </w:r>
            <w:r>
              <w:rPr>
                <w:color w:val="auto"/>
              </w:rPr>
              <w:t>Ⅱ</w:t>
            </w:r>
            <w:r>
              <w:rPr>
                <w:rFonts w:hint="eastAsia"/>
                <w:color w:val="auto"/>
              </w:rPr>
              <w:t>类料堆场的相关要求。</w:t>
            </w:r>
          </w:p>
          <w:p>
            <w:pPr>
              <w:autoSpaceDE w:val="0"/>
              <w:autoSpaceDN w:val="0"/>
              <w:adjustRightInd w:val="0"/>
              <w:snapToGrid w:val="0"/>
              <w:spacing w:line="520" w:lineRule="exact"/>
              <w:ind w:firstLine="482" w:firstLineChars="200"/>
              <w:rPr>
                <w:b/>
                <w:bCs/>
                <w:color w:val="auto"/>
                <w:sz w:val="24"/>
              </w:rPr>
            </w:pPr>
            <w:r>
              <w:rPr>
                <w:rFonts w:hint="eastAsia"/>
                <w:b/>
                <w:bCs/>
                <w:color w:val="auto"/>
                <w:sz w:val="24"/>
              </w:rPr>
              <w:t>5、选址合理性分析</w:t>
            </w:r>
          </w:p>
          <w:p>
            <w:pPr>
              <w:pStyle w:val="69"/>
              <w:rPr>
                <w:color w:val="auto"/>
                <w:szCs w:val="21"/>
              </w:rPr>
            </w:pPr>
            <w:r>
              <w:rPr>
                <w:rFonts w:hint="eastAsia"/>
                <w:color w:val="auto"/>
                <w:szCs w:val="21"/>
              </w:rPr>
              <w:t>项目位于第七师131团10连</w:t>
            </w:r>
            <w:r>
              <w:rPr>
                <w:rFonts w:hint="eastAsia"/>
                <w:color w:val="auto"/>
                <w:szCs w:val="21"/>
                <w:lang w:val="en-US" w:eastAsia="zh-CN"/>
              </w:rPr>
              <w:t>011号</w:t>
            </w:r>
            <w:r>
              <w:rPr>
                <w:rFonts w:hint="eastAsia"/>
                <w:color w:val="auto"/>
                <w:szCs w:val="21"/>
              </w:rPr>
              <w:t>，用地性质为工业用地，不占用基本农田，不涉及地下水开采，不使用煤炭，符合国家现行的土地使用政策。</w:t>
            </w:r>
          </w:p>
          <w:p>
            <w:pPr>
              <w:pStyle w:val="69"/>
              <w:rPr>
                <w:color w:val="auto"/>
                <w:szCs w:val="21"/>
              </w:rPr>
            </w:pPr>
            <w:r>
              <w:rPr>
                <w:color w:val="auto"/>
                <w:szCs w:val="21"/>
              </w:rPr>
              <w:t>项目建设区域不涉及自然保护区、风景名胜、水源保护地、军事基地、文物古迹等敏感目标</w:t>
            </w:r>
            <w:r>
              <w:rPr>
                <w:rFonts w:hint="eastAsia"/>
                <w:color w:val="auto"/>
                <w:szCs w:val="21"/>
              </w:rPr>
              <w:t>。</w:t>
            </w:r>
          </w:p>
          <w:p>
            <w:pPr>
              <w:pStyle w:val="69"/>
              <w:rPr>
                <w:rFonts w:hint="eastAsia" w:eastAsia="宋体"/>
                <w:color w:val="auto"/>
                <w:szCs w:val="21"/>
                <w:lang w:eastAsia="zh-CN"/>
              </w:rPr>
            </w:pPr>
            <w:r>
              <w:rPr>
                <w:rFonts w:hint="eastAsia"/>
                <w:color w:val="auto"/>
                <w:szCs w:val="21"/>
              </w:rPr>
              <w:t>项目区</w:t>
            </w:r>
            <w:r>
              <w:rPr>
                <w:rFonts w:hint="eastAsia"/>
                <w:color w:val="auto"/>
                <w:szCs w:val="21"/>
                <w:lang w:val="en-US" w:eastAsia="zh-CN"/>
              </w:rPr>
              <w:t>东北</w:t>
            </w:r>
            <w:r>
              <w:rPr>
                <w:rFonts w:hint="eastAsia"/>
                <w:color w:val="auto"/>
                <w:szCs w:val="21"/>
              </w:rPr>
              <w:t>侧约</w:t>
            </w:r>
            <w:r>
              <w:rPr>
                <w:rFonts w:hint="eastAsia"/>
                <w:color w:val="auto"/>
                <w:szCs w:val="21"/>
                <w:lang w:val="en-US" w:eastAsia="zh-CN"/>
              </w:rPr>
              <w:t>480</w:t>
            </w:r>
            <w:r>
              <w:rPr>
                <w:rFonts w:hint="eastAsia"/>
                <w:color w:val="auto"/>
                <w:szCs w:val="21"/>
              </w:rPr>
              <w:t>m处分布有131团10连，本项目粉料水泥、粉煤灰均储存于筒仓，筒仓均自带袋式除尘器，搅拌楼全密闭，安装</w:t>
            </w:r>
            <w:r>
              <w:rPr>
                <w:rFonts w:hint="eastAsia"/>
                <w:color w:val="auto"/>
                <w:szCs w:val="21"/>
                <w:lang w:val="en-US" w:eastAsia="zh-CN"/>
              </w:rPr>
              <w:t>滤芯式</w:t>
            </w:r>
            <w:r>
              <w:rPr>
                <w:rFonts w:hint="eastAsia"/>
                <w:color w:val="auto"/>
                <w:szCs w:val="21"/>
              </w:rPr>
              <w:t>除尘器，</w:t>
            </w:r>
            <w:r>
              <w:rPr>
                <w:rFonts w:hint="eastAsia"/>
                <w:color w:val="auto"/>
                <w:szCs w:val="21"/>
                <w:lang w:val="en-US" w:eastAsia="zh-CN"/>
              </w:rPr>
              <w:t>建设半封闭原料库房</w:t>
            </w:r>
            <w:r>
              <w:rPr>
                <w:rFonts w:hint="eastAsia"/>
                <w:color w:val="auto"/>
              </w:rPr>
              <w:t>并定期洒水</w:t>
            </w:r>
            <w:r>
              <w:rPr>
                <w:rFonts w:hint="eastAsia"/>
                <w:color w:val="auto"/>
                <w:szCs w:val="21"/>
              </w:rPr>
              <w:t>，运输过程采用密闭输送带，采取上述措施后，项目大气污染物扩散对131团10连居民点影响较小。本项目已取得土地使用权出让合同，项目用地为工业用地，项目区基本无植被覆分布，本项目的建设对生态环境影响较小</w:t>
            </w:r>
            <w:r>
              <w:rPr>
                <w:rFonts w:hint="eastAsia"/>
                <w:color w:val="auto"/>
                <w:szCs w:val="21"/>
                <w:lang w:eastAsia="zh-CN"/>
              </w:rPr>
              <w:t>。</w:t>
            </w:r>
          </w:p>
          <w:p>
            <w:pPr>
              <w:pStyle w:val="69"/>
              <w:rPr>
                <w:color w:val="auto"/>
                <w:szCs w:val="21"/>
              </w:rPr>
            </w:pPr>
            <w:r>
              <w:rPr>
                <w:color w:val="auto"/>
                <w:szCs w:val="21"/>
              </w:rPr>
              <w:t>项目区周边供水、供电、道路等基础设施基本完善，可满足本项目运行需要。</w:t>
            </w:r>
          </w:p>
          <w:p>
            <w:pPr>
              <w:pStyle w:val="69"/>
              <w:rPr>
                <w:color w:val="auto"/>
                <w:szCs w:val="21"/>
              </w:rPr>
            </w:pPr>
            <w:r>
              <w:rPr>
                <w:color w:val="auto"/>
                <w:szCs w:val="21"/>
              </w:rPr>
              <w:t>经以上分析，只要该项目严格遵守国家和地方有关的环保法规，做好各项污染防治措施，在污染物达标排放状况下，项目运营期间对周围水环境、大气环境和声环境不会造成大的影响。因此，项目选址合理。</w:t>
            </w:r>
          </w:p>
          <w:p>
            <w:pPr>
              <w:pStyle w:val="69"/>
              <w:rPr>
                <w:color w:val="auto"/>
                <w:szCs w:val="21"/>
                <w:highlight w:val="yellow"/>
              </w:rPr>
            </w:pPr>
          </w:p>
          <w:p>
            <w:pPr>
              <w:pStyle w:val="69"/>
              <w:ind w:firstLine="0" w:firstLineChars="0"/>
              <w:rPr>
                <w:color w:val="auto"/>
                <w:szCs w:val="21"/>
                <w:highlight w:val="yellow"/>
              </w:rPr>
            </w:pPr>
          </w:p>
          <w:p>
            <w:pPr>
              <w:pStyle w:val="69"/>
              <w:ind w:firstLine="0" w:firstLineChars="0"/>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p>
            <w:pPr>
              <w:pStyle w:val="69"/>
              <w:rPr>
                <w:color w:val="auto"/>
                <w:szCs w:val="21"/>
                <w:highlight w:val="yellow"/>
              </w:rPr>
            </w:pPr>
          </w:p>
        </w:tc>
      </w:tr>
    </w:tbl>
    <w:p>
      <w:pPr>
        <w:spacing w:line="360" w:lineRule="auto"/>
        <w:outlineLvl w:val="0"/>
        <w:rPr>
          <w:rFonts w:eastAsia="黑体"/>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6"/>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84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678" w:type="dxa"/>
            <w:vAlign w:val="center"/>
          </w:tcPr>
          <w:p>
            <w:pPr>
              <w:pStyle w:val="26"/>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建设内容</w:t>
            </w:r>
          </w:p>
        </w:tc>
        <w:tc>
          <w:tcPr>
            <w:tcW w:w="8382" w:type="dxa"/>
          </w:tcPr>
          <w:p>
            <w:pPr>
              <w:adjustRightInd w:val="0"/>
              <w:snapToGrid w:val="0"/>
              <w:spacing w:line="520" w:lineRule="exact"/>
              <w:ind w:firstLine="482" w:firstLineChars="200"/>
              <w:rPr>
                <w:b/>
                <w:color w:val="auto"/>
                <w:sz w:val="24"/>
              </w:rPr>
            </w:pPr>
            <w:r>
              <w:rPr>
                <w:b/>
                <w:color w:val="auto"/>
                <w:sz w:val="24"/>
              </w:rPr>
              <w:t>1、项目建设地点及周边环境概况</w:t>
            </w:r>
          </w:p>
          <w:p>
            <w:pPr>
              <w:adjustRightInd w:val="0"/>
              <w:snapToGrid w:val="0"/>
              <w:spacing w:line="520" w:lineRule="exact"/>
              <w:ind w:firstLine="480" w:firstLineChars="200"/>
              <w:rPr>
                <w:color w:val="auto"/>
                <w:sz w:val="24"/>
              </w:rPr>
            </w:pPr>
            <w:r>
              <w:rPr>
                <w:color w:val="auto"/>
                <w:sz w:val="24"/>
              </w:rPr>
              <w:t>项目位于第七师131团10连</w:t>
            </w:r>
            <w:r>
              <w:rPr>
                <w:rFonts w:hint="eastAsia"/>
                <w:color w:val="auto"/>
                <w:sz w:val="24"/>
                <w:lang w:val="en-US" w:eastAsia="zh-CN"/>
              </w:rPr>
              <w:t>011号</w:t>
            </w:r>
            <w:r>
              <w:rPr>
                <w:color w:val="auto"/>
                <w:sz w:val="24"/>
              </w:rPr>
              <w:t>，中心地理坐标为：东经84°49′32.280″，北纬44°27′24.250″。项目区</w:t>
            </w:r>
            <w:r>
              <w:rPr>
                <w:rFonts w:hint="eastAsia"/>
                <w:color w:val="auto"/>
                <w:sz w:val="24"/>
              </w:rPr>
              <w:t>北侧为在建水溶肥项目，南侧为奎皖塑料厂及百信商混站，东侧为道路，隔路为空地，西侧为空地</w:t>
            </w:r>
            <w:r>
              <w:rPr>
                <w:color w:val="auto"/>
                <w:sz w:val="24"/>
              </w:rPr>
              <w:t>。项目地理位置详见附图2，项目区卫星图详见附图3。</w:t>
            </w:r>
          </w:p>
          <w:p>
            <w:pPr>
              <w:adjustRightInd w:val="0"/>
              <w:snapToGrid w:val="0"/>
              <w:spacing w:line="520" w:lineRule="exact"/>
              <w:ind w:firstLine="482" w:firstLineChars="200"/>
              <w:rPr>
                <w:b/>
                <w:color w:val="auto"/>
                <w:sz w:val="24"/>
              </w:rPr>
            </w:pPr>
            <w:r>
              <w:rPr>
                <w:b/>
                <w:color w:val="auto"/>
                <w:sz w:val="24"/>
              </w:rPr>
              <w:t>2、项目建设内容</w:t>
            </w:r>
          </w:p>
          <w:p>
            <w:pPr>
              <w:adjustRightInd w:val="0"/>
              <w:snapToGrid w:val="0"/>
              <w:spacing w:line="520" w:lineRule="exact"/>
              <w:ind w:firstLine="480" w:firstLineChars="200"/>
              <w:rPr>
                <w:color w:val="auto"/>
                <w:sz w:val="24"/>
              </w:rPr>
            </w:pPr>
            <w:r>
              <w:rPr>
                <w:color w:val="auto"/>
                <w:sz w:val="24"/>
              </w:rPr>
              <w:t>项</w:t>
            </w:r>
            <w:r>
              <w:rPr>
                <w:rFonts w:hint="eastAsia"/>
                <w:color w:val="auto"/>
                <w:sz w:val="24"/>
              </w:rPr>
              <w:t>目建设内容为设置2条HZS-120商品混凝土生产线。可生产C15至C60强度标号商品混凝土，年产商品混凝土60万m</w:t>
            </w:r>
            <w:r>
              <w:rPr>
                <w:rFonts w:hint="eastAsia"/>
                <w:color w:val="auto"/>
                <w:sz w:val="24"/>
                <w:vertAlign w:val="superscript"/>
              </w:rPr>
              <w:t>3</w:t>
            </w:r>
            <w:r>
              <w:rPr>
                <w:rFonts w:hint="eastAsia"/>
                <w:color w:val="auto"/>
                <w:sz w:val="24"/>
              </w:rPr>
              <w:t>，建设1条混凝土预制构件生产线，利用自产混凝土年产混凝土预制构件约30万m</w:t>
            </w:r>
            <w:r>
              <w:rPr>
                <w:rFonts w:hint="eastAsia"/>
                <w:color w:val="auto"/>
                <w:sz w:val="24"/>
                <w:vertAlign w:val="superscript"/>
              </w:rPr>
              <w:t>3</w:t>
            </w:r>
            <w:r>
              <w:rPr>
                <w:rFonts w:hint="eastAsia"/>
                <w:color w:val="auto"/>
                <w:sz w:val="24"/>
              </w:rPr>
              <w:t>。</w:t>
            </w:r>
          </w:p>
          <w:p>
            <w:pPr>
              <w:adjustRightInd w:val="0"/>
              <w:snapToGrid w:val="0"/>
              <w:spacing w:line="520" w:lineRule="exact"/>
              <w:ind w:firstLine="480" w:firstLineChars="200"/>
              <w:rPr>
                <w:color w:val="auto"/>
                <w:sz w:val="24"/>
              </w:rPr>
            </w:pPr>
            <w:r>
              <w:rPr>
                <w:rFonts w:hint="eastAsia"/>
                <w:color w:val="auto"/>
                <w:sz w:val="24"/>
              </w:rPr>
              <w:t>项目总占地面积为117048m</w:t>
            </w:r>
            <w:r>
              <w:rPr>
                <w:rFonts w:hint="eastAsia"/>
                <w:color w:val="auto"/>
                <w:sz w:val="24"/>
                <w:vertAlign w:val="superscript"/>
              </w:rPr>
              <w:t>2</w:t>
            </w:r>
            <w:r>
              <w:rPr>
                <w:rFonts w:hint="eastAsia"/>
                <w:color w:val="auto"/>
                <w:sz w:val="24"/>
              </w:rPr>
              <w:t>。</w:t>
            </w:r>
          </w:p>
          <w:p>
            <w:pPr>
              <w:adjustRightInd w:val="0"/>
              <w:snapToGrid w:val="0"/>
              <w:spacing w:line="520" w:lineRule="exact"/>
              <w:ind w:firstLine="480" w:firstLineChars="200"/>
              <w:rPr>
                <w:color w:val="auto"/>
                <w:sz w:val="24"/>
              </w:rPr>
            </w:pPr>
            <w:r>
              <w:rPr>
                <w:color w:val="auto"/>
                <w:sz w:val="24"/>
              </w:rPr>
              <w:t>主要分为主体工程、辅助工程、公用工程、环保工程</w:t>
            </w:r>
            <w:r>
              <w:rPr>
                <w:rFonts w:hint="eastAsia"/>
                <w:color w:val="auto"/>
                <w:sz w:val="24"/>
              </w:rPr>
              <w:t>。</w:t>
            </w:r>
            <w:r>
              <w:rPr>
                <w:color w:val="auto"/>
                <w:sz w:val="24"/>
              </w:rPr>
              <w:t>工程项目组成见表2-1。</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表2-1    项目建设内容组成一览表</w:t>
            </w:r>
          </w:p>
          <w:tbl>
            <w:tblPr>
              <w:tblStyle w:val="30"/>
              <w:tblW w:w="823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593"/>
              <w:gridCol w:w="5415"/>
              <w:gridCol w:w="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gridAfter w:val="1"/>
                <w:wAfter w:w="41" w:type="pct"/>
              </w:trPr>
              <w:tc>
                <w:tcPr>
                  <w:tcW w:w="1670" w:type="pct"/>
                  <w:gridSpan w:val="2"/>
                  <w:vAlign w:val="center"/>
                </w:tcPr>
                <w:p>
                  <w:pPr>
                    <w:widowControl/>
                    <w:jc w:val="center"/>
                    <w:rPr>
                      <w:color w:val="auto"/>
                      <w:kern w:val="0"/>
                      <w:szCs w:val="21"/>
                    </w:rPr>
                  </w:pPr>
                  <w:r>
                    <w:rPr>
                      <w:color w:val="auto"/>
                      <w:kern w:val="0"/>
                      <w:szCs w:val="21"/>
                    </w:rPr>
                    <w:t>项目组成</w:t>
                  </w:r>
                </w:p>
              </w:tc>
              <w:tc>
                <w:tcPr>
                  <w:tcW w:w="3288" w:type="pct"/>
                  <w:vAlign w:val="center"/>
                </w:tcPr>
                <w:p>
                  <w:pPr>
                    <w:widowControl/>
                    <w:jc w:val="center"/>
                    <w:rPr>
                      <w:color w:val="auto"/>
                      <w:kern w:val="0"/>
                      <w:szCs w:val="21"/>
                    </w:rPr>
                  </w:pPr>
                  <w:r>
                    <w:rPr>
                      <w:color w:val="auto"/>
                      <w:kern w:val="0"/>
                      <w:szCs w:val="21"/>
                    </w:rPr>
                    <w:t>工程内容及规模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restart"/>
                  <w:vAlign w:val="center"/>
                </w:tcPr>
                <w:p>
                  <w:pPr>
                    <w:widowControl/>
                    <w:jc w:val="center"/>
                    <w:rPr>
                      <w:color w:val="auto"/>
                      <w:kern w:val="0"/>
                      <w:szCs w:val="21"/>
                    </w:rPr>
                  </w:pPr>
                  <w:r>
                    <w:rPr>
                      <w:color w:val="auto"/>
                      <w:kern w:val="0"/>
                      <w:szCs w:val="21"/>
                    </w:rPr>
                    <w:t>主体工程</w:t>
                  </w:r>
                </w:p>
              </w:tc>
              <w:tc>
                <w:tcPr>
                  <w:tcW w:w="966" w:type="pct"/>
                  <w:vAlign w:val="center"/>
                </w:tcPr>
                <w:p>
                  <w:pPr>
                    <w:widowControl/>
                    <w:jc w:val="center"/>
                    <w:rPr>
                      <w:color w:val="auto"/>
                      <w:kern w:val="0"/>
                      <w:szCs w:val="21"/>
                    </w:rPr>
                  </w:pPr>
                  <w:r>
                    <w:rPr>
                      <w:rFonts w:hint="eastAsia"/>
                      <w:color w:val="auto"/>
                      <w:kern w:val="0"/>
                      <w:szCs w:val="21"/>
                    </w:rPr>
                    <w:t>商品混凝土生产线</w:t>
                  </w:r>
                </w:p>
              </w:tc>
              <w:tc>
                <w:tcPr>
                  <w:tcW w:w="3329" w:type="pct"/>
                  <w:gridSpan w:val="2"/>
                  <w:vAlign w:val="center"/>
                </w:tcPr>
                <w:p>
                  <w:pPr>
                    <w:widowControl/>
                    <w:jc w:val="center"/>
                    <w:rPr>
                      <w:rFonts w:hint="default" w:eastAsiaTheme="minorEastAsia"/>
                      <w:color w:val="auto"/>
                      <w:kern w:val="0"/>
                      <w:szCs w:val="21"/>
                      <w:lang w:val="en-US" w:eastAsia="zh-CN"/>
                    </w:rPr>
                  </w:pPr>
                  <w:r>
                    <w:rPr>
                      <w:rFonts w:hint="default" w:ascii="Times New Roman" w:hAnsi="Times New Roman" w:eastAsia="仿宋_GB2312" w:cs="Times New Roman"/>
                      <w:bCs/>
                      <w:color w:val="auto"/>
                      <w:sz w:val="21"/>
                      <w:szCs w:val="21"/>
                      <w:highlight w:val="none"/>
                      <w:lang w:val="en-US" w:eastAsia="zh-CN"/>
                    </w:rPr>
                    <w:t>在项目区西侧从西向东依次</w:t>
                  </w:r>
                  <w:r>
                    <w:rPr>
                      <w:rFonts w:hint="eastAsia" w:ascii="Times New Roman" w:hAnsi="Times New Roman" w:eastAsia="仿宋_GB2312" w:cs="Times New Roman"/>
                      <w:bCs/>
                      <w:color w:val="auto"/>
                      <w:sz w:val="21"/>
                      <w:szCs w:val="21"/>
                      <w:highlight w:val="none"/>
                      <w:lang w:val="en-US" w:eastAsia="zh-CN"/>
                    </w:rPr>
                    <w:t>露天</w:t>
                  </w:r>
                  <w:r>
                    <w:rPr>
                      <w:rFonts w:hint="default" w:ascii="Times New Roman" w:hAnsi="Times New Roman" w:eastAsia="仿宋_GB2312" w:cs="Times New Roman"/>
                      <w:bCs/>
                      <w:color w:val="auto"/>
                      <w:sz w:val="21"/>
                      <w:szCs w:val="21"/>
                      <w:highlight w:val="none"/>
                      <w:lang w:val="en-US" w:eastAsia="zh-CN"/>
                    </w:rPr>
                    <w:t>布置HZS-120混凝土生产线2条，年产商品混凝土60万m</w:t>
                  </w:r>
                  <w:r>
                    <w:rPr>
                      <w:rFonts w:hint="default" w:ascii="Times New Roman" w:hAnsi="Times New Roman" w:eastAsia="仿宋_GB2312" w:cs="Times New Roman"/>
                      <w:bCs/>
                      <w:color w:val="auto"/>
                      <w:sz w:val="21"/>
                      <w:szCs w:val="21"/>
                      <w:highlight w:val="none"/>
                      <w:vertAlign w:val="superscript"/>
                      <w:lang w:val="en-US" w:eastAsia="zh-CN"/>
                    </w:rPr>
                    <w:t>3</w:t>
                  </w:r>
                  <w:r>
                    <w:rPr>
                      <w:rFonts w:hint="default" w:ascii="Times New Roman" w:hAnsi="Times New Roman" w:eastAsia="仿宋_GB2312" w:cs="Times New Roman"/>
                      <w:bCs/>
                      <w:color w:val="auto"/>
                      <w:sz w:val="21"/>
                      <w:szCs w:val="21"/>
                      <w:highlight w:val="none"/>
                      <w:lang w:val="en-US" w:eastAsia="zh-CN"/>
                    </w:rPr>
                    <w:t>；占地面积约2800m</w:t>
                  </w:r>
                  <w:r>
                    <w:rPr>
                      <w:rFonts w:hint="default" w:ascii="Times New Roman" w:hAnsi="Times New Roman" w:eastAsia="仿宋_GB2312" w:cs="Times New Roman"/>
                      <w:bCs/>
                      <w:color w:val="auto"/>
                      <w:sz w:val="21"/>
                      <w:szCs w:val="21"/>
                      <w:highlight w:val="none"/>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rFonts w:hint="eastAsia"/>
                      <w:color w:val="auto"/>
                      <w:kern w:val="0"/>
                      <w:szCs w:val="21"/>
                    </w:rPr>
                    <w:t>混凝土预制构件生产线</w:t>
                  </w:r>
                </w:p>
              </w:tc>
              <w:tc>
                <w:tcPr>
                  <w:tcW w:w="3329" w:type="pct"/>
                  <w:gridSpan w:val="2"/>
                  <w:vAlign w:val="center"/>
                </w:tcPr>
                <w:p>
                  <w:pPr>
                    <w:widowControl/>
                    <w:jc w:val="center"/>
                    <w:rPr>
                      <w:rFonts w:hint="default" w:eastAsiaTheme="minorEastAsia"/>
                      <w:bCs/>
                      <w:color w:val="auto"/>
                      <w:szCs w:val="21"/>
                      <w:lang w:val="en-US" w:eastAsia="zh-CN"/>
                    </w:rPr>
                  </w:pPr>
                  <w:r>
                    <w:rPr>
                      <w:rFonts w:hint="eastAsia"/>
                      <w:bCs/>
                      <w:color w:val="auto"/>
                      <w:szCs w:val="21"/>
                      <w:lang w:val="en-US" w:eastAsia="zh-CN"/>
                    </w:rPr>
                    <w:t>在混凝土生产线东侧露天布置</w:t>
                  </w:r>
                  <w:r>
                    <w:rPr>
                      <w:rFonts w:hint="eastAsia"/>
                      <w:bCs/>
                      <w:color w:val="auto"/>
                      <w:szCs w:val="21"/>
                    </w:rPr>
                    <w:t>混凝土预制构件生产线1条，</w:t>
                  </w:r>
                  <w:r>
                    <w:rPr>
                      <w:rFonts w:hint="eastAsia" w:eastAsiaTheme="minorEastAsia"/>
                      <w:color w:val="auto"/>
                      <w:szCs w:val="21"/>
                    </w:rPr>
                    <w:t>年产混凝土预制构件30万m</w:t>
                  </w:r>
                  <w:r>
                    <w:rPr>
                      <w:rFonts w:hint="eastAsia" w:eastAsiaTheme="minorEastAsia"/>
                      <w:color w:val="auto"/>
                      <w:szCs w:val="21"/>
                      <w:vertAlign w:val="superscript"/>
                    </w:rPr>
                    <w:t>3</w:t>
                  </w:r>
                  <w:r>
                    <w:rPr>
                      <w:rFonts w:hint="eastAsia" w:eastAsiaTheme="minorEastAsia"/>
                      <w:color w:val="auto"/>
                      <w:szCs w:val="21"/>
                    </w:rPr>
                    <w:t>；</w:t>
                  </w:r>
                  <w:r>
                    <w:rPr>
                      <w:rFonts w:hint="eastAsia" w:eastAsiaTheme="minorEastAsia"/>
                      <w:color w:val="auto"/>
                      <w:szCs w:val="21"/>
                      <w:lang w:val="en-US" w:eastAsia="zh-CN"/>
                    </w:rPr>
                    <w:t>占地面积约15000m</w:t>
                  </w:r>
                  <w:r>
                    <w:rPr>
                      <w:rFonts w:hint="eastAsia" w:eastAsiaTheme="minorEastAsia"/>
                      <w:color w:val="auto"/>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03" w:type="pct"/>
                  <w:vMerge w:val="restart"/>
                  <w:vAlign w:val="center"/>
                </w:tcPr>
                <w:p>
                  <w:pPr>
                    <w:widowControl/>
                    <w:jc w:val="center"/>
                    <w:rPr>
                      <w:color w:val="auto"/>
                      <w:kern w:val="0"/>
                      <w:szCs w:val="21"/>
                    </w:rPr>
                  </w:pPr>
                  <w:r>
                    <w:rPr>
                      <w:color w:val="auto"/>
                      <w:kern w:val="0"/>
                      <w:szCs w:val="21"/>
                    </w:rPr>
                    <w:t>辅助工程</w:t>
                  </w:r>
                </w:p>
              </w:tc>
              <w:tc>
                <w:tcPr>
                  <w:tcW w:w="966" w:type="pct"/>
                  <w:vAlign w:val="center"/>
                </w:tcPr>
                <w:p>
                  <w:pPr>
                    <w:widowControl/>
                    <w:jc w:val="center"/>
                    <w:rPr>
                      <w:color w:val="auto"/>
                      <w:kern w:val="0"/>
                      <w:szCs w:val="21"/>
                    </w:rPr>
                  </w:pPr>
                  <w:r>
                    <w:rPr>
                      <w:rFonts w:hint="eastAsia"/>
                      <w:color w:val="auto"/>
                      <w:kern w:val="0"/>
                      <w:szCs w:val="21"/>
                    </w:rPr>
                    <w:t>办公区</w:t>
                  </w:r>
                </w:p>
              </w:tc>
              <w:tc>
                <w:tcPr>
                  <w:tcW w:w="3329" w:type="pct"/>
                  <w:gridSpan w:val="2"/>
                  <w:vAlign w:val="center"/>
                </w:tcPr>
                <w:p>
                  <w:pPr>
                    <w:widowControl/>
                    <w:jc w:val="center"/>
                    <w:rPr>
                      <w:color w:val="auto"/>
                      <w:kern w:val="0"/>
                      <w:szCs w:val="21"/>
                    </w:rPr>
                  </w:pPr>
                  <w:r>
                    <w:rPr>
                      <w:rFonts w:hint="eastAsia" w:eastAsiaTheme="minorEastAsia"/>
                      <w:color w:val="auto"/>
                      <w:szCs w:val="21"/>
                    </w:rPr>
                    <w:t>主要为人员办公，临时休息及实验室，建筑面积3126m</w:t>
                  </w:r>
                  <w:r>
                    <w:rPr>
                      <w:rFonts w:hint="eastAsia" w:eastAsiaTheme="minorEastAsia"/>
                      <w:color w:val="auto"/>
                      <w:szCs w:val="21"/>
                      <w:vertAlign w:val="superscript"/>
                    </w:rPr>
                    <w:t>2</w:t>
                  </w:r>
                  <w:r>
                    <w:rPr>
                      <w:rFonts w:hint="eastAsia" w:eastAsiaTheme="minor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rFonts w:hint="eastAsia"/>
                      <w:color w:val="auto"/>
                      <w:kern w:val="0"/>
                      <w:szCs w:val="21"/>
                    </w:rPr>
                    <w:t>宿舍</w:t>
                  </w:r>
                </w:p>
              </w:tc>
              <w:tc>
                <w:tcPr>
                  <w:tcW w:w="3329" w:type="pct"/>
                  <w:gridSpan w:val="2"/>
                  <w:vAlign w:val="center"/>
                </w:tcPr>
                <w:p>
                  <w:pPr>
                    <w:widowControl/>
                    <w:jc w:val="center"/>
                    <w:rPr>
                      <w:rFonts w:eastAsiaTheme="minorEastAsia"/>
                      <w:color w:val="auto"/>
                      <w:szCs w:val="21"/>
                    </w:rPr>
                  </w:pPr>
                  <w:r>
                    <w:rPr>
                      <w:rFonts w:hint="eastAsia" w:eastAsiaTheme="minorEastAsia"/>
                      <w:color w:val="auto"/>
                      <w:szCs w:val="21"/>
                    </w:rPr>
                    <w:t>职工住宿，建筑面积约2028m</w:t>
                  </w:r>
                  <w:r>
                    <w:rPr>
                      <w:rFonts w:hint="eastAsia" w:eastAsiaTheme="minorEastAsia"/>
                      <w:color w:val="auto"/>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restart"/>
                  <w:vAlign w:val="center"/>
                </w:tcPr>
                <w:p>
                  <w:pPr>
                    <w:widowControl/>
                    <w:jc w:val="center"/>
                    <w:rPr>
                      <w:color w:val="auto"/>
                      <w:kern w:val="0"/>
                      <w:szCs w:val="21"/>
                    </w:rPr>
                  </w:pPr>
                  <w:r>
                    <w:rPr>
                      <w:rFonts w:hint="eastAsia"/>
                      <w:color w:val="auto"/>
                      <w:kern w:val="0"/>
                      <w:szCs w:val="21"/>
                    </w:rPr>
                    <w:t>公用工程</w:t>
                  </w:r>
                </w:p>
              </w:tc>
              <w:tc>
                <w:tcPr>
                  <w:tcW w:w="966" w:type="pct"/>
                  <w:vAlign w:val="center"/>
                </w:tcPr>
                <w:p>
                  <w:pPr>
                    <w:widowControl/>
                    <w:jc w:val="center"/>
                    <w:rPr>
                      <w:color w:val="auto"/>
                      <w:kern w:val="0"/>
                      <w:szCs w:val="21"/>
                    </w:rPr>
                  </w:pPr>
                  <w:r>
                    <w:rPr>
                      <w:color w:val="auto"/>
                      <w:kern w:val="0"/>
                      <w:szCs w:val="21"/>
                    </w:rPr>
                    <w:t>供水</w:t>
                  </w:r>
                </w:p>
              </w:tc>
              <w:tc>
                <w:tcPr>
                  <w:tcW w:w="3329" w:type="pct"/>
                  <w:gridSpan w:val="2"/>
                  <w:vAlign w:val="center"/>
                </w:tcPr>
                <w:p>
                  <w:pPr>
                    <w:widowControl/>
                    <w:jc w:val="center"/>
                    <w:rPr>
                      <w:color w:val="auto"/>
                      <w:kern w:val="0"/>
                      <w:szCs w:val="21"/>
                    </w:rPr>
                  </w:pPr>
                  <w:r>
                    <w:rPr>
                      <w:rFonts w:hint="eastAsia"/>
                      <w:color w:val="auto"/>
                      <w:szCs w:val="21"/>
                    </w:rPr>
                    <w:t>前期从上级单位</w:t>
                  </w:r>
                  <w:r>
                    <w:rPr>
                      <w:rFonts w:hint="eastAsia" w:eastAsiaTheme="minorEastAsia"/>
                      <w:color w:val="auto"/>
                      <w:szCs w:val="21"/>
                    </w:rPr>
                    <w:t>奎屯广合商品混凝土有限责任公司拉运，运距约2km；后期待项目区市政供水管网敷设后由市政供水管网供水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color w:val="auto"/>
                      <w:kern w:val="0"/>
                      <w:szCs w:val="21"/>
                    </w:rPr>
                    <w:t>供电</w:t>
                  </w:r>
                </w:p>
              </w:tc>
              <w:tc>
                <w:tcPr>
                  <w:tcW w:w="3329" w:type="pct"/>
                  <w:gridSpan w:val="2"/>
                  <w:vAlign w:val="center"/>
                </w:tcPr>
                <w:p>
                  <w:pPr>
                    <w:widowControl/>
                    <w:jc w:val="center"/>
                    <w:rPr>
                      <w:color w:val="auto"/>
                      <w:szCs w:val="21"/>
                      <w:highlight w:val="yellow"/>
                    </w:rPr>
                  </w:pPr>
                  <w:r>
                    <w:rPr>
                      <w:color w:val="auto"/>
                      <w:szCs w:val="21"/>
                    </w:rPr>
                    <w:t>项目用电由市政供电网供给；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rFonts w:hint="eastAsia"/>
                      <w:color w:val="auto"/>
                      <w:kern w:val="0"/>
                      <w:szCs w:val="21"/>
                    </w:rPr>
                    <w:t>排水</w:t>
                  </w:r>
                </w:p>
              </w:tc>
              <w:tc>
                <w:tcPr>
                  <w:tcW w:w="3329" w:type="pct"/>
                  <w:gridSpan w:val="2"/>
                  <w:vAlign w:val="center"/>
                </w:tcPr>
                <w:p>
                  <w:pPr>
                    <w:widowControl/>
                    <w:jc w:val="center"/>
                    <w:rPr>
                      <w:color w:val="auto"/>
                      <w:szCs w:val="21"/>
                      <w:highlight w:val="yellow"/>
                    </w:rPr>
                  </w:pPr>
                  <w:r>
                    <w:rPr>
                      <w:rFonts w:hint="eastAsia"/>
                      <w:color w:val="auto"/>
                      <w:kern w:val="0"/>
                      <w:szCs w:val="21"/>
                    </w:rPr>
                    <w:t>生产废水经100m</w:t>
                  </w:r>
                  <w:r>
                    <w:rPr>
                      <w:rFonts w:hint="eastAsia"/>
                      <w:color w:val="auto"/>
                      <w:kern w:val="0"/>
                      <w:szCs w:val="21"/>
                      <w:vertAlign w:val="superscript"/>
                    </w:rPr>
                    <w:t>3</w:t>
                  </w:r>
                  <w:r>
                    <w:rPr>
                      <w:rFonts w:hint="eastAsia"/>
                      <w:color w:val="auto"/>
                      <w:kern w:val="0"/>
                      <w:szCs w:val="21"/>
                    </w:rPr>
                    <w:t>三级沉淀池循环使用，不外排；生活污水</w:t>
                  </w:r>
                  <w:r>
                    <w:rPr>
                      <w:rFonts w:hint="eastAsia"/>
                      <w:color w:val="auto"/>
                      <w:kern w:val="0"/>
                      <w:szCs w:val="21"/>
                      <w:lang w:eastAsia="zh-CN"/>
                    </w:rPr>
                    <w:t>（</w:t>
                  </w:r>
                  <w:r>
                    <w:rPr>
                      <w:rFonts w:hint="eastAsia"/>
                      <w:color w:val="auto"/>
                      <w:kern w:val="0"/>
                      <w:szCs w:val="21"/>
                      <w:lang w:val="en-US" w:eastAsia="zh-CN"/>
                    </w:rPr>
                    <w:t>餐饮废水先经隔油池隔油，隔油池容积为2m</w:t>
                  </w:r>
                  <w:r>
                    <w:rPr>
                      <w:rFonts w:hint="eastAsia"/>
                      <w:color w:val="auto"/>
                      <w:kern w:val="0"/>
                      <w:szCs w:val="21"/>
                      <w:vertAlign w:val="superscript"/>
                      <w:lang w:val="en-US" w:eastAsia="zh-CN"/>
                    </w:rPr>
                    <w:t>3</w:t>
                  </w:r>
                  <w:r>
                    <w:rPr>
                      <w:rFonts w:hint="eastAsia"/>
                      <w:color w:val="auto"/>
                      <w:kern w:val="0"/>
                      <w:szCs w:val="21"/>
                      <w:lang w:eastAsia="zh-CN"/>
                    </w:rPr>
                    <w:t>）</w:t>
                  </w:r>
                  <w:r>
                    <w:rPr>
                      <w:rFonts w:hint="eastAsia"/>
                      <w:color w:val="auto"/>
                      <w:kern w:val="0"/>
                      <w:szCs w:val="21"/>
                    </w:rPr>
                    <w:t>经防渗化粪池</w:t>
                  </w:r>
                  <w:r>
                    <w:rPr>
                      <w:rFonts w:hint="eastAsia"/>
                      <w:color w:val="auto"/>
                      <w:kern w:val="0"/>
                      <w:szCs w:val="21"/>
                      <w:lang w:eastAsia="zh-CN"/>
                    </w:rPr>
                    <w:t>（</w:t>
                  </w:r>
                  <w:r>
                    <w:rPr>
                      <w:rFonts w:hint="eastAsia"/>
                      <w:color w:val="auto"/>
                      <w:kern w:val="0"/>
                      <w:szCs w:val="21"/>
                      <w:lang w:val="en-US" w:eastAsia="zh-CN"/>
                    </w:rPr>
                    <w:t>容积为30m</w:t>
                  </w:r>
                  <w:r>
                    <w:rPr>
                      <w:rFonts w:hint="eastAsia"/>
                      <w:color w:val="auto"/>
                      <w:kern w:val="0"/>
                      <w:szCs w:val="21"/>
                      <w:vertAlign w:val="superscript"/>
                      <w:lang w:val="en-US" w:eastAsia="zh-CN"/>
                    </w:rPr>
                    <w:t>3</w:t>
                  </w:r>
                  <w:r>
                    <w:rPr>
                      <w:rFonts w:hint="eastAsia"/>
                      <w:color w:val="auto"/>
                      <w:kern w:val="0"/>
                      <w:szCs w:val="21"/>
                      <w:lang w:eastAsia="zh-CN"/>
                    </w:rPr>
                    <w:t>）</w:t>
                  </w:r>
                  <w:r>
                    <w:rPr>
                      <w:rFonts w:hint="eastAsia"/>
                      <w:color w:val="auto"/>
                      <w:kern w:val="0"/>
                      <w:szCs w:val="21"/>
                    </w:rPr>
                    <w:t>收集后定期拉运至奎屯市中区污水处理厂进行处理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rFonts w:hint="eastAsia"/>
                      <w:color w:val="auto"/>
                      <w:kern w:val="0"/>
                      <w:szCs w:val="21"/>
                    </w:rPr>
                    <w:t>供暖</w:t>
                  </w:r>
                </w:p>
              </w:tc>
              <w:tc>
                <w:tcPr>
                  <w:tcW w:w="3329" w:type="pct"/>
                  <w:gridSpan w:val="2"/>
                  <w:vAlign w:val="center"/>
                </w:tcPr>
                <w:p>
                  <w:pPr>
                    <w:widowControl/>
                    <w:jc w:val="center"/>
                    <w:rPr>
                      <w:color w:val="auto"/>
                      <w:szCs w:val="21"/>
                    </w:rPr>
                  </w:pPr>
                  <w:r>
                    <w:rPr>
                      <w:rFonts w:hint="eastAsia"/>
                      <w:color w:val="auto"/>
                      <w:szCs w:val="21"/>
                    </w:rPr>
                    <w:t>冬季不生产；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vMerge w:val="restart"/>
                  <w:vAlign w:val="center"/>
                </w:tcPr>
                <w:p>
                  <w:pPr>
                    <w:widowControl/>
                    <w:jc w:val="center"/>
                    <w:rPr>
                      <w:color w:val="auto"/>
                      <w:kern w:val="0"/>
                      <w:szCs w:val="21"/>
                    </w:rPr>
                  </w:pPr>
                  <w:r>
                    <w:rPr>
                      <w:rFonts w:hint="eastAsia"/>
                      <w:color w:val="auto"/>
                      <w:kern w:val="0"/>
                      <w:szCs w:val="21"/>
                    </w:rPr>
                    <w:t>环保工程</w:t>
                  </w:r>
                </w:p>
              </w:tc>
              <w:tc>
                <w:tcPr>
                  <w:tcW w:w="966" w:type="pct"/>
                  <w:vMerge w:val="restart"/>
                  <w:vAlign w:val="center"/>
                </w:tcPr>
                <w:p>
                  <w:pPr>
                    <w:widowControl/>
                    <w:jc w:val="center"/>
                    <w:rPr>
                      <w:color w:val="auto"/>
                      <w:kern w:val="0"/>
                      <w:szCs w:val="21"/>
                    </w:rPr>
                  </w:pPr>
                  <w:r>
                    <w:rPr>
                      <w:rFonts w:hint="eastAsia"/>
                      <w:color w:val="auto"/>
                      <w:kern w:val="0"/>
                      <w:szCs w:val="21"/>
                    </w:rPr>
                    <w:t>废气</w:t>
                  </w:r>
                </w:p>
              </w:tc>
              <w:tc>
                <w:tcPr>
                  <w:tcW w:w="3329" w:type="pct"/>
                  <w:gridSpan w:val="2"/>
                  <w:vAlign w:val="center"/>
                </w:tcPr>
                <w:p>
                  <w:pPr>
                    <w:widowControl/>
                    <w:jc w:val="center"/>
                    <w:rPr>
                      <w:color w:val="auto"/>
                      <w:kern w:val="0"/>
                      <w:szCs w:val="21"/>
                    </w:rPr>
                  </w:pPr>
                  <w:r>
                    <w:rPr>
                      <w:rFonts w:hint="eastAsia"/>
                      <w:color w:val="auto"/>
                      <w:kern w:val="0"/>
                      <w:szCs w:val="21"/>
                    </w:rPr>
                    <w:t>搅拌楼全密闭，每个搅拌楼自带滤芯式除尘器处理后回用于生产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3" w:type="pct"/>
                  <w:vMerge w:val="continue"/>
                  <w:vAlign w:val="center"/>
                </w:tcPr>
                <w:p>
                  <w:pPr>
                    <w:widowControl/>
                    <w:jc w:val="center"/>
                    <w:rPr>
                      <w:color w:val="auto"/>
                      <w:kern w:val="0"/>
                      <w:szCs w:val="21"/>
                    </w:rPr>
                  </w:pPr>
                </w:p>
              </w:tc>
              <w:tc>
                <w:tcPr>
                  <w:tcW w:w="966" w:type="pct"/>
                  <w:vMerge w:val="continue"/>
                  <w:vAlign w:val="center"/>
                </w:tcPr>
                <w:p>
                  <w:pPr>
                    <w:widowControl/>
                    <w:jc w:val="center"/>
                    <w:rPr>
                      <w:color w:val="auto"/>
                      <w:kern w:val="0"/>
                      <w:szCs w:val="21"/>
                    </w:rPr>
                  </w:pPr>
                </w:p>
              </w:tc>
              <w:tc>
                <w:tcPr>
                  <w:tcW w:w="3329" w:type="pct"/>
                  <w:gridSpan w:val="2"/>
                  <w:vAlign w:val="center"/>
                </w:tcPr>
                <w:p>
                  <w:pPr>
                    <w:widowControl/>
                    <w:jc w:val="center"/>
                    <w:rPr>
                      <w:color w:val="auto"/>
                      <w:kern w:val="0"/>
                      <w:szCs w:val="21"/>
                    </w:rPr>
                  </w:pPr>
                  <w:r>
                    <w:rPr>
                      <w:rFonts w:hint="eastAsia"/>
                      <w:color w:val="auto"/>
                      <w:kern w:val="0"/>
                      <w:szCs w:val="21"/>
                    </w:rPr>
                    <w:t>全封闭廊道、6个筒仓上方安装6套</w:t>
                  </w:r>
                  <w:r>
                    <w:rPr>
                      <w:rFonts w:hint="eastAsia"/>
                      <w:color w:val="auto"/>
                      <w:kern w:val="0"/>
                      <w:szCs w:val="21"/>
                      <w:lang w:val="en-US" w:eastAsia="zh-CN"/>
                    </w:rPr>
                    <w:t>气相</w:t>
                  </w:r>
                  <w:r>
                    <w:rPr>
                      <w:rFonts w:hint="eastAsia"/>
                      <w:color w:val="auto"/>
                      <w:kern w:val="0"/>
                      <w:szCs w:val="21"/>
                    </w:rPr>
                    <w:t>脉冲</w:t>
                  </w:r>
                  <w:r>
                    <w:rPr>
                      <w:rFonts w:hint="eastAsia"/>
                      <w:color w:val="auto"/>
                      <w:kern w:val="0"/>
                      <w:szCs w:val="21"/>
                      <w:lang w:val="en-US" w:eastAsia="zh-CN"/>
                    </w:rPr>
                    <w:t>袋式</w:t>
                  </w:r>
                  <w:r>
                    <w:rPr>
                      <w:rFonts w:hint="eastAsia"/>
                      <w:color w:val="auto"/>
                      <w:kern w:val="0"/>
                      <w:szCs w:val="21"/>
                    </w:rPr>
                    <w:t>除尘器+</w:t>
                  </w:r>
                  <w:r>
                    <w:rPr>
                      <w:rFonts w:hint="eastAsia"/>
                      <w:color w:val="auto"/>
                      <w:kern w:val="0"/>
                      <w:szCs w:val="21"/>
                      <w:lang w:val="en-US" w:eastAsia="zh-CN"/>
                    </w:rPr>
                    <w:t>6</w:t>
                  </w:r>
                  <w:r>
                    <w:rPr>
                      <w:rFonts w:hint="eastAsia"/>
                      <w:color w:val="auto"/>
                      <w:kern w:val="0"/>
                      <w:szCs w:val="21"/>
                    </w:rPr>
                    <w:t>根15m高排气筒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3" w:type="pct"/>
                  <w:vMerge w:val="continue"/>
                  <w:vAlign w:val="center"/>
                </w:tcPr>
                <w:p>
                  <w:pPr>
                    <w:widowControl/>
                    <w:jc w:val="center"/>
                    <w:rPr>
                      <w:color w:val="auto"/>
                    </w:rPr>
                  </w:pPr>
                </w:p>
              </w:tc>
              <w:tc>
                <w:tcPr>
                  <w:tcW w:w="966" w:type="pct"/>
                  <w:vMerge w:val="continue"/>
                  <w:vAlign w:val="center"/>
                </w:tcPr>
                <w:p>
                  <w:pPr>
                    <w:widowControl/>
                    <w:jc w:val="center"/>
                    <w:rPr>
                      <w:color w:val="auto"/>
                    </w:rPr>
                  </w:pPr>
                </w:p>
              </w:tc>
              <w:tc>
                <w:tcPr>
                  <w:tcW w:w="3329" w:type="pct"/>
                  <w:gridSpan w:val="2"/>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建设半封闭原料库房，并定期洒水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3" w:type="pct"/>
                  <w:vMerge w:val="continue"/>
                  <w:vAlign w:val="center"/>
                </w:tcPr>
                <w:p>
                  <w:pPr>
                    <w:widowControl/>
                    <w:jc w:val="center"/>
                    <w:rPr>
                      <w:color w:val="auto"/>
                      <w:kern w:val="0"/>
                      <w:szCs w:val="21"/>
                    </w:rPr>
                  </w:pPr>
                </w:p>
              </w:tc>
              <w:tc>
                <w:tcPr>
                  <w:tcW w:w="966" w:type="pct"/>
                  <w:vMerge w:val="continue"/>
                  <w:vAlign w:val="center"/>
                </w:tcPr>
                <w:p>
                  <w:pPr>
                    <w:widowControl/>
                    <w:jc w:val="center"/>
                    <w:rPr>
                      <w:color w:val="auto"/>
                      <w:kern w:val="0"/>
                      <w:szCs w:val="21"/>
                    </w:rPr>
                  </w:pPr>
                </w:p>
              </w:tc>
              <w:tc>
                <w:tcPr>
                  <w:tcW w:w="3329" w:type="pct"/>
                  <w:gridSpan w:val="2"/>
                  <w:vAlign w:val="center"/>
                </w:tcPr>
                <w:p>
                  <w:pPr>
                    <w:widowControl/>
                    <w:jc w:val="center"/>
                    <w:rPr>
                      <w:color w:val="auto"/>
                      <w:kern w:val="0"/>
                      <w:szCs w:val="21"/>
                    </w:rPr>
                  </w:pPr>
                  <w:r>
                    <w:rPr>
                      <w:color w:val="auto"/>
                      <w:szCs w:val="21"/>
                    </w:rPr>
                    <w:t>运输皮带完全密封；车辆出厂前进行车轮冲洗</w:t>
                  </w:r>
                  <w:r>
                    <w:rPr>
                      <w:rFonts w:hint="eastAsia"/>
                      <w:color w:val="auto"/>
                      <w:szCs w:val="21"/>
                    </w:rPr>
                    <w:t>；运输车辆苫盖篷布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rFonts w:hint="eastAsia"/>
                      <w:color w:val="auto"/>
                      <w:kern w:val="0"/>
                      <w:szCs w:val="21"/>
                    </w:rPr>
                    <w:t>废水</w:t>
                  </w:r>
                </w:p>
              </w:tc>
              <w:tc>
                <w:tcPr>
                  <w:tcW w:w="3329" w:type="pct"/>
                  <w:gridSpan w:val="2"/>
                  <w:vAlign w:val="center"/>
                </w:tcPr>
                <w:p>
                  <w:pPr>
                    <w:adjustRightInd w:val="0"/>
                    <w:snapToGrid w:val="0"/>
                    <w:jc w:val="center"/>
                    <w:rPr>
                      <w:color w:val="auto"/>
                      <w:szCs w:val="21"/>
                    </w:rPr>
                  </w:pPr>
                  <w:r>
                    <w:rPr>
                      <w:color w:val="auto"/>
                      <w:szCs w:val="21"/>
                    </w:rPr>
                    <w:t>生产废水：</w:t>
                  </w:r>
                  <w:r>
                    <w:rPr>
                      <w:rFonts w:hint="eastAsia"/>
                      <w:color w:val="auto"/>
                      <w:szCs w:val="21"/>
                    </w:rPr>
                    <w:t>三级</w:t>
                  </w:r>
                  <w:r>
                    <w:rPr>
                      <w:color w:val="auto"/>
                      <w:szCs w:val="21"/>
                    </w:rPr>
                    <w:t>沉淀池（</w:t>
                  </w:r>
                  <w:r>
                    <w:rPr>
                      <w:rFonts w:hint="eastAsia"/>
                      <w:color w:val="auto"/>
                      <w:szCs w:val="21"/>
                    </w:rPr>
                    <w:t>总容积100m</w:t>
                  </w:r>
                  <w:r>
                    <w:rPr>
                      <w:rFonts w:hint="eastAsia"/>
                      <w:color w:val="auto"/>
                      <w:szCs w:val="21"/>
                      <w:vertAlign w:val="superscript"/>
                    </w:rPr>
                    <w:t>3</w:t>
                  </w:r>
                  <w:r>
                    <w:rPr>
                      <w:color w:val="auto"/>
                      <w:szCs w:val="21"/>
                    </w:rPr>
                    <w:t>）；</w:t>
                  </w:r>
                </w:p>
                <w:p>
                  <w:pPr>
                    <w:jc w:val="center"/>
                    <w:rPr>
                      <w:color w:val="auto"/>
                      <w:kern w:val="0"/>
                      <w:szCs w:val="21"/>
                    </w:rPr>
                  </w:pPr>
                  <w:r>
                    <w:rPr>
                      <w:rFonts w:hint="eastAsia"/>
                      <w:color w:val="auto"/>
                      <w:kern w:val="0"/>
                      <w:szCs w:val="21"/>
                    </w:rPr>
                    <w:t>生活污水经防渗化粪池收集后定期拉运至奎屯市中区污水处理厂进行处理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3" w:type="pct"/>
                  <w:vMerge w:val="continue"/>
                  <w:vAlign w:val="center"/>
                </w:tcPr>
                <w:p>
                  <w:pPr>
                    <w:widowControl/>
                    <w:jc w:val="center"/>
                    <w:rPr>
                      <w:color w:val="auto"/>
                      <w:kern w:val="0"/>
                      <w:szCs w:val="21"/>
                    </w:rPr>
                  </w:pPr>
                </w:p>
              </w:tc>
              <w:tc>
                <w:tcPr>
                  <w:tcW w:w="966" w:type="pct"/>
                  <w:vMerge w:val="restart"/>
                  <w:vAlign w:val="center"/>
                </w:tcPr>
                <w:p>
                  <w:pPr>
                    <w:widowControl/>
                    <w:jc w:val="center"/>
                    <w:rPr>
                      <w:color w:val="auto"/>
                      <w:kern w:val="0"/>
                      <w:szCs w:val="21"/>
                    </w:rPr>
                  </w:pPr>
                  <w:r>
                    <w:rPr>
                      <w:rFonts w:hint="eastAsia"/>
                      <w:color w:val="auto"/>
                      <w:kern w:val="0"/>
                      <w:szCs w:val="21"/>
                    </w:rPr>
                    <w:t>固废</w:t>
                  </w:r>
                </w:p>
              </w:tc>
              <w:tc>
                <w:tcPr>
                  <w:tcW w:w="3329" w:type="pct"/>
                  <w:gridSpan w:val="2"/>
                  <w:vAlign w:val="center"/>
                </w:tcPr>
                <w:p>
                  <w:pPr>
                    <w:widowControl/>
                    <w:jc w:val="center"/>
                    <w:rPr>
                      <w:color w:val="auto"/>
                      <w:kern w:val="0"/>
                      <w:szCs w:val="21"/>
                    </w:rPr>
                  </w:pPr>
                  <w:r>
                    <w:rPr>
                      <w:rFonts w:hint="eastAsia"/>
                      <w:color w:val="auto"/>
                      <w:kern w:val="0"/>
                      <w:szCs w:val="21"/>
                    </w:rPr>
                    <w:t>生活垃圾设垃圾桶，集中收集后由环卫部门统一清运；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03" w:type="pct"/>
                  <w:vMerge w:val="continue"/>
                  <w:vAlign w:val="center"/>
                </w:tcPr>
                <w:p>
                  <w:pPr>
                    <w:widowControl/>
                    <w:jc w:val="center"/>
                    <w:rPr>
                      <w:color w:val="auto"/>
                    </w:rPr>
                  </w:pPr>
                </w:p>
              </w:tc>
              <w:tc>
                <w:tcPr>
                  <w:tcW w:w="966" w:type="pct"/>
                  <w:vMerge w:val="continue"/>
                  <w:vAlign w:val="center"/>
                </w:tcPr>
                <w:p>
                  <w:pPr>
                    <w:widowControl/>
                    <w:jc w:val="center"/>
                    <w:rPr>
                      <w:color w:val="auto"/>
                    </w:rPr>
                  </w:pPr>
                </w:p>
              </w:tc>
              <w:tc>
                <w:tcPr>
                  <w:tcW w:w="3329" w:type="pct"/>
                  <w:gridSpan w:val="2"/>
                  <w:vAlign w:val="center"/>
                </w:tcPr>
                <w:p>
                  <w:pPr>
                    <w:widowControl/>
                    <w:jc w:val="center"/>
                    <w:rPr>
                      <w:color w:val="auto"/>
                      <w:kern w:val="0"/>
                      <w:szCs w:val="21"/>
                    </w:rPr>
                  </w:pPr>
                  <w:r>
                    <w:rPr>
                      <w:rFonts w:hint="eastAsia"/>
                      <w:color w:val="auto"/>
                      <w:kern w:val="0"/>
                      <w:szCs w:val="21"/>
                    </w:rPr>
                    <w:t>项目除尘器收集的粉尘、沉淀池沉渣作为原料回用于生产；废润滑油及废油桶暂存于危废暂存间</w:t>
                  </w:r>
                  <w:r>
                    <w:rPr>
                      <w:rFonts w:hint="eastAsia"/>
                      <w:color w:val="auto"/>
                      <w:kern w:val="0"/>
                      <w:szCs w:val="21"/>
                      <w:lang w:eastAsia="zh-CN"/>
                    </w:rPr>
                    <w:t>（</w:t>
                  </w:r>
                  <w:r>
                    <w:rPr>
                      <w:rFonts w:hint="eastAsia"/>
                      <w:color w:val="auto"/>
                      <w:kern w:val="0"/>
                      <w:szCs w:val="21"/>
                      <w:lang w:val="en-US" w:eastAsia="zh-CN"/>
                    </w:rPr>
                    <w:t>建筑面积约10m</w:t>
                  </w:r>
                  <w:r>
                    <w:rPr>
                      <w:rFonts w:hint="eastAsia"/>
                      <w:color w:val="auto"/>
                      <w:kern w:val="0"/>
                      <w:szCs w:val="21"/>
                      <w:vertAlign w:val="superscript"/>
                      <w:lang w:val="en-US" w:eastAsia="zh-CN"/>
                    </w:rPr>
                    <w:t>2</w:t>
                  </w:r>
                  <w:r>
                    <w:rPr>
                      <w:rFonts w:hint="eastAsia"/>
                      <w:color w:val="auto"/>
                      <w:kern w:val="0"/>
                      <w:szCs w:val="21"/>
                      <w:lang w:eastAsia="zh-CN"/>
                    </w:rPr>
                    <w:t>）</w:t>
                  </w:r>
                  <w:r>
                    <w:rPr>
                      <w:rFonts w:hint="eastAsia"/>
                      <w:color w:val="auto"/>
                      <w:kern w:val="0"/>
                      <w:szCs w:val="21"/>
                    </w:rPr>
                    <w:t>，定期交由有资质单位进行处置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rFonts w:hint="eastAsia"/>
                      <w:color w:val="auto"/>
                      <w:kern w:val="0"/>
                      <w:szCs w:val="21"/>
                    </w:rPr>
                    <w:t>噪声</w:t>
                  </w:r>
                </w:p>
              </w:tc>
              <w:tc>
                <w:tcPr>
                  <w:tcW w:w="3329" w:type="pct"/>
                  <w:gridSpan w:val="2"/>
                  <w:vAlign w:val="center"/>
                </w:tcPr>
                <w:p>
                  <w:pPr>
                    <w:widowControl/>
                    <w:jc w:val="center"/>
                    <w:rPr>
                      <w:color w:val="auto"/>
                      <w:kern w:val="0"/>
                      <w:szCs w:val="21"/>
                    </w:rPr>
                  </w:pPr>
                  <w:r>
                    <w:rPr>
                      <w:color w:val="auto"/>
                      <w:kern w:val="0"/>
                      <w:szCs w:val="21"/>
                    </w:rPr>
                    <w:t>选用低噪声设备，高噪声设备设置减震台，安装时</w:t>
                  </w:r>
                  <w:r>
                    <w:rPr>
                      <w:rFonts w:hint="eastAsia"/>
                      <w:color w:val="auto"/>
                      <w:kern w:val="0"/>
                      <w:szCs w:val="21"/>
                    </w:rPr>
                    <w:t>采取</w:t>
                  </w:r>
                  <w:r>
                    <w:rPr>
                      <w:color w:val="auto"/>
                      <w:kern w:val="0"/>
                      <w:szCs w:val="21"/>
                    </w:rPr>
                    <w:t>橡胶减震垫等措施、厂房隔音等措施降噪</w:t>
                  </w:r>
                  <w:r>
                    <w:rPr>
                      <w:rFonts w:hint="eastAsia"/>
                      <w:color w:val="auto"/>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rFonts w:hint="eastAsia"/>
                      <w:color w:val="auto"/>
                      <w:kern w:val="0"/>
                      <w:szCs w:val="21"/>
                    </w:rPr>
                    <w:t>绿化</w:t>
                  </w:r>
                </w:p>
              </w:tc>
              <w:tc>
                <w:tcPr>
                  <w:tcW w:w="3329" w:type="pct"/>
                  <w:gridSpan w:val="2"/>
                  <w:vAlign w:val="center"/>
                </w:tcPr>
                <w:p>
                  <w:pPr>
                    <w:widowControl/>
                    <w:jc w:val="center"/>
                    <w:rPr>
                      <w:color w:val="auto"/>
                      <w:kern w:val="0"/>
                      <w:szCs w:val="21"/>
                      <w:vertAlign w:val="superscript"/>
                    </w:rPr>
                  </w:pPr>
                  <w:r>
                    <w:rPr>
                      <w:rFonts w:hint="eastAsia"/>
                      <w:color w:val="auto"/>
                      <w:kern w:val="0"/>
                      <w:szCs w:val="21"/>
                    </w:rPr>
                    <w:t>本项目绿化面积为17557m</w:t>
                  </w:r>
                  <w:r>
                    <w:rPr>
                      <w:rFonts w:hint="eastAsia"/>
                      <w:color w:val="auto"/>
                      <w:kern w:val="0"/>
                      <w:szCs w:val="21"/>
                      <w:vertAlign w:val="superscript"/>
                    </w:rPr>
                    <w:t>2</w:t>
                  </w:r>
                  <w:r>
                    <w:rPr>
                      <w:rStyle w:val="36"/>
                      <w:rFonts w:hint="eastAsia"/>
                      <w:color w:val="auto"/>
                      <w:kern w:val="0"/>
                      <w:szCs w:val="20"/>
                    </w:rPr>
                    <w:t>，绿化率为15%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continue"/>
                  <w:vAlign w:val="center"/>
                </w:tcPr>
                <w:p>
                  <w:pPr>
                    <w:widowControl/>
                    <w:jc w:val="center"/>
                    <w:rPr>
                      <w:color w:val="auto"/>
                      <w:kern w:val="0"/>
                      <w:szCs w:val="21"/>
                    </w:rPr>
                  </w:pPr>
                </w:p>
              </w:tc>
              <w:tc>
                <w:tcPr>
                  <w:tcW w:w="966" w:type="pct"/>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风险防范</w:t>
                  </w:r>
                </w:p>
              </w:tc>
              <w:tc>
                <w:tcPr>
                  <w:tcW w:w="3329" w:type="pct"/>
                  <w:gridSpan w:val="2"/>
                  <w:vAlign w:val="center"/>
                </w:tcPr>
                <w:p>
                  <w:pPr>
                    <w:pStyle w:val="38"/>
                    <w:bidi w:val="0"/>
                    <w:rPr>
                      <w:color w:val="auto"/>
                    </w:rPr>
                  </w:pPr>
                  <w:r>
                    <w:rPr>
                      <w:rFonts w:hint="eastAsia"/>
                      <w:color w:val="auto"/>
                    </w:rPr>
                    <w:t>地面采取基础防渗，防渗层为至少1m厚黏土层（渗透系数不大于10</w:t>
                  </w:r>
                  <w:r>
                    <w:rPr>
                      <w:rFonts w:hint="eastAsia"/>
                      <w:color w:val="auto"/>
                      <w:vertAlign w:val="superscript"/>
                    </w:rPr>
                    <w:t>-7</w:t>
                  </w:r>
                  <w:r>
                    <w:rPr>
                      <w:rFonts w:hint="eastAsia"/>
                      <w:color w:val="auto"/>
                    </w:rPr>
                    <w:t>cm/s），或至少2mm厚高密度聚乙烯膜等人工防渗材料（渗透系数不大于10</w:t>
                  </w:r>
                  <w:r>
                    <w:rPr>
                      <w:rFonts w:hint="eastAsia"/>
                      <w:color w:val="auto"/>
                      <w:vertAlign w:val="superscript"/>
                    </w:rPr>
                    <w:t>-10</w:t>
                  </w:r>
                  <w:r>
                    <w:rPr>
                      <w:rFonts w:hint="eastAsia"/>
                      <w:color w:val="auto"/>
                    </w:rPr>
                    <w:t>cm/s），或其他防渗性能等效的材料，四周壁及裙角铺设土工膜，再用水泥硬化，并与地面防渗层连成整体，并在周边设置围堰，在围堰内涂环氧树脂防渗，渗透系数≤1.0×10</w:t>
                  </w:r>
                  <w:r>
                    <w:rPr>
                      <w:rFonts w:hint="eastAsia"/>
                      <w:color w:val="auto"/>
                      <w:vertAlign w:val="superscript"/>
                    </w:rPr>
                    <w:t>-10</w:t>
                  </w:r>
                  <w:r>
                    <w:rPr>
                      <w:rFonts w:hint="eastAsia"/>
                      <w:color w:val="auto"/>
                    </w:rPr>
                    <w:t>cm/s。</w:t>
                  </w:r>
                </w:p>
                <w:p>
                  <w:pPr>
                    <w:widowControl/>
                    <w:jc w:val="both"/>
                    <w:rPr>
                      <w:rFonts w:hint="default" w:eastAsia="宋体"/>
                      <w:color w:val="auto"/>
                      <w:kern w:val="0"/>
                      <w:szCs w:val="21"/>
                      <w:lang w:val="en-US" w:eastAsia="zh-CN"/>
                    </w:rPr>
                  </w:pPr>
                  <w:r>
                    <w:rPr>
                      <w:rFonts w:hint="eastAsia"/>
                      <w:color w:val="auto"/>
                      <w:kern w:val="0"/>
                      <w:szCs w:val="21"/>
                      <w:lang w:val="en-US" w:eastAsia="zh-CN"/>
                    </w:rPr>
                    <w:t>编制突发环境事件应急预案，并定期演练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restart"/>
                  <w:vAlign w:val="center"/>
                </w:tcPr>
                <w:p>
                  <w:pPr>
                    <w:widowControl/>
                    <w:jc w:val="center"/>
                    <w:rPr>
                      <w:color w:val="auto"/>
                      <w:kern w:val="0"/>
                      <w:szCs w:val="21"/>
                    </w:rPr>
                  </w:pPr>
                  <w:r>
                    <w:rPr>
                      <w:color w:val="auto"/>
                      <w:kern w:val="0"/>
                      <w:szCs w:val="21"/>
                    </w:rPr>
                    <w:t>储运工程</w:t>
                  </w:r>
                </w:p>
              </w:tc>
              <w:tc>
                <w:tcPr>
                  <w:tcW w:w="966" w:type="pct"/>
                  <w:vAlign w:val="center"/>
                </w:tcPr>
                <w:p>
                  <w:pPr>
                    <w:widowControl/>
                    <w:jc w:val="center"/>
                    <w:rPr>
                      <w:color w:val="auto"/>
                      <w:kern w:val="0"/>
                      <w:szCs w:val="21"/>
                    </w:rPr>
                  </w:pPr>
                  <w:r>
                    <w:rPr>
                      <w:rFonts w:hint="eastAsia"/>
                      <w:color w:val="auto"/>
                      <w:kern w:val="0"/>
                      <w:szCs w:val="21"/>
                    </w:rPr>
                    <w:t>砂石料堆场</w:t>
                  </w:r>
                </w:p>
              </w:tc>
              <w:tc>
                <w:tcPr>
                  <w:tcW w:w="3329" w:type="pct"/>
                  <w:gridSpan w:val="2"/>
                  <w:vAlign w:val="center"/>
                </w:tcPr>
                <w:p>
                  <w:pPr>
                    <w:widowControl/>
                    <w:jc w:val="center"/>
                    <w:rPr>
                      <w:color w:val="auto"/>
                      <w:kern w:val="0"/>
                      <w:szCs w:val="21"/>
                    </w:rPr>
                  </w:pPr>
                  <w:r>
                    <w:rPr>
                      <w:rFonts w:hint="eastAsia"/>
                      <w:color w:val="auto"/>
                    </w:rPr>
                    <w:t>设置有1个</w:t>
                  </w:r>
                  <w:r>
                    <w:rPr>
                      <w:rFonts w:hint="eastAsia"/>
                      <w:color w:val="auto"/>
                      <w:lang w:val="en-US" w:eastAsia="zh-CN"/>
                    </w:rPr>
                    <w:t>半封闭</w:t>
                  </w:r>
                  <w:r>
                    <w:rPr>
                      <w:rFonts w:hint="eastAsia"/>
                      <w:color w:val="auto"/>
                    </w:rPr>
                    <w:t>砂石料堆场，总占地面积3000m</w:t>
                  </w:r>
                  <w:r>
                    <w:rPr>
                      <w:rFonts w:hint="eastAsia"/>
                      <w:color w:val="auto"/>
                      <w:vertAlign w:val="superscript"/>
                    </w:rPr>
                    <w:t>2</w:t>
                  </w:r>
                  <w:r>
                    <w:rPr>
                      <w:rFonts w:hint="eastAsia"/>
                      <w:color w:val="auto"/>
                    </w:rPr>
                    <w:t>（水洗砂堆场1</w:t>
                  </w:r>
                  <w:r>
                    <w:rPr>
                      <w:color w:val="auto"/>
                    </w:rPr>
                    <w:t>000</w:t>
                  </w:r>
                  <w:r>
                    <w:rPr>
                      <w:rFonts w:hint="eastAsia"/>
                      <w:color w:val="auto"/>
                    </w:rPr>
                    <w:t>m</w:t>
                  </w:r>
                  <w:r>
                    <w:rPr>
                      <w:rFonts w:hint="eastAsia"/>
                      <w:color w:val="auto"/>
                      <w:vertAlign w:val="superscript"/>
                    </w:rPr>
                    <w:t>2</w:t>
                  </w:r>
                  <w:r>
                    <w:rPr>
                      <w:rFonts w:hint="eastAsia"/>
                      <w:color w:val="auto"/>
                    </w:rPr>
                    <w:t>，中石子堆场1</w:t>
                  </w:r>
                  <w:r>
                    <w:rPr>
                      <w:color w:val="auto"/>
                    </w:rPr>
                    <w:t>000</w:t>
                  </w:r>
                  <w:r>
                    <w:rPr>
                      <w:rFonts w:hint="eastAsia"/>
                      <w:color w:val="auto"/>
                    </w:rPr>
                    <w:t>m</w:t>
                  </w:r>
                  <w:r>
                    <w:rPr>
                      <w:color w:val="auto"/>
                      <w:vertAlign w:val="superscript"/>
                    </w:rPr>
                    <w:t>2</w:t>
                  </w:r>
                  <w:r>
                    <w:rPr>
                      <w:rFonts w:hint="eastAsia"/>
                      <w:color w:val="auto"/>
                    </w:rPr>
                    <w:t>，小石子堆场1</w:t>
                  </w:r>
                  <w:r>
                    <w:rPr>
                      <w:color w:val="auto"/>
                    </w:rPr>
                    <w:t>000</w:t>
                  </w:r>
                  <w:r>
                    <w:rPr>
                      <w:rFonts w:hint="eastAsia"/>
                      <w:color w:val="auto"/>
                    </w:rPr>
                    <w:t>m</w:t>
                  </w:r>
                  <w:r>
                    <w:rPr>
                      <w:color w:val="auto"/>
                      <w:vertAlign w:val="superscript"/>
                    </w:rPr>
                    <w:t>2</w:t>
                  </w: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Merge w:val="continue"/>
                  <w:vAlign w:val="center"/>
                </w:tcPr>
                <w:p>
                  <w:pPr>
                    <w:widowControl/>
                    <w:jc w:val="center"/>
                    <w:rPr>
                      <w:color w:val="auto"/>
                      <w:kern w:val="0"/>
                      <w:szCs w:val="21"/>
                    </w:rPr>
                  </w:pPr>
                </w:p>
              </w:tc>
              <w:tc>
                <w:tcPr>
                  <w:tcW w:w="966" w:type="pct"/>
                  <w:vAlign w:val="center"/>
                </w:tcPr>
                <w:p>
                  <w:pPr>
                    <w:widowControl/>
                    <w:jc w:val="center"/>
                    <w:rPr>
                      <w:color w:val="auto"/>
                      <w:kern w:val="0"/>
                      <w:szCs w:val="21"/>
                    </w:rPr>
                  </w:pPr>
                  <w:r>
                    <w:rPr>
                      <w:rFonts w:hint="eastAsia"/>
                      <w:color w:val="auto"/>
                      <w:kern w:val="0"/>
                      <w:szCs w:val="21"/>
                    </w:rPr>
                    <w:t>原料筒仓</w:t>
                  </w:r>
                </w:p>
              </w:tc>
              <w:tc>
                <w:tcPr>
                  <w:tcW w:w="3329" w:type="pct"/>
                  <w:gridSpan w:val="2"/>
                  <w:vAlign w:val="center"/>
                </w:tcPr>
                <w:p>
                  <w:pPr>
                    <w:widowControl/>
                    <w:jc w:val="center"/>
                    <w:rPr>
                      <w:bCs/>
                      <w:color w:val="auto"/>
                      <w:szCs w:val="21"/>
                    </w:rPr>
                  </w:pPr>
                  <w:r>
                    <w:rPr>
                      <w:rFonts w:hint="eastAsia"/>
                      <w:bCs/>
                      <w:color w:val="auto"/>
                      <w:szCs w:val="21"/>
                    </w:rPr>
                    <w:t>商品混凝土水泥筒仓2个，煤粉灰筒仓2个，矿粉筒仓2个，每个筒仓均自带一套脉冲</w:t>
                  </w:r>
                  <w:r>
                    <w:rPr>
                      <w:rFonts w:hint="eastAsia"/>
                      <w:bCs/>
                      <w:color w:val="auto"/>
                      <w:szCs w:val="21"/>
                      <w:lang w:val="en-US" w:eastAsia="zh-CN"/>
                    </w:rPr>
                    <w:t>袋式</w:t>
                  </w:r>
                  <w:r>
                    <w:rPr>
                      <w:rFonts w:hint="eastAsia"/>
                      <w:bCs/>
                      <w:color w:val="auto"/>
                      <w:szCs w:val="21"/>
                    </w:rPr>
                    <w:t>除尘器，共6套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3" w:type="pct"/>
                  <w:vAlign w:val="center"/>
                </w:tcPr>
                <w:p>
                  <w:pPr>
                    <w:widowControl/>
                    <w:jc w:val="center"/>
                    <w:rPr>
                      <w:color w:val="auto"/>
                      <w:kern w:val="0"/>
                      <w:szCs w:val="21"/>
                    </w:rPr>
                  </w:pPr>
                  <w:r>
                    <w:rPr>
                      <w:rFonts w:hint="eastAsia"/>
                      <w:color w:val="auto"/>
                      <w:kern w:val="0"/>
                      <w:szCs w:val="21"/>
                    </w:rPr>
                    <w:t>依托</w:t>
                  </w:r>
                  <w:r>
                    <w:rPr>
                      <w:color w:val="auto"/>
                      <w:kern w:val="0"/>
                      <w:szCs w:val="21"/>
                    </w:rPr>
                    <w:t>工程</w:t>
                  </w:r>
                </w:p>
              </w:tc>
              <w:tc>
                <w:tcPr>
                  <w:tcW w:w="966" w:type="pct"/>
                  <w:vAlign w:val="center"/>
                </w:tcPr>
                <w:p>
                  <w:pPr>
                    <w:widowControl/>
                    <w:jc w:val="center"/>
                    <w:rPr>
                      <w:rFonts w:hint="default" w:eastAsia="宋体"/>
                      <w:color w:val="auto"/>
                      <w:kern w:val="0"/>
                      <w:szCs w:val="21"/>
                      <w:lang w:val="en-US" w:eastAsia="zh-CN"/>
                    </w:rPr>
                  </w:pPr>
                  <w:r>
                    <w:rPr>
                      <w:rFonts w:hint="eastAsia"/>
                      <w:color w:val="auto"/>
                      <w:kern w:val="0"/>
                      <w:szCs w:val="21"/>
                      <w:lang w:val="en-US" w:eastAsia="zh-CN"/>
                    </w:rPr>
                    <w:t>奎屯市中区污水处理厂</w:t>
                  </w:r>
                </w:p>
              </w:tc>
              <w:tc>
                <w:tcPr>
                  <w:tcW w:w="3329" w:type="pct"/>
                  <w:gridSpan w:val="2"/>
                  <w:vAlign w:val="center"/>
                </w:tcPr>
                <w:p>
                  <w:pPr>
                    <w:pStyle w:val="38"/>
                    <w:bidi w:val="0"/>
                    <w:rPr>
                      <w:color w:val="auto"/>
                    </w:rPr>
                  </w:pPr>
                  <w:r>
                    <w:rPr>
                      <w:color w:val="auto"/>
                    </w:rPr>
                    <w:t>奎屯市中区污水处理厂位于奎屯市天东路以北、迎宾大道以东，2000年成立，2003年建成，占地面积约8公顷，日处理能力20000m³/d，主要负责奎屯市城区生活污水的处理</w:t>
                  </w:r>
                  <w:r>
                    <w:rPr>
                      <w:rFonts w:hint="eastAsia"/>
                      <w:color w:val="auto"/>
                    </w:rPr>
                    <w:t>。</w:t>
                  </w:r>
                </w:p>
                <w:p>
                  <w:pPr>
                    <w:pStyle w:val="38"/>
                    <w:bidi w:val="0"/>
                    <w:rPr>
                      <w:color w:val="auto"/>
                    </w:rPr>
                  </w:pPr>
                  <w:r>
                    <w:rPr>
                      <w:color w:val="auto"/>
                    </w:rPr>
                    <w:t>艺采用A2O+EBIS高效混凝沉淀，出水水质满足《城镇污水处理厂污染物排放标准》（GB18918-2002）一级A标准要求</w:t>
                  </w:r>
                  <w:r>
                    <w:rPr>
                      <w:rFonts w:hint="eastAsia"/>
                      <w:color w:val="auto"/>
                    </w:rPr>
                    <w:t>，污水处理厂于</w:t>
                  </w:r>
                  <w:r>
                    <w:rPr>
                      <w:color w:val="auto"/>
                    </w:rPr>
                    <w:t>2019年6月10日开工建设，12月13日完成工程竣工验收，2020年4月15日完成环保验收工作。</w:t>
                  </w:r>
                  <w:r>
                    <w:rPr>
                      <w:rFonts w:hint="eastAsia"/>
                      <w:color w:val="auto"/>
                    </w:rPr>
                    <w:t>处理后的中水储存到中水库，中水库下游已修建排水管线，中水将排入北二区新建5000亩公益林用于灌溉。</w:t>
                  </w:r>
                </w:p>
                <w:p>
                  <w:pPr>
                    <w:widowControl/>
                    <w:jc w:val="center"/>
                    <w:rPr>
                      <w:color w:val="auto"/>
                      <w:kern w:val="0"/>
                      <w:szCs w:val="21"/>
                    </w:rPr>
                  </w:pPr>
                </w:p>
              </w:tc>
            </w:tr>
          </w:tbl>
          <w:p>
            <w:pPr>
              <w:adjustRightInd w:val="0"/>
              <w:snapToGrid w:val="0"/>
              <w:spacing w:line="520" w:lineRule="exact"/>
              <w:ind w:firstLine="482" w:firstLineChars="200"/>
              <w:rPr>
                <w:b/>
                <w:bCs/>
                <w:color w:val="auto"/>
                <w:sz w:val="24"/>
              </w:rPr>
            </w:pPr>
            <w:r>
              <w:rPr>
                <w:b/>
                <w:bCs/>
                <w:color w:val="auto"/>
                <w:sz w:val="24"/>
              </w:rPr>
              <w:t>3</w:t>
            </w:r>
            <w:r>
              <w:rPr>
                <w:rFonts w:hint="eastAsia"/>
                <w:b/>
                <w:bCs/>
                <w:color w:val="auto"/>
                <w:sz w:val="24"/>
              </w:rPr>
              <w:t>、主要产品</w:t>
            </w:r>
          </w:p>
          <w:p>
            <w:pPr>
              <w:adjustRightInd w:val="0"/>
              <w:snapToGrid w:val="0"/>
              <w:spacing w:line="520" w:lineRule="exact"/>
              <w:ind w:firstLine="480" w:firstLineChars="200"/>
              <w:rPr>
                <w:color w:val="auto"/>
                <w:sz w:val="24"/>
              </w:rPr>
            </w:pPr>
            <w:r>
              <w:rPr>
                <w:rFonts w:hint="eastAsia"/>
                <w:color w:val="auto"/>
                <w:sz w:val="24"/>
              </w:rPr>
              <w:t>本项目设计年产60万m</w:t>
            </w:r>
            <w:r>
              <w:rPr>
                <w:rFonts w:hint="eastAsia"/>
                <w:color w:val="auto"/>
                <w:sz w:val="24"/>
                <w:vertAlign w:val="superscript"/>
              </w:rPr>
              <w:t>3</w:t>
            </w:r>
            <w:r>
              <w:rPr>
                <w:rFonts w:hint="eastAsia"/>
                <w:color w:val="auto"/>
                <w:sz w:val="24"/>
              </w:rPr>
              <w:t>C15至C60强度标号商品混凝土，利用自产混凝土年产30万m</w:t>
            </w:r>
            <w:r>
              <w:rPr>
                <w:rFonts w:hint="eastAsia"/>
                <w:color w:val="auto"/>
                <w:sz w:val="24"/>
                <w:vertAlign w:val="superscript"/>
              </w:rPr>
              <w:t>3</w:t>
            </w:r>
            <w:r>
              <w:rPr>
                <w:rFonts w:hint="eastAsia"/>
                <w:color w:val="auto"/>
                <w:sz w:val="24"/>
              </w:rPr>
              <w:t>混凝土预制构件，混凝土满足《混凝土结构设计规范》（GB50010-2010）中的相关规定。</w:t>
            </w:r>
          </w:p>
          <w:p>
            <w:pPr>
              <w:adjustRightInd w:val="0"/>
              <w:snapToGrid w:val="0"/>
              <w:spacing w:line="520" w:lineRule="exact"/>
              <w:ind w:firstLine="482" w:firstLineChars="200"/>
              <w:rPr>
                <w:b/>
                <w:bCs/>
                <w:color w:val="auto"/>
                <w:sz w:val="24"/>
              </w:rPr>
            </w:pPr>
            <w:r>
              <w:rPr>
                <w:b/>
                <w:bCs/>
                <w:color w:val="auto"/>
                <w:sz w:val="24"/>
              </w:rPr>
              <w:t>4、</w:t>
            </w:r>
            <w:r>
              <w:rPr>
                <w:rFonts w:hint="eastAsia"/>
                <w:b/>
                <w:bCs/>
                <w:color w:val="auto"/>
                <w:sz w:val="24"/>
              </w:rPr>
              <w:t>主要生产单元及主要工艺</w:t>
            </w:r>
          </w:p>
          <w:p>
            <w:pPr>
              <w:adjustRightInd w:val="0"/>
              <w:snapToGrid w:val="0"/>
              <w:spacing w:line="520" w:lineRule="exact"/>
              <w:ind w:firstLine="482" w:firstLineChars="200"/>
              <w:rPr>
                <w:color w:val="auto"/>
                <w:sz w:val="24"/>
              </w:rPr>
            </w:pPr>
            <w:r>
              <w:rPr>
                <w:rFonts w:hint="eastAsia"/>
                <w:b/>
                <w:bCs/>
                <w:color w:val="auto"/>
                <w:sz w:val="24"/>
              </w:rPr>
              <w:t>主要生产单元</w:t>
            </w:r>
            <w:r>
              <w:rPr>
                <w:rFonts w:hint="eastAsia"/>
                <w:color w:val="auto"/>
                <w:sz w:val="24"/>
              </w:rPr>
              <w:t>：设置2条</w:t>
            </w:r>
            <w:r>
              <w:rPr>
                <w:rFonts w:hint="eastAsia"/>
                <w:bCs/>
                <w:color w:val="auto"/>
                <w:sz w:val="24"/>
                <w:szCs w:val="24"/>
              </w:rPr>
              <w:t>HZS-120</w:t>
            </w:r>
            <w:r>
              <w:rPr>
                <w:rFonts w:hint="eastAsia"/>
                <w:color w:val="auto"/>
                <w:sz w:val="24"/>
              </w:rPr>
              <w:t>混凝土生产线，1条混凝土预制构件生产线。</w:t>
            </w:r>
          </w:p>
          <w:p>
            <w:pPr>
              <w:adjustRightInd w:val="0"/>
              <w:snapToGrid w:val="0"/>
              <w:spacing w:line="520" w:lineRule="exact"/>
              <w:ind w:firstLine="482" w:firstLineChars="200"/>
              <w:rPr>
                <w:b/>
                <w:bCs/>
                <w:color w:val="auto"/>
                <w:sz w:val="24"/>
              </w:rPr>
            </w:pPr>
            <w:r>
              <w:rPr>
                <w:rFonts w:hint="eastAsia"/>
                <w:b/>
                <w:bCs/>
                <w:color w:val="auto"/>
                <w:sz w:val="24"/>
              </w:rPr>
              <w:t>主要工艺：</w:t>
            </w:r>
          </w:p>
          <w:p>
            <w:pPr>
              <w:adjustRightInd w:val="0"/>
              <w:snapToGrid w:val="0"/>
              <w:spacing w:line="520" w:lineRule="exact"/>
              <w:ind w:firstLine="480" w:firstLineChars="200"/>
              <w:rPr>
                <w:color w:val="auto"/>
                <w:sz w:val="24"/>
              </w:rPr>
            </w:pPr>
            <w:r>
              <w:rPr>
                <w:rFonts w:hint="eastAsia"/>
                <w:color w:val="auto"/>
                <w:sz w:val="24"/>
              </w:rPr>
              <w:t>商品混凝土：石料、砂子等物料在装车后通过遮盖密封运输到堆料场，按配方规定的材料品种、规格配料后送入搅拌站，搅拌后混凝土通过取样检验合格后即可为商品混凝土。</w:t>
            </w:r>
          </w:p>
          <w:p>
            <w:pPr>
              <w:adjustRightInd w:val="0"/>
              <w:snapToGrid w:val="0"/>
              <w:spacing w:line="520" w:lineRule="exact"/>
              <w:ind w:firstLine="480" w:firstLineChars="200"/>
              <w:rPr>
                <w:color w:val="auto"/>
                <w:sz w:val="24"/>
              </w:rPr>
            </w:pPr>
            <w:r>
              <w:rPr>
                <w:rFonts w:hint="eastAsia"/>
                <w:color w:val="auto"/>
                <w:sz w:val="24"/>
              </w:rPr>
              <w:t>预制构件：将本项目商品混凝土生产线生产的混凝土入模浇制、养护、起模即可为成品。</w:t>
            </w:r>
          </w:p>
          <w:p>
            <w:pPr>
              <w:adjustRightInd w:val="0"/>
              <w:snapToGrid w:val="0"/>
              <w:spacing w:line="520" w:lineRule="exact"/>
              <w:ind w:firstLine="482" w:firstLineChars="200"/>
              <w:rPr>
                <w:b/>
                <w:bCs/>
                <w:color w:val="auto"/>
                <w:sz w:val="24"/>
              </w:rPr>
            </w:pPr>
            <w:r>
              <w:rPr>
                <w:rFonts w:hint="eastAsia"/>
                <w:b/>
                <w:bCs/>
                <w:color w:val="auto"/>
                <w:sz w:val="24"/>
              </w:rPr>
              <w:t>5、</w:t>
            </w:r>
            <w:r>
              <w:rPr>
                <w:b/>
                <w:bCs/>
                <w:color w:val="auto"/>
                <w:sz w:val="24"/>
              </w:rPr>
              <w:t>主要生产设备</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表2-</w:t>
            </w:r>
            <w:r>
              <w:rPr>
                <w:rFonts w:hint="eastAsia" w:ascii="Times New Roman" w:hAnsi="Times New Roman" w:eastAsia="宋体" w:cs="Times New Roman"/>
                <w:b/>
                <w:color w:val="auto"/>
                <w:szCs w:val="21"/>
                <w:lang w:val="en-US" w:eastAsia="zh-CN"/>
              </w:rPr>
              <w:t>2</w:t>
            </w:r>
            <w:r>
              <w:rPr>
                <w:rFonts w:ascii="Times New Roman" w:hAnsi="Times New Roman" w:eastAsia="宋体" w:cs="Times New Roman"/>
                <w:b/>
                <w:color w:val="auto"/>
                <w:szCs w:val="21"/>
              </w:rPr>
              <w:t xml:space="preserve">    主要生产设备一览表</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4203"/>
              <w:gridCol w:w="1443"/>
              <w:gridCol w:w="1009"/>
              <w:gridCol w:w="9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color w:val="auto"/>
                    </w:rPr>
                    <w:t>序号</w:t>
                  </w:r>
                </w:p>
              </w:tc>
              <w:tc>
                <w:tcPr>
                  <w:tcW w:w="2546" w:type="pct"/>
                  <w:tcBorders>
                    <w:tl2br w:val="nil"/>
                    <w:tr2bl w:val="nil"/>
                  </w:tcBorders>
                  <w:vAlign w:val="center"/>
                </w:tcPr>
                <w:p>
                  <w:pPr>
                    <w:pStyle w:val="38"/>
                    <w:jc w:val="center"/>
                    <w:rPr>
                      <w:color w:val="auto"/>
                    </w:rPr>
                  </w:pPr>
                  <w:r>
                    <w:rPr>
                      <w:color w:val="auto"/>
                    </w:rPr>
                    <w:t>主要设备名称</w:t>
                  </w:r>
                </w:p>
              </w:tc>
              <w:tc>
                <w:tcPr>
                  <w:tcW w:w="874" w:type="pct"/>
                  <w:tcBorders>
                    <w:tl2br w:val="nil"/>
                    <w:tr2bl w:val="nil"/>
                  </w:tcBorders>
                  <w:vAlign w:val="center"/>
                </w:tcPr>
                <w:p>
                  <w:pPr>
                    <w:pStyle w:val="38"/>
                    <w:jc w:val="center"/>
                    <w:rPr>
                      <w:color w:val="auto"/>
                    </w:rPr>
                  </w:pPr>
                  <w:r>
                    <w:rPr>
                      <w:rFonts w:hint="eastAsia"/>
                      <w:color w:val="auto"/>
                    </w:rPr>
                    <w:t>规格信号</w:t>
                  </w:r>
                </w:p>
              </w:tc>
              <w:tc>
                <w:tcPr>
                  <w:tcW w:w="610" w:type="pct"/>
                  <w:tcBorders>
                    <w:tl2br w:val="nil"/>
                    <w:tr2bl w:val="nil"/>
                  </w:tcBorders>
                  <w:vAlign w:val="center"/>
                </w:tcPr>
                <w:p>
                  <w:pPr>
                    <w:pStyle w:val="38"/>
                    <w:jc w:val="center"/>
                    <w:rPr>
                      <w:color w:val="auto"/>
                    </w:rPr>
                  </w:pPr>
                  <w:r>
                    <w:rPr>
                      <w:rFonts w:hint="eastAsia"/>
                      <w:color w:val="auto"/>
                    </w:rPr>
                    <w:t>单位</w:t>
                  </w:r>
                </w:p>
              </w:tc>
              <w:tc>
                <w:tcPr>
                  <w:tcW w:w="602" w:type="pct"/>
                  <w:tcBorders>
                    <w:tl2br w:val="nil"/>
                    <w:tr2bl w:val="nil"/>
                  </w:tcBorders>
                  <w:vAlign w:val="center"/>
                </w:tcPr>
                <w:p>
                  <w:pPr>
                    <w:pStyle w:val="38"/>
                    <w:jc w:val="center"/>
                    <w:rPr>
                      <w:color w:val="auto"/>
                    </w:rPr>
                  </w:pPr>
                  <w:r>
                    <w:rPr>
                      <w:color w:val="auto"/>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7" w:type="pct"/>
                  <w:gridSpan w:val="4"/>
                  <w:tcBorders>
                    <w:tl2br w:val="nil"/>
                    <w:tr2bl w:val="nil"/>
                  </w:tcBorders>
                  <w:vAlign w:val="center"/>
                </w:tcPr>
                <w:p>
                  <w:pPr>
                    <w:pStyle w:val="38"/>
                    <w:jc w:val="center"/>
                    <w:rPr>
                      <w:color w:val="auto"/>
                    </w:rPr>
                  </w:pPr>
                  <w:r>
                    <w:rPr>
                      <w:rFonts w:hint="eastAsia"/>
                      <w:color w:val="auto"/>
                    </w:rPr>
                    <w:t>商品混凝土生产线</w:t>
                  </w:r>
                </w:p>
              </w:tc>
              <w:tc>
                <w:tcPr>
                  <w:tcW w:w="602" w:type="pct"/>
                  <w:tcBorders>
                    <w:tl2br w:val="nil"/>
                    <w:tr2bl w:val="nil"/>
                  </w:tcBorders>
                  <w:vAlign w:val="center"/>
                </w:tcPr>
                <w:p>
                  <w:pPr>
                    <w:pStyle w:val="38"/>
                    <w:jc w:val="center"/>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1</w:t>
                  </w:r>
                </w:p>
              </w:tc>
              <w:tc>
                <w:tcPr>
                  <w:tcW w:w="2546" w:type="pct"/>
                  <w:tcBorders>
                    <w:tl2br w:val="nil"/>
                    <w:tr2bl w:val="nil"/>
                  </w:tcBorders>
                  <w:vAlign w:val="center"/>
                </w:tcPr>
                <w:p>
                  <w:pPr>
                    <w:pStyle w:val="38"/>
                    <w:jc w:val="center"/>
                    <w:rPr>
                      <w:color w:val="auto"/>
                    </w:rPr>
                  </w:pPr>
                  <w:r>
                    <w:rPr>
                      <w:rFonts w:hint="eastAsia"/>
                      <w:color w:val="auto"/>
                    </w:rPr>
                    <w:t>混凝土搅拌生产线</w:t>
                  </w:r>
                </w:p>
              </w:tc>
              <w:tc>
                <w:tcPr>
                  <w:tcW w:w="874" w:type="pct"/>
                  <w:tcBorders>
                    <w:tl2br w:val="nil"/>
                    <w:tr2bl w:val="nil"/>
                  </w:tcBorders>
                  <w:vAlign w:val="center"/>
                </w:tcPr>
                <w:p>
                  <w:pPr>
                    <w:pStyle w:val="38"/>
                    <w:jc w:val="center"/>
                    <w:rPr>
                      <w:color w:val="auto"/>
                    </w:rPr>
                  </w:pPr>
                  <w:r>
                    <w:rPr>
                      <w:rFonts w:hint="eastAsia"/>
                      <w:color w:val="auto"/>
                      <w:sz w:val="24"/>
                    </w:rPr>
                    <w:t>HZS-120</w:t>
                  </w:r>
                </w:p>
              </w:tc>
              <w:tc>
                <w:tcPr>
                  <w:tcW w:w="610" w:type="pct"/>
                  <w:tcBorders>
                    <w:tl2br w:val="nil"/>
                    <w:tr2bl w:val="nil"/>
                  </w:tcBorders>
                  <w:vAlign w:val="center"/>
                </w:tcPr>
                <w:p>
                  <w:pPr>
                    <w:pStyle w:val="38"/>
                    <w:jc w:val="center"/>
                    <w:rPr>
                      <w:color w:val="auto"/>
                    </w:rPr>
                  </w:pPr>
                  <w:r>
                    <w:rPr>
                      <w:rFonts w:hint="eastAsia"/>
                      <w:color w:val="auto"/>
                    </w:rPr>
                    <w:t>套</w:t>
                  </w:r>
                </w:p>
              </w:tc>
              <w:tc>
                <w:tcPr>
                  <w:tcW w:w="602" w:type="pct"/>
                  <w:tcBorders>
                    <w:tl2br w:val="nil"/>
                    <w:tr2bl w:val="nil"/>
                  </w:tcBorders>
                  <w:vAlign w:val="center"/>
                </w:tcPr>
                <w:p>
                  <w:pPr>
                    <w:pStyle w:val="38"/>
                    <w:jc w:val="center"/>
                    <w:rPr>
                      <w:color w:val="auto"/>
                    </w:rPr>
                  </w:pPr>
                  <w:r>
                    <w:rPr>
                      <w:rFonts w:hint="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2</w:t>
                  </w:r>
                </w:p>
              </w:tc>
              <w:tc>
                <w:tcPr>
                  <w:tcW w:w="2546" w:type="pct"/>
                  <w:tcBorders>
                    <w:tl2br w:val="nil"/>
                    <w:tr2bl w:val="nil"/>
                  </w:tcBorders>
                  <w:vAlign w:val="center"/>
                </w:tcPr>
                <w:p>
                  <w:pPr>
                    <w:pStyle w:val="38"/>
                    <w:jc w:val="center"/>
                    <w:rPr>
                      <w:color w:val="auto"/>
                    </w:rPr>
                  </w:pPr>
                  <w:r>
                    <w:rPr>
                      <w:rFonts w:hint="eastAsia"/>
                      <w:color w:val="auto"/>
                    </w:rPr>
                    <w:t>搅拌主楼及搅拌主机</w:t>
                  </w:r>
                </w:p>
              </w:tc>
              <w:tc>
                <w:tcPr>
                  <w:tcW w:w="874" w:type="pct"/>
                  <w:tcBorders>
                    <w:tl2br w:val="nil"/>
                    <w:tr2bl w:val="nil"/>
                  </w:tcBorders>
                  <w:vAlign w:val="center"/>
                </w:tcPr>
                <w:p>
                  <w:pPr>
                    <w:pStyle w:val="38"/>
                    <w:jc w:val="center"/>
                    <w:rPr>
                      <w:color w:val="auto"/>
                    </w:rPr>
                  </w:pPr>
                  <w:r>
                    <w:rPr>
                      <w:rFonts w:hint="eastAsia"/>
                      <w:color w:val="auto"/>
                    </w:rPr>
                    <w:t>/</w:t>
                  </w:r>
                </w:p>
              </w:tc>
              <w:tc>
                <w:tcPr>
                  <w:tcW w:w="610" w:type="pct"/>
                  <w:tcBorders>
                    <w:tl2br w:val="nil"/>
                    <w:tr2bl w:val="nil"/>
                  </w:tcBorders>
                  <w:vAlign w:val="center"/>
                </w:tcPr>
                <w:p>
                  <w:pPr>
                    <w:pStyle w:val="38"/>
                    <w:jc w:val="center"/>
                    <w:rPr>
                      <w:color w:val="auto"/>
                    </w:rPr>
                  </w:pPr>
                  <w:r>
                    <w:rPr>
                      <w:rFonts w:hint="eastAsia"/>
                      <w:color w:val="auto"/>
                    </w:rPr>
                    <w:t>套</w:t>
                  </w:r>
                </w:p>
              </w:tc>
              <w:tc>
                <w:tcPr>
                  <w:tcW w:w="602" w:type="pct"/>
                  <w:tcBorders>
                    <w:tl2br w:val="nil"/>
                    <w:tr2bl w:val="nil"/>
                  </w:tcBorders>
                  <w:vAlign w:val="center"/>
                </w:tcPr>
                <w:p>
                  <w:pPr>
                    <w:pStyle w:val="38"/>
                    <w:jc w:val="center"/>
                    <w:rPr>
                      <w:color w:val="auto"/>
                    </w:rPr>
                  </w:pPr>
                  <w:r>
                    <w:rPr>
                      <w:rFonts w:hint="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3</w:t>
                  </w:r>
                </w:p>
              </w:tc>
              <w:tc>
                <w:tcPr>
                  <w:tcW w:w="2546" w:type="pct"/>
                  <w:tcBorders>
                    <w:tl2br w:val="nil"/>
                    <w:tr2bl w:val="nil"/>
                  </w:tcBorders>
                  <w:vAlign w:val="center"/>
                </w:tcPr>
                <w:p>
                  <w:pPr>
                    <w:pStyle w:val="38"/>
                    <w:jc w:val="center"/>
                    <w:rPr>
                      <w:color w:val="auto"/>
                    </w:rPr>
                  </w:pPr>
                  <w:r>
                    <w:rPr>
                      <w:rFonts w:hint="eastAsia"/>
                      <w:color w:val="auto"/>
                    </w:rPr>
                    <w:t>水泥罐车</w:t>
                  </w:r>
                </w:p>
              </w:tc>
              <w:tc>
                <w:tcPr>
                  <w:tcW w:w="874" w:type="pct"/>
                  <w:tcBorders>
                    <w:tl2br w:val="nil"/>
                    <w:tr2bl w:val="nil"/>
                  </w:tcBorders>
                  <w:vAlign w:val="center"/>
                </w:tcPr>
                <w:p>
                  <w:pPr>
                    <w:pStyle w:val="38"/>
                    <w:jc w:val="center"/>
                    <w:rPr>
                      <w:color w:val="auto"/>
                    </w:rPr>
                  </w:pPr>
                  <w:r>
                    <w:rPr>
                      <w:rFonts w:hint="eastAsia"/>
                      <w:color w:val="auto"/>
                    </w:rPr>
                    <w:t>50t</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4</w:t>
                  </w:r>
                </w:p>
              </w:tc>
              <w:tc>
                <w:tcPr>
                  <w:tcW w:w="2546" w:type="pct"/>
                  <w:tcBorders>
                    <w:tl2br w:val="nil"/>
                    <w:tr2bl w:val="nil"/>
                  </w:tcBorders>
                  <w:vAlign w:val="center"/>
                </w:tcPr>
                <w:p>
                  <w:pPr>
                    <w:pStyle w:val="38"/>
                    <w:jc w:val="center"/>
                    <w:rPr>
                      <w:color w:val="auto"/>
                    </w:rPr>
                  </w:pPr>
                  <w:r>
                    <w:rPr>
                      <w:rFonts w:hint="eastAsia"/>
                      <w:color w:val="auto"/>
                    </w:rPr>
                    <w:t>砂石料运输车</w:t>
                  </w:r>
                </w:p>
              </w:tc>
              <w:tc>
                <w:tcPr>
                  <w:tcW w:w="874" w:type="pct"/>
                  <w:tcBorders>
                    <w:tl2br w:val="nil"/>
                    <w:tr2bl w:val="nil"/>
                  </w:tcBorders>
                  <w:vAlign w:val="center"/>
                </w:tcPr>
                <w:p>
                  <w:pPr>
                    <w:pStyle w:val="38"/>
                    <w:jc w:val="center"/>
                    <w:rPr>
                      <w:color w:val="auto"/>
                    </w:rPr>
                  </w:pPr>
                  <w:r>
                    <w:rPr>
                      <w:rFonts w:hint="eastAsia"/>
                      <w:color w:val="auto"/>
                    </w:rPr>
                    <w:t>20t</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 w:type="pct"/>
                  <w:tcBorders>
                    <w:tl2br w:val="nil"/>
                    <w:tr2bl w:val="nil"/>
                  </w:tcBorders>
                  <w:vAlign w:val="center"/>
                </w:tcPr>
                <w:p>
                  <w:pPr>
                    <w:pStyle w:val="38"/>
                    <w:jc w:val="center"/>
                    <w:rPr>
                      <w:color w:val="auto"/>
                    </w:rPr>
                  </w:pPr>
                  <w:r>
                    <w:rPr>
                      <w:rFonts w:hint="eastAsia"/>
                      <w:color w:val="auto"/>
                    </w:rPr>
                    <w:t>5</w:t>
                  </w:r>
                </w:p>
              </w:tc>
              <w:tc>
                <w:tcPr>
                  <w:tcW w:w="2546" w:type="pct"/>
                  <w:tcBorders>
                    <w:tl2br w:val="nil"/>
                    <w:tr2bl w:val="nil"/>
                  </w:tcBorders>
                  <w:vAlign w:val="center"/>
                </w:tcPr>
                <w:p>
                  <w:pPr>
                    <w:pStyle w:val="38"/>
                    <w:jc w:val="center"/>
                    <w:rPr>
                      <w:color w:val="auto"/>
                    </w:rPr>
                  </w:pPr>
                  <w:r>
                    <w:rPr>
                      <w:rFonts w:hint="eastAsia"/>
                      <w:color w:val="auto"/>
                    </w:rPr>
                    <w:t>水泥筒仓</w:t>
                  </w:r>
                </w:p>
              </w:tc>
              <w:tc>
                <w:tcPr>
                  <w:tcW w:w="874" w:type="pct"/>
                  <w:tcBorders>
                    <w:tl2br w:val="nil"/>
                    <w:tr2bl w:val="nil"/>
                  </w:tcBorders>
                  <w:vAlign w:val="center"/>
                </w:tcPr>
                <w:p>
                  <w:pPr>
                    <w:pStyle w:val="38"/>
                    <w:jc w:val="center"/>
                    <w:rPr>
                      <w:color w:val="auto"/>
                    </w:rPr>
                  </w:pPr>
                  <w:r>
                    <w:rPr>
                      <w:rFonts w:hint="eastAsia"/>
                      <w:color w:val="auto"/>
                    </w:rPr>
                    <w:t>300t</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6</w:t>
                  </w:r>
                </w:p>
              </w:tc>
              <w:tc>
                <w:tcPr>
                  <w:tcW w:w="2546" w:type="pct"/>
                  <w:tcBorders>
                    <w:tl2br w:val="nil"/>
                    <w:tr2bl w:val="nil"/>
                  </w:tcBorders>
                  <w:vAlign w:val="center"/>
                </w:tcPr>
                <w:p>
                  <w:pPr>
                    <w:pStyle w:val="38"/>
                    <w:jc w:val="center"/>
                    <w:rPr>
                      <w:color w:val="auto"/>
                    </w:rPr>
                  </w:pPr>
                  <w:r>
                    <w:rPr>
                      <w:rFonts w:hint="eastAsia"/>
                      <w:color w:val="auto"/>
                    </w:rPr>
                    <w:t>粉煤灰筒仓</w:t>
                  </w:r>
                </w:p>
              </w:tc>
              <w:tc>
                <w:tcPr>
                  <w:tcW w:w="874" w:type="pct"/>
                  <w:tcBorders>
                    <w:tl2br w:val="nil"/>
                    <w:tr2bl w:val="nil"/>
                  </w:tcBorders>
                  <w:vAlign w:val="center"/>
                </w:tcPr>
                <w:p>
                  <w:pPr>
                    <w:pStyle w:val="38"/>
                    <w:jc w:val="center"/>
                    <w:rPr>
                      <w:color w:val="auto"/>
                    </w:rPr>
                  </w:pPr>
                  <w:r>
                    <w:rPr>
                      <w:rFonts w:hint="eastAsia"/>
                      <w:color w:val="auto"/>
                    </w:rPr>
                    <w:t>300t</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7</w:t>
                  </w:r>
                </w:p>
              </w:tc>
              <w:tc>
                <w:tcPr>
                  <w:tcW w:w="2546" w:type="pct"/>
                  <w:tcBorders>
                    <w:tl2br w:val="nil"/>
                    <w:tr2bl w:val="nil"/>
                  </w:tcBorders>
                  <w:vAlign w:val="center"/>
                </w:tcPr>
                <w:p>
                  <w:pPr>
                    <w:pStyle w:val="38"/>
                    <w:jc w:val="center"/>
                    <w:rPr>
                      <w:color w:val="auto"/>
                    </w:rPr>
                  </w:pPr>
                  <w:r>
                    <w:rPr>
                      <w:rFonts w:hint="eastAsia"/>
                      <w:color w:val="auto"/>
                    </w:rPr>
                    <w:t>矿粉筒仓</w:t>
                  </w:r>
                </w:p>
              </w:tc>
              <w:tc>
                <w:tcPr>
                  <w:tcW w:w="874" w:type="pct"/>
                  <w:tcBorders>
                    <w:tl2br w:val="nil"/>
                    <w:tr2bl w:val="nil"/>
                  </w:tcBorders>
                  <w:vAlign w:val="center"/>
                </w:tcPr>
                <w:p>
                  <w:pPr>
                    <w:pStyle w:val="38"/>
                    <w:jc w:val="center"/>
                    <w:rPr>
                      <w:color w:val="auto"/>
                    </w:rPr>
                  </w:pPr>
                  <w:r>
                    <w:rPr>
                      <w:rFonts w:hint="eastAsia"/>
                      <w:color w:val="auto"/>
                    </w:rPr>
                    <w:t>300t</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8</w:t>
                  </w:r>
                </w:p>
              </w:tc>
              <w:tc>
                <w:tcPr>
                  <w:tcW w:w="2546" w:type="pct"/>
                  <w:tcBorders>
                    <w:tl2br w:val="nil"/>
                    <w:tr2bl w:val="nil"/>
                  </w:tcBorders>
                  <w:vAlign w:val="center"/>
                </w:tcPr>
                <w:p>
                  <w:pPr>
                    <w:pStyle w:val="38"/>
                    <w:jc w:val="center"/>
                    <w:rPr>
                      <w:color w:val="auto"/>
                    </w:rPr>
                  </w:pPr>
                  <w:r>
                    <w:rPr>
                      <w:rFonts w:hint="eastAsia"/>
                      <w:color w:val="auto"/>
                    </w:rPr>
                    <w:t>输送机</w:t>
                  </w:r>
                </w:p>
              </w:tc>
              <w:tc>
                <w:tcPr>
                  <w:tcW w:w="874" w:type="pct"/>
                  <w:tcBorders>
                    <w:tl2br w:val="nil"/>
                    <w:tr2bl w:val="nil"/>
                  </w:tcBorders>
                  <w:vAlign w:val="center"/>
                </w:tcPr>
                <w:p>
                  <w:pPr>
                    <w:pStyle w:val="38"/>
                    <w:jc w:val="center"/>
                    <w:rPr>
                      <w:color w:val="auto"/>
                    </w:rPr>
                  </w:pPr>
                  <w:r>
                    <w:rPr>
                      <w:rFonts w:hint="eastAsia"/>
                      <w:color w:val="auto"/>
                    </w:rPr>
                    <w:t>B80</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9</w:t>
                  </w:r>
                </w:p>
              </w:tc>
              <w:tc>
                <w:tcPr>
                  <w:tcW w:w="2546" w:type="pct"/>
                  <w:tcBorders>
                    <w:tl2br w:val="nil"/>
                    <w:tr2bl w:val="nil"/>
                  </w:tcBorders>
                  <w:vAlign w:val="center"/>
                </w:tcPr>
                <w:p>
                  <w:pPr>
                    <w:pStyle w:val="38"/>
                    <w:jc w:val="center"/>
                    <w:rPr>
                      <w:color w:val="auto"/>
                    </w:rPr>
                  </w:pPr>
                  <w:r>
                    <w:rPr>
                      <w:rFonts w:hint="eastAsia"/>
                      <w:color w:val="auto"/>
                    </w:rPr>
                    <w:t>装载机</w:t>
                  </w:r>
                </w:p>
              </w:tc>
              <w:tc>
                <w:tcPr>
                  <w:tcW w:w="874" w:type="pct"/>
                  <w:tcBorders>
                    <w:tl2br w:val="nil"/>
                    <w:tr2bl w:val="nil"/>
                  </w:tcBorders>
                  <w:vAlign w:val="center"/>
                </w:tcPr>
                <w:p>
                  <w:pPr>
                    <w:pStyle w:val="38"/>
                    <w:jc w:val="center"/>
                    <w:rPr>
                      <w:color w:val="auto"/>
                    </w:rPr>
                  </w:pPr>
                  <w:r>
                    <w:rPr>
                      <w:rFonts w:hint="eastAsia"/>
                      <w:color w:val="auto"/>
                    </w:rPr>
                    <w:t>50吨/h</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10</w:t>
                  </w:r>
                </w:p>
              </w:tc>
              <w:tc>
                <w:tcPr>
                  <w:tcW w:w="2546" w:type="pct"/>
                  <w:tcBorders>
                    <w:tl2br w:val="nil"/>
                    <w:tr2bl w:val="nil"/>
                  </w:tcBorders>
                  <w:vAlign w:val="center"/>
                </w:tcPr>
                <w:p>
                  <w:pPr>
                    <w:pStyle w:val="38"/>
                    <w:jc w:val="center"/>
                    <w:rPr>
                      <w:color w:val="auto"/>
                    </w:rPr>
                  </w:pPr>
                  <w:r>
                    <w:rPr>
                      <w:rFonts w:hint="eastAsia"/>
                      <w:color w:val="auto"/>
                    </w:rPr>
                    <w:t>翻斗车</w:t>
                  </w:r>
                </w:p>
              </w:tc>
              <w:tc>
                <w:tcPr>
                  <w:tcW w:w="874" w:type="pct"/>
                  <w:tcBorders>
                    <w:tl2br w:val="nil"/>
                    <w:tr2bl w:val="nil"/>
                  </w:tcBorders>
                  <w:vAlign w:val="center"/>
                </w:tcPr>
                <w:p>
                  <w:pPr>
                    <w:pStyle w:val="38"/>
                    <w:jc w:val="center"/>
                    <w:rPr>
                      <w:color w:val="auto"/>
                    </w:rPr>
                  </w:pPr>
                  <w:r>
                    <w:rPr>
                      <w:rFonts w:hint="eastAsia"/>
                      <w:color w:val="auto"/>
                    </w:rPr>
                    <w:t>/</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11</w:t>
                  </w:r>
                </w:p>
              </w:tc>
              <w:tc>
                <w:tcPr>
                  <w:tcW w:w="2546" w:type="pct"/>
                  <w:tcBorders>
                    <w:tl2br w:val="nil"/>
                    <w:tr2bl w:val="nil"/>
                  </w:tcBorders>
                  <w:vAlign w:val="center"/>
                </w:tcPr>
                <w:p>
                  <w:pPr>
                    <w:pStyle w:val="38"/>
                    <w:jc w:val="center"/>
                    <w:rPr>
                      <w:color w:val="auto"/>
                    </w:rPr>
                  </w:pPr>
                  <w:r>
                    <w:rPr>
                      <w:rFonts w:hint="eastAsia"/>
                      <w:color w:val="auto"/>
                    </w:rPr>
                    <w:t>混凝土罐车</w:t>
                  </w:r>
                </w:p>
              </w:tc>
              <w:tc>
                <w:tcPr>
                  <w:tcW w:w="874" w:type="pct"/>
                  <w:tcBorders>
                    <w:tl2br w:val="nil"/>
                    <w:tr2bl w:val="nil"/>
                  </w:tcBorders>
                  <w:vAlign w:val="center"/>
                </w:tcPr>
                <w:p>
                  <w:pPr>
                    <w:pStyle w:val="38"/>
                    <w:jc w:val="center"/>
                    <w:rPr>
                      <w:color w:val="auto"/>
                    </w:rPr>
                  </w:pPr>
                  <w:r>
                    <w:rPr>
                      <w:rFonts w:hint="eastAsia"/>
                      <w:color w:val="auto"/>
                    </w:rPr>
                    <w:t>12m</w:t>
                  </w:r>
                  <w:r>
                    <w:rPr>
                      <w:rFonts w:hint="eastAsia"/>
                      <w:color w:val="auto"/>
                      <w:vertAlign w:val="superscript"/>
                    </w:rPr>
                    <w:t>3</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12</w:t>
                  </w:r>
                </w:p>
              </w:tc>
              <w:tc>
                <w:tcPr>
                  <w:tcW w:w="2546" w:type="pct"/>
                  <w:tcBorders>
                    <w:tl2br w:val="nil"/>
                    <w:tr2bl w:val="nil"/>
                  </w:tcBorders>
                  <w:vAlign w:val="center"/>
                </w:tcPr>
                <w:p>
                  <w:pPr>
                    <w:pStyle w:val="38"/>
                    <w:jc w:val="center"/>
                    <w:rPr>
                      <w:color w:val="auto"/>
                    </w:rPr>
                  </w:pPr>
                  <w:r>
                    <w:rPr>
                      <w:rFonts w:hint="eastAsia"/>
                      <w:color w:val="auto"/>
                    </w:rPr>
                    <w:t>混凝土输送拖式泵</w:t>
                  </w:r>
                </w:p>
              </w:tc>
              <w:tc>
                <w:tcPr>
                  <w:tcW w:w="874" w:type="pct"/>
                  <w:tcBorders>
                    <w:tl2br w:val="nil"/>
                    <w:tr2bl w:val="nil"/>
                  </w:tcBorders>
                  <w:vAlign w:val="center"/>
                </w:tcPr>
                <w:p>
                  <w:pPr>
                    <w:pStyle w:val="38"/>
                    <w:jc w:val="center"/>
                    <w:rPr>
                      <w:color w:val="auto"/>
                    </w:rPr>
                  </w:pPr>
                  <w:r>
                    <w:rPr>
                      <w:rFonts w:hint="eastAsia"/>
                      <w:color w:val="auto"/>
                    </w:rPr>
                    <w:t>60m</w:t>
                  </w:r>
                  <w:r>
                    <w:rPr>
                      <w:rFonts w:hint="eastAsia"/>
                      <w:color w:val="auto"/>
                      <w:vertAlign w:val="superscript"/>
                    </w:rPr>
                    <w:t>3</w:t>
                  </w:r>
                  <w:r>
                    <w:rPr>
                      <w:rFonts w:hint="eastAsia"/>
                      <w:color w:val="auto"/>
                    </w:rPr>
                    <w:t>/h</w:t>
                  </w:r>
                </w:p>
              </w:tc>
              <w:tc>
                <w:tcPr>
                  <w:tcW w:w="610" w:type="pct"/>
                  <w:tcBorders>
                    <w:tl2br w:val="nil"/>
                    <w:tr2bl w:val="nil"/>
                  </w:tcBorders>
                  <w:vAlign w:val="center"/>
                </w:tcPr>
                <w:p>
                  <w:pPr>
                    <w:pStyle w:val="38"/>
                    <w:jc w:val="center"/>
                    <w:rPr>
                      <w:color w:val="auto"/>
                    </w:rPr>
                  </w:pPr>
                </w:p>
              </w:tc>
              <w:tc>
                <w:tcPr>
                  <w:tcW w:w="602" w:type="pct"/>
                  <w:tcBorders>
                    <w:tl2br w:val="nil"/>
                    <w:tr2bl w:val="nil"/>
                  </w:tcBorders>
                  <w:vAlign w:val="center"/>
                </w:tcPr>
                <w:p>
                  <w:pPr>
                    <w:pStyle w:val="38"/>
                    <w:jc w:val="center"/>
                    <w:rPr>
                      <w:color w:val="auto"/>
                    </w:rPr>
                  </w:pPr>
                  <w:r>
                    <w:rPr>
                      <w:rFonts w:hint="eastAsia"/>
                      <w:color w:val="auto"/>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7" w:type="pct"/>
                  <w:gridSpan w:val="4"/>
                  <w:tcBorders>
                    <w:tl2br w:val="nil"/>
                    <w:tr2bl w:val="nil"/>
                  </w:tcBorders>
                  <w:vAlign w:val="center"/>
                </w:tcPr>
                <w:p>
                  <w:pPr>
                    <w:pStyle w:val="38"/>
                    <w:jc w:val="center"/>
                    <w:rPr>
                      <w:color w:val="auto"/>
                    </w:rPr>
                  </w:pPr>
                  <w:r>
                    <w:rPr>
                      <w:rFonts w:hint="eastAsia"/>
                      <w:color w:val="auto"/>
                    </w:rPr>
                    <w:t>预制构件生产线</w:t>
                  </w:r>
                </w:p>
              </w:tc>
              <w:tc>
                <w:tcPr>
                  <w:tcW w:w="602" w:type="pct"/>
                  <w:tcBorders>
                    <w:tl2br w:val="nil"/>
                    <w:tr2bl w:val="nil"/>
                  </w:tcBorders>
                  <w:vAlign w:val="center"/>
                </w:tcPr>
                <w:p>
                  <w:pPr>
                    <w:pStyle w:val="38"/>
                    <w:jc w:val="center"/>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1</w:t>
                  </w:r>
                </w:p>
              </w:tc>
              <w:tc>
                <w:tcPr>
                  <w:tcW w:w="2546" w:type="pct"/>
                  <w:tcBorders>
                    <w:tl2br w:val="nil"/>
                    <w:tr2bl w:val="nil"/>
                  </w:tcBorders>
                  <w:vAlign w:val="center"/>
                </w:tcPr>
                <w:p>
                  <w:pPr>
                    <w:pStyle w:val="38"/>
                    <w:jc w:val="center"/>
                    <w:rPr>
                      <w:color w:val="auto"/>
                    </w:rPr>
                  </w:pPr>
                  <w:r>
                    <w:rPr>
                      <w:rFonts w:hint="eastAsia"/>
                      <w:color w:val="auto"/>
                    </w:rPr>
                    <w:t>钢筋弯曲机</w:t>
                  </w:r>
                </w:p>
              </w:tc>
              <w:tc>
                <w:tcPr>
                  <w:tcW w:w="874" w:type="pct"/>
                  <w:tcBorders>
                    <w:tl2br w:val="nil"/>
                    <w:tr2bl w:val="nil"/>
                  </w:tcBorders>
                  <w:vAlign w:val="center"/>
                </w:tcPr>
                <w:p>
                  <w:pPr>
                    <w:pStyle w:val="38"/>
                    <w:jc w:val="center"/>
                    <w:rPr>
                      <w:color w:val="auto"/>
                    </w:rPr>
                  </w:pPr>
                  <w:r>
                    <w:rPr>
                      <w:color w:val="auto"/>
                    </w:rPr>
                    <w:t>GW40-1</w:t>
                  </w:r>
                </w:p>
              </w:tc>
              <w:tc>
                <w:tcPr>
                  <w:tcW w:w="610" w:type="pct"/>
                  <w:tcBorders>
                    <w:tl2br w:val="nil"/>
                    <w:tr2bl w:val="nil"/>
                  </w:tcBorders>
                  <w:vAlign w:val="center"/>
                </w:tcPr>
                <w:p>
                  <w:pPr>
                    <w:pStyle w:val="38"/>
                    <w:jc w:val="center"/>
                    <w:rPr>
                      <w:color w:val="auto"/>
                    </w:rPr>
                  </w:pPr>
                  <w:r>
                    <w:rPr>
                      <w:rFonts w:hint="eastAsia"/>
                      <w:color w:val="auto"/>
                    </w:rPr>
                    <w:t>台</w:t>
                  </w:r>
                </w:p>
              </w:tc>
              <w:tc>
                <w:tcPr>
                  <w:tcW w:w="602" w:type="pct"/>
                  <w:tcBorders>
                    <w:tl2br w:val="nil"/>
                    <w:tr2bl w:val="nil"/>
                  </w:tcBorders>
                  <w:vAlign w:val="center"/>
                </w:tcPr>
                <w:p>
                  <w:pPr>
                    <w:pStyle w:val="38"/>
                    <w:jc w:val="center"/>
                    <w:rPr>
                      <w:color w:val="auto"/>
                    </w:rPr>
                  </w:pPr>
                  <w:r>
                    <w:rPr>
                      <w:rFonts w:hint="eastAsia"/>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2</w:t>
                  </w:r>
                </w:p>
              </w:tc>
              <w:tc>
                <w:tcPr>
                  <w:tcW w:w="2546" w:type="pct"/>
                  <w:tcBorders>
                    <w:tl2br w:val="nil"/>
                    <w:tr2bl w:val="nil"/>
                  </w:tcBorders>
                  <w:vAlign w:val="center"/>
                </w:tcPr>
                <w:p>
                  <w:pPr>
                    <w:pStyle w:val="38"/>
                    <w:jc w:val="center"/>
                    <w:rPr>
                      <w:color w:val="auto"/>
                    </w:rPr>
                  </w:pPr>
                  <w:r>
                    <w:rPr>
                      <w:rFonts w:hint="eastAsia"/>
                      <w:color w:val="auto"/>
                    </w:rPr>
                    <w:t>起重机</w:t>
                  </w:r>
                </w:p>
              </w:tc>
              <w:tc>
                <w:tcPr>
                  <w:tcW w:w="874" w:type="pct"/>
                  <w:tcBorders>
                    <w:tl2br w:val="nil"/>
                    <w:tr2bl w:val="nil"/>
                  </w:tcBorders>
                  <w:vAlign w:val="center"/>
                </w:tcPr>
                <w:p>
                  <w:pPr>
                    <w:pStyle w:val="38"/>
                    <w:jc w:val="center"/>
                    <w:rPr>
                      <w:color w:val="auto"/>
                    </w:rPr>
                  </w:pPr>
                  <w:r>
                    <w:rPr>
                      <w:color w:val="auto"/>
                    </w:rPr>
                    <w:t>QD32/5T-22.5</w:t>
                  </w:r>
                </w:p>
              </w:tc>
              <w:tc>
                <w:tcPr>
                  <w:tcW w:w="610" w:type="pct"/>
                  <w:tcBorders>
                    <w:tl2br w:val="nil"/>
                    <w:tr2bl w:val="nil"/>
                  </w:tcBorders>
                  <w:vAlign w:val="center"/>
                </w:tcPr>
                <w:p>
                  <w:pPr>
                    <w:pStyle w:val="38"/>
                    <w:jc w:val="center"/>
                    <w:rPr>
                      <w:color w:val="auto"/>
                    </w:rPr>
                  </w:pPr>
                  <w:r>
                    <w:rPr>
                      <w:rFonts w:hint="eastAsia"/>
                      <w:color w:val="auto"/>
                    </w:rPr>
                    <w:t>台</w:t>
                  </w:r>
                </w:p>
              </w:tc>
              <w:tc>
                <w:tcPr>
                  <w:tcW w:w="602" w:type="pct"/>
                  <w:tcBorders>
                    <w:tl2br w:val="nil"/>
                    <w:tr2bl w:val="nil"/>
                  </w:tcBorders>
                  <w:vAlign w:val="center"/>
                </w:tcPr>
                <w:p>
                  <w:pPr>
                    <w:pStyle w:val="38"/>
                    <w:jc w:val="center"/>
                    <w:rPr>
                      <w:color w:val="auto"/>
                    </w:rPr>
                  </w:pPr>
                  <w:r>
                    <w:rPr>
                      <w:rFonts w:hint="eastAsia"/>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3</w:t>
                  </w:r>
                </w:p>
              </w:tc>
              <w:tc>
                <w:tcPr>
                  <w:tcW w:w="2546" w:type="pct"/>
                  <w:tcBorders>
                    <w:tl2br w:val="nil"/>
                    <w:tr2bl w:val="nil"/>
                  </w:tcBorders>
                  <w:vAlign w:val="center"/>
                </w:tcPr>
                <w:p>
                  <w:pPr>
                    <w:pStyle w:val="38"/>
                    <w:jc w:val="center"/>
                    <w:rPr>
                      <w:color w:val="auto"/>
                    </w:rPr>
                  </w:pPr>
                  <w:r>
                    <w:rPr>
                      <w:rFonts w:hint="eastAsia"/>
                      <w:color w:val="auto"/>
                    </w:rPr>
                    <w:t>卷扬机</w:t>
                  </w:r>
                </w:p>
              </w:tc>
              <w:tc>
                <w:tcPr>
                  <w:tcW w:w="874" w:type="pct"/>
                  <w:tcBorders>
                    <w:tl2br w:val="nil"/>
                    <w:tr2bl w:val="nil"/>
                  </w:tcBorders>
                  <w:vAlign w:val="center"/>
                </w:tcPr>
                <w:p>
                  <w:pPr>
                    <w:pStyle w:val="38"/>
                    <w:jc w:val="center"/>
                    <w:rPr>
                      <w:color w:val="auto"/>
                    </w:rPr>
                  </w:pPr>
                  <w:r>
                    <w:rPr>
                      <w:color w:val="auto"/>
                    </w:rPr>
                    <w:t>8T</w:t>
                  </w:r>
                </w:p>
              </w:tc>
              <w:tc>
                <w:tcPr>
                  <w:tcW w:w="610" w:type="pct"/>
                  <w:tcBorders>
                    <w:tl2br w:val="nil"/>
                    <w:tr2bl w:val="nil"/>
                  </w:tcBorders>
                  <w:vAlign w:val="center"/>
                </w:tcPr>
                <w:p>
                  <w:pPr>
                    <w:pStyle w:val="38"/>
                    <w:jc w:val="center"/>
                    <w:rPr>
                      <w:color w:val="auto"/>
                    </w:rPr>
                  </w:pPr>
                  <w:r>
                    <w:rPr>
                      <w:rFonts w:hint="eastAsia"/>
                      <w:color w:val="auto"/>
                    </w:rPr>
                    <w:t>台</w:t>
                  </w:r>
                </w:p>
              </w:tc>
              <w:tc>
                <w:tcPr>
                  <w:tcW w:w="602" w:type="pct"/>
                  <w:tcBorders>
                    <w:tl2br w:val="nil"/>
                    <w:tr2bl w:val="nil"/>
                  </w:tcBorders>
                  <w:vAlign w:val="center"/>
                </w:tcPr>
                <w:p>
                  <w:pPr>
                    <w:pStyle w:val="38"/>
                    <w:jc w:val="center"/>
                    <w:rPr>
                      <w:color w:val="auto"/>
                    </w:rPr>
                  </w:pPr>
                  <w:r>
                    <w:rPr>
                      <w:rFonts w:hint="eastAsia"/>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66" w:type="pct"/>
                  <w:tcBorders>
                    <w:tl2br w:val="nil"/>
                    <w:tr2bl w:val="nil"/>
                  </w:tcBorders>
                  <w:vAlign w:val="center"/>
                </w:tcPr>
                <w:p>
                  <w:pPr>
                    <w:pStyle w:val="38"/>
                    <w:jc w:val="center"/>
                    <w:rPr>
                      <w:color w:val="auto"/>
                    </w:rPr>
                  </w:pPr>
                  <w:r>
                    <w:rPr>
                      <w:rFonts w:hint="eastAsia"/>
                      <w:color w:val="auto"/>
                    </w:rPr>
                    <w:t>4</w:t>
                  </w:r>
                </w:p>
              </w:tc>
              <w:tc>
                <w:tcPr>
                  <w:tcW w:w="2546" w:type="pct"/>
                  <w:tcBorders>
                    <w:tl2br w:val="nil"/>
                    <w:tr2bl w:val="nil"/>
                  </w:tcBorders>
                  <w:vAlign w:val="center"/>
                </w:tcPr>
                <w:p>
                  <w:pPr>
                    <w:pStyle w:val="38"/>
                    <w:jc w:val="center"/>
                    <w:rPr>
                      <w:color w:val="auto"/>
                    </w:rPr>
                  </w:pPr>
                  <w:r>
                    <w:rPr>
                      <w:rFonts w:hint="eastAsia"/>
                      <w:color w:val="auto"/>
                    </w:rPr>
                    <w:t>钢筋切断机</w:t>
                  </w:r>
                </w:p>
              </w:tc>
              <w:tc>
                <w:tcPr>
                  <w:tcW w:w="874" w:type="pct"/>
                  <w:tcBorders>
                    <w:tl2br w:val="nil"/>
                    <w:tr2bl w:val="nil"/>
                  </w:tcBorders>
                  <w:vAlign w:val="center"/>
                </w:tcPr>
                <w:p>
                  <w:pPr>
                    <w:pStyle w:val="38"/>
                    <w:jc w:val="center"/>
                    <w:rPr>
                      <w:color w:val="auto"/>
                    </w:rPr>
                  </w:pPr>
                  <w:r>
                    <w:rPr>
                      <w:color w:val="auto"/>
                    </w:rPr>
                    <w:t>GQ40A</w:t>
                  </w:r>
                </w:p>
              </w:tc>
              <w:tc>
                <w:tcPr>
                  <w:tcW w:w="610" w:type="pct"/>
                  <w:tcBorders>
                    <w:tl2br w:val="nil"/>
                    <w:tr2bl w:val="nil"/>
                  </w:tcBorders>
                  <w:vAlign w:val="center"/>
                </w:tcPr>
                <w:p>
                  <w:pPr>
                    <w:pStyle w:val="38"/>
                    <w:jc w:val="center"/>
                    <w:rPr>
                      <w:color w:val="auto"/>
                    </w:rPr>
                  </w:pPr>
                  <w:r>
                    <w:rPr>
                      <w:rFonts w:hint="eastAsia"/>
                      <w:color w:val="auto"/>
                    </w:rPr>
                    <w:t>台</w:t>
                  </w:r>
                </w:p>
              </w:tc>
              <w:tc>
                <w:tcPr>
                  <w:tcW w:w="602" w:type="pct"/>
                  <w:tcBorders>
                    <w:tl2br w:val="nil"/>
                    <w:tr2bl w:val="nil"/>
                  </w:tcBorders>
                  <w:vAlign w:val="center"/>
                </w:tcPr>
                <w:p>
                  <w:pPr>
                    <w:pStyle w:val="38"/>
                    <w:jc w:val="center"/>
                    <w:rPr>
                      <w:color w:val="auto"/>
                    </w:rPr>
                  </w:pPr>
                  <w:r>
                    <w:rPr>
                      <w:rFonts w:hint="eastAsia"/>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5</w:t>
                  </w:r>
                </w:p>
              </w:tc>
              <w:tc>
                <w:tcPr>
                  <w:tcW w:w="2546" w:type="pct"/>
                  <w:tcBorders>
                    <w:tl2br w:val="nil"/>
                    <w:tr2bl w:val="nil"/>
                  </w:tcBorders>
                  <w:vAlign w:val="center"/>
                </w:tcPr>
                <w:p>
                  <w:pPr>
                    <w:pStyle w:val="38"/>
                    <w:jc w:val="center"/>
                    <w:rPr>
                      <w:color w:val="auto"/>
                    </w:rPr>
                  </w:pPr>
                  <w:r>
                    <w:rPr>
                      <w:rFonts w:hint="eastAsia"/>
                      <w:color w:val="auto"/>
                    </w:rPr>
                    <w:t>张拉机</w:t>
                  </w:r>
                </w:p>
              </w:tc>
              <w:tc>
                <w:tcPr>
                  <w:tcW w:w="874" w:type="pct"/>
                  <w:tcBorders>
                    <w:tl2br w:val="nil"/>
                    <w:tr2bl w:val="nil"/>
                  </w:tcBorders>
                  <w:vAlign w:val="center"/>
                </w:tcPr>
                <w:p>
                  <w:pPr>
                    <w:pStyle w:val="38"/>
                    <w:jc w:val="center"/>
                    <w:rPr>
                      <w:color w:val="auto"/>
                    </w:rPr>
                  </w:pPr>
                  <w:r>
                    <w:rPr>
                      <w:color w:val="auto"/>
                    </w:rPr>
                    <w:t>QY200</w:t>
                  </w:r>
                </w:p>
              </w:tc>
              <w:tc>
                <w:tcPr>
                  <w:tcW w:w="610" w:type="pct"/>
                  <w:tcBorders>
                    <w:tl2br w:val="nil"/>
                    <w:tr2bl w:val="nil"/>
                  </w:tcBorders>
                  <w:vAlign w:val="center"/>
                </w:tcPr>
                <w:p>
                  <w:pPr>
                    <w:pStyle w:val="38"/>
                    <w:jc w:val="center"/>
                    <w:rPr>
                      <w:color w:val="auto"/>
                    </w:rPr>
                  </w:pPr>
                  <w:r>
                    <w:rPr>
                      <w:rFonts w:hint="eastAsia"/>
                      <w:color w:val="auto"/>
                    </w:rPr>
                    <w:t>台</w:t>
                  </w:r>
                </w:p>
              </w:tc>
              <w:tc>
                <w:tcPr>
                  <w:tcW w:w="602" w:type="pct"/>
                  <w:tcBorders>
                    <w:tl2br w:val="nil"/>
                    <w:tr2bl w:val="nil"/>
                  </w:tcBorders>
                  <w:vAlign w:val="center"/>
                </w:tcPr>
                <w:p>
                  <w:pPr>
                    <w:pStyle w:val="38"/>
                    <w:jc w:val="center"/>
                    <w:rPr>
                      <w:color w:val="auto"/>
                    </w:rPr>
                  </w:pPr>
                  <w:r>
                    <w:rPr>
                      <w:rFonts w:hint="eastAsia"/>
                      <w:color w:val="auto"/>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 w:type="pct"/>
                  <w:tcBorders>
                    <w:tl2br w:val="nil"/>
                    <w:tr2bl w:val="nil"/>
                  </w:tcBorders>
                  <w:vAlign w:val="center"/>
                </w:tcPr>
                <w:p>
                  <w:pPr>
                    <w:pStyle w:val="38"/>
                    <w:jc w:val="center"/>
                    <w:rPr>
                      <w:color w:val="auto"/>
                    </w:rPr>
                  </w:pPr>
                  <w:r>
                    <w:rPr>
                      <w:rFonts w:hint="eastAsia"/>
                      <w:color w:val="auto"/>
                    </w:rPr>
                    <w:t>6</w:t>
                  </w:r>
                </w:p>
              </w:tc>
              <w:tc>
                <w:tcPr>
                  <w:tcW w:w="2546" w:type="pct"/>
                  <w:tcBorders>
                    <w:tl2br w:val="nil"/>
                    <w:tr2bl w:val="nil"/>
                  </w:tcBorders>
                  <w:vAlign w:val="center"/>
                </w:tcPr>
                <w:p>
                  <w:pPr>
                    <w:pStyle w:val="38"/>
                    <w:jc w:val="center"/>
                    <w:rPr>
                      <w:color w:val="auto"/>
                    </w:rPr>
                  </w:pPr>
                  <w:r>
                    <w:rPr>
                      <w:rFonts w:hint="eastAsia"/>
                      <w:color w:val="auto"/>
                    </w:rPr>
                    <w:t>电焊机</w:t>
                  </w:r>
                </w:p>
              </w:tc>
              <w:tc>
                <w:tcPr>
                  <w:tcW w:w="874" w:type="pct"/>
                  <w:tcBorders>
                    <w:tl2br w:val="nil"/>
                    <w:tr2bl w:val="nil"/>
                  </w:tcBorders>
                  <w:vAlign w:val="center"/>
                </w:tcPr>
                <w:p>
                  <w:pPr>
                    <w:pStyle w:val="38"/>
                    <w:jc w:val="center"/>
                    <w:rPr>
                      <w:color w:val="auto"/>
                    </w:rPr>
                  </w:pPr>
                  <w:r>
                    <w:rPr>
                      <w:color w:val="auto"/>
                    </w:rPr>
                    <w:t>315F-2</w:t>
                  </w:r>
                </w:p>
              </w:tc>
              <w:tc>
                <w:tcPr>
                  <w:tcW w:w="610" w:type="pct"/>
                  <w:tcBorders>
                    <w:tl2br w:val="nil"/>
                    <w:tr2bl w:val="nil"/>
                  </w:tcBorders>
                  <w:vAlign w:val="center"/>
                </w:tcPr>
                <w:p>
                  <w:pPr>
                    <w:pStyle w:val="38"/>
                    <w:jc w:val="center"/>
                    <w:rPr>
                      <w:color w:val="auto"/>
                    </w:rPr>
                  </w:pPr>
                  <w:r>
                    <w:rPr>
                      <w:rFonts w:hint="eastAsia"/>
                      <w:color w:val="auto"/>
                    </w:rPr>
                    <w:t>台</w:t>
                  </w:r>
                </w:p>
              </w:tc>
              <w:tc>
                <w:tcPr>
                  <w:tcW w:w="602" w:type="pct"/>
                  <w:tcBorders>
                    <w:tl2br w:val="nil"/>
                    <w:tr2bl w:val="nil"/>
                  </w:tcBorders>
                  <w:vAlign w:val="center"/>
                </w:tcPr>
                <w:p>
                  <w:pPr>
                    <w:pStyle w:val="38"/>
                    <w:jc w:val="center"/>
                    <w:rPr>
                      <w:color w:val="auto"/>
                    </w:rPr>
                  </w:pPr>
                  <w:r>
                    <w:rPr>
                      <w:rFonts w:hint="eastAsia"/>
                      <w:color w:val="auto"/>
                    </w:rPr>
                    <w:t>2</w:t>
                  </w:r>
                </w:p>
              </w:tc>
            </w:tr>
          </w:tbl>
          <w:p>
            <w:pPr>
              <w:numPr>
                <w:ilvl w:val="0"/>
                <w:numId w:val="4"/>
              </w:numPr>
              <w:adjustRightInd w:val="0"/>
              <w:snapToGrid w:val="0"/>
              <w:spacing w:line="480" w:lineRule="exact"/>
              <w:ind w:firstLine="482" w:firstLineChars="200"/>
              <w:rPr>
                <w:b/>
                <w:bCs/>
                <w:color w:val="auto"/>
                <w:sz w:val="24"/>
              </w:rPr>
            </w:pPr>
            <w:r>
              <w:rPr>
                <w:rFonts w:hint="eastAsia"/>
                <w:b/>
                <w:bCs/>
                <w:color w:val="auto"/>
                <w:sz w:val="24"/>
              </w:rPr>
              <w:t>主要</w:t>
            </w:r>
            <w:r>
              <w:rPr>
                <w:b/>
                <w:bCs/>
                <w:color w:val="auto"/>
                <w:sz w:val="24"/>
              </w:rPr>
              <w:t>原辅材料</w:t>
            </w:r>
            <w:r>
              <w:rPr>
                <w:rFonts w:hint="eastAsia"/>
                <w:b/>
                <w:bCs/>
                <w:color w:val="auto"/>
                <w:sz w:val="24"/>
              </w:rPr>
              <w:t>及用量</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表2-</w:t>
            </w:r>
            <w:r>
              <w:rPr>
                <w:rFonts w:hint="eastAsia" w:ascii="Times New Roman" w:hAnsi="Times New Roman" w:eastAsia="宋体" w:cs="Times New Roman"/>
                <w:b/>
                <w:color w:val="auto"/>
                <w:szCs w:val="21"/>
                <w:lang w:val="en-US" w:eastAsia="zh-CN"/>
              </w:rPr>
              <w:t>3</w:t>
            </w:r>
            <w:r>
              <w:rPr>
                <w:rFonts w:hint="eastAsia" w:ascii="Times New Roman" w:hAnsi="Times New Roman" w:eastAsia="宋体" w:cs="Times New Roman"/>
                <w:b/>
                <w:color w:val="auto"/>
                <w:szCs w:val="21"/>
              </w:rPr>
              <w:t xml:space="preserve">      主要原辅材料消耗一览表</w:t>
            </w:r>
          </w:p>
          <w:tbl>
            <w:tblPr>
              <w:tblStyle w:val="30"/>
              <w:tblW w:w="8164"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600"/>
              <w:gridCol w:w="1104"/>
              <w:gridCol w:w="1450"/>
              <w:gridCol w:w="2505"/>
              <w:gridCol w:w="250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600" w:type="dxa"/>
                  <w:vAlign w:val="center"/>
                </w:tcPr>
                <w:p>
                  <w:pPr>
                    <w:adjustRightInd w:val="0"/>
                    <w:snapToGrid w:val="0"/>
                    <w:jc w:val="center"/>
                    <w:rPr>
                      <w:bCs/>
                      <w:color w:val="auto"/>
                      <w:szCs w:val="21"/>
                    </w:rPr>
                  </w:pPr>
                  <w:r>
                    <w:rPr>
                      <w:rFonts w:hint="eastAsia"/>
                      <w:bCs/>
                      <w:color w:val="auto"/>
                      <w:szCs w:val="21"/>
                    </w:rPr>
                    <w:t>项目</w:t>
                  </w:r>
                </w:p>
              </w:tc>
              <w:tc>
                <w:tcPr>
                  <w:tcW w:w="1104" w:type="dxa"/>
                  <w:vAlign w:val="center"/>
                </w:tcPr>
                <w:p>
                  <w:pPr>
                    <w:adjustRightInd w:val="0"/>
                    <w:snapToGrid w:val="0"/>
                    <w:jc w:val="center"/>
                    <w:rPr>
                      <w:bCs/>
                      <w:color w:val="auto"/>
                      <w:szCs w:val="21"/>
                    </w:rPr>
                  </w:pPr>
                  <w:r>
                    <w:rPr>
                      <w:rFonts w:hint="eastAsia"/>
                      <w:bCs/>
                      <w:color w:val="auto"/>
                      <w:szCs w:val="21"/>
                      <w:lang w:val="zh-CN"/>
                    </w:rPr>
                    <w:t>原料名称</w:t>
                  </w:r>
                </w:p>
              </w:tc>
              <w:tc>
                <w:tcPr>
                  <w:tcW w:w="1450" w:type="dxa"/>
                  <w:vAlign w:val="center"/>
                </w:tcPr>
                <w:p>
                  <w:pPr>
                    <w:adjustRightInd w:val="0"/>
                    <w:snapToGrid w:val="0"/>
                    <w:jc w:val="center"/>
                    <w:rPr>
                      <w:bCs/>
                      <w:color w:val="auto"/>
                      <w:szCs w:val="21"/>
                    </w:rPr>
                  </w:pPr>
                  <w:r>
                    <w:rPr>
                      <w:rFonts w:hint="eastAsia"/>
                      <w:bCs/>
                      <w:color w:val="auto"/>
                      <w:szCs w:val="21"/>
                      <w:lang w:val="zh-CN"/>
                    </w:rPr>
                    <w:t>年用量</w:t>
                  </w:r>
                </w:p>
              </w:tc>
              <w:tc>
                <w:tcPr>
                  <w:tcW w:w="2505" w:type="dxa"/>
                  <w:vAlign w:val="center"/>
                </w:tcPr>
                <w:p>
                  <w:pPr>
                    <w:adjustRightInd w:val="0"/>
                    <w:snapToGrid w:val="0"/>
                    <w:jc w:val="center"/>
                    <w:rPr>
                      <w:bCs/>
                      <w:color w:val="auto"/>
                      <w:szCs w:val="21"/>
                    </w:rPr>
                  </w:pPr>
                  <w:r>
                    <w:rPr>
                      <w:rFonts w:hint="eastAsia"/>
                      <w:bCs/>
                      <w:color w:val="auto"/>
                      <w:szCs w:val="21"/>
                      <w:lang w:val="zh-CN"/>
                    </w:rPr>
                    <w:t>来源</w:t>
                  </w:r>
                </w:p>
              </w:tc>
              <w:tc>
                <w:tcPr>
                  <w:tcW w:w="2505" w:type="dxa"/>
                  <w:vAlign w:val="center"/>
                </w:tcPr>
                <w:p>
                  <w:pPr>
                    <w:adjustRightInd w:val="0"/>
                    <w:snapToGrid w:val="0"/>
                    <w:jc w:val="center"/>
                    <w:rPr>
                      <w:bCs/>
                      <w:color w:val="auto"/>
                      <w:szCs w:val="21"/>
                    </w:rPr>
                  </w:pPr>
                  <w:r>
                    <w:rPr>
                      <w:rFonts w:hint="eastAsia"/>
                      <w:bCs/>
                      <w:color w:val="auto"/>
                      <w:szCs w:val="21"/>
                      <w:lang w:val="zh-CN"/>
                    </w:rPr>
                    <w:t>贮存方式</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600" w:type="dxa"/>
                  <w:vMerge w:val="restart"/>
                  <w:vAlign w:val="center"/>
                </w:tcPr>
                <w:p>
                  <w:pPr>
                    <w:spacing w:line="276" w:lineRule="auto"/>
                    <w:jc w:val="center"/>
                    <w:rPr>
                      <w:bCs/>
                      <w:color w:val="auto"/>
                      <w:szCs w:val="21"/>
                    </w:rPr>
                  </w:pPr>
                  <w:r>
                    <w:rPr>
                      <w:rFonts w:hint="eastAsia"/>
                      <w:bCs/>
                      <w:color w:val="auto"/>
                      <w:szCs w:val="21"/>
                    </w:rPr>
                    <w:t>商品混凝土生产线</w:t>
                  </w:r>
                </w:p>
              </w:tc>
              <w:tc>
                <w:tcPr>
                  <w:tcW w:w="1104" w:type="dxa"/>
                  <w:vAlign w:val="center"/>
                </w:tcPr>
                <w:p>
                  <w:pPr>
                    <w:spacing w:line="276" w:lineRule="auto"/>
                    <w:jc w:val="center"/>
                    <w:rPr>
                      <w:bCs/>
                      <w:color w:val="auto"/>
                      <w:szCs w:val="21"/>
                    </w:rPr>
                  </w:pPr>
                  <w:r>
                    <w:rPr>
                      <w:rFonts w:hint="eastAsia"/>
                      <w:bCs/>
                      <w:color w:val="auto"/>
                      <w:szCs w:val="21"/>
                    </w:rPr>
                    <w:t>水泥</w:t>
                  </w:r>
                </w:p>
              </w:tc>
              <w:tc>
                <w:tcPr>
                  <w:tcW w:w="1450" w:type="dxa"/>
                  <w:vAlign w:val="center"/>
                </w:tcPr>
                <w:p>
                  <w:pPr>
                    <w:spacing w:line="276" w:lineRule="auto"/>
                    <w:jc w:val="center"/>
                    <w:rPr>
                      <w:bCs/>
                      <w:color w:val="auto"/>
                      <w:szCs w:val="21"/>
                    </w:rPr>
                  </w:pPr>
                  <w:r>
                    <w:rPr>
                      <w:rFonts w:hint="eastAsia"/>
                      <w:bCs/>
                      <w:color w:val="auto"/>
                      <w:szCs w:val="21"/>
                    </w:rPr>
                    <w:t>149040t</w:t>
                  </w:r>
                </w:p>
              </w:tc>
              <w:tc>
                <w:tcPr>
                  <w:tcW w:w="2505" w:type="dxa"/>
                  <w:vAlign w:val="center"/>
                </w:tcPr>
                <w:p>
                  <w:pPr>
                    <w:spacing w:line="276" w:lineRule="auto"/>
                    <w:jc w:val="center"/>
                    <w:rPr>
                      <w:bCs/>
                      <w:color w:val="auto"/>
                      <w:szCs w:val="21"/>
                    </w:rPr>
                  </w:pPr>
                  <w:r>
                    <w:rPr>
                      <w:rFonts w:hint="eastAsia"/>
                      <w:bCs/>
                      <w:color w:val="auto"/>
                      <w:szCs w:val="21"/>
                    </w:rPr>
                    <w:t>五五新镇玖虹水泥，乌苏上峰水泥</w:t>
                  </w:r>
                </w:p>
              </w:tc>
              <w:tc>
                <w:tcPr>
                  <w:tcW w:w="2505" w:type="dxa"/>
                  <w:vAlign w:val="center"/>
                </w:tcPr>
                <w:p>
                  <w:pPr>
                    <w:spacing w:line="276" w:lineRule="auto"/>
                    <w:jc w:val="center"/>
                    <w:rPr>
                      <w:bCs/>
                      <w:color w:val="auto"/>
                      <w:szCs w:val="21"/>
                    </w:rPr>
                  </w:pPr>
                  <w:r>
                    <w:rPr>
                      <w:color w:val="auto"/>
                      <w:szCs w:val="21"/>
                    </w:rPr>
                    <w:t>贮存于搅拌主机旁的水泥筒仓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00" w:type="dxa"/>
                  <w:vMerge w:val="continue"/>
                  <w:vAlign w:val="center"/>
                </w:tcPr>
                <w:p>
                  <w:pPr>
                    <w:spacing w:line="276" w:lineRule="auto"/>
                    <w:jc w:val="center"/>
                    <w:rPr>
                      <w:bCs/>
                      <w:color w:val="auto"/>
                      <w:szCs w:val="21"/>
                    </w:rPr>
                  </w:pPr>
                </w:p>
              </w:tc>
              <w:tc>
                <w:tcPr>
                  <w:tcW w:w="1104" w:type="dxa"/>
                  <w:vAlign w:val="center"/>
                </w:tcPr>
                <w:p>
                  <w:pPr>
                    <w:spacing w:line="276" w:lineRule="auto"/>
                    <w:jc w:val="center"/>
                    <w:rPr>
                      <w:bCs/>
                      <w:color w:val="auto"/>
                      <w:szCs w:val="21"/>
                    </w:rPr>
                  </w:pPr>
                  <w:r>
                    <w:rPr>
                      <w:rFonts w:hint="eastAsia"/>
                      <w:bCs/>
                      <w:color w:val="auto"/>
                      <w:szCs w:val="21"/>
                    </w:rPr>
                    <w:t>水洗砂</w:t>
                  </w:r>
                </w:p>
              </w:tc>
              <w:tc>
                <w:tcPr>
                  <w:tcW w:w="1450" w:type="dxa"/>
                  <w:vAlign w:val="center"/>
                </w:tcPr>
                <w:p>
                  <w:pPr>
                    <w:spacing w:line="276" w:lineRule="auto"/>
                    <w:jc w:val="center"/>
                    <w:rPr>
                      <w:bCs/>
                      <w:color w:val="auto"/>
                      <w:szCs w:val="21"/>
                    </w:rPr>
                  </w:pPr>
                  <w:r>
                    <w:rPr>
                      <w:rFonts w:hint="eastAsia"/>
                      <w:bCs/>
                      <w:color w:val="auto"/>
                      <w:szCs w:val="21"/>
                      <w:lang w:val="en-US" w:eastAsia="zh-CN"/>
                    </w:rPr>
                    <w:t>493920</w:t>
                  </w:r>
                  <w:r>
                    <w:rPr>
                      <w:rFonts w:hint="eastAsia"/>
                      <w:bCs/>
                      <w:color w:val="auto"/>
                      <w:szCs w:val="21"/>
                    </w:rPr>
                    <w:t>t</w:t>
                  </w:r>
                </w:p>
              </w:tc>
              <w:tc>
                <w:tcPr>
                  <w:tcW w:w="2505" w:type="dxa"/>
                  <w:vAlign w:val="center"/>
                </w:tcPr>
                <w:p>
                  <w:pPr>
                    <w:spacing w:line="276" w:lineRule="auto"/>
                    <w:jc w:val="center"/>
                    <w:rPr>
                      <w:bCs/>
                      <w:color w:val="auto"/>
                      <w:szCs w:val="21"/>
                    </w:rPr>
                  </w:pPr>
                  <w:r>
                    <w:rPr>
                      <w:rFonts w:hint="eastAsia"/>
                      <w:bCs/>
                      <w:color w:val="auto"/>
                      <w:szCs w:val="21"/>
                    </w:rPr>
                    <w:t>新疆立信混凝土有限公司</w:t>
                  </w:r>
                </w:p>
              </w:tc>
              <w:tc>
                <w:tcPr>
                  <w:tcW w:w="2505" w:type="dxa"/>
                  <w:vAlign w:val="center"/>
                </w:tcPr>
                <w:p>
                  <w:pPr>
                    <w:spacing w:line="276" w:lineRule="auto"/>
                    <w:jc w:val="center"/>
                    <w:rPr>
                      <w:bCs/>
                      <w:color w:val="auto"/>
                      <w:szCs w:val="21"/>
                    </w:rPr>
                  </w:pPr>
                  <w:r>
                    <w:rPr>
                      <w:color w:val="auto"/>
                      <w:szCs w:val="21"/>
                    </w:rPr>
                    <w:t>贮存于</w:t>
                  </w:r>
                  <w:r>
                    <w:rPr>
                      <w:rFonts w:hint="eastAsia"/>
                      <w:color w:val="auto"/>
                      <w:szCs w:val="21"/>
                    </w:rPr>
                    <w:t>半封闭</w:t>
                  </w:r>
                  <w:r>
                    <w:rPr>
                      <w:color w:val="auto"/>
                      <w:szCs w:val="21"/>
                    </w:rPr>
                    <w:t>原料仓库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600" w:type="dxa"/>
                  <w:vMerge w:val="continue"/>
                  <w:vAlign w:val="center"/>
                </w:tcPr>
                <w:p>
                  <w:pPr>
                    <w:spacing w:line="276" w:lineRule="auto"/>
                    <w:jc w:val="center"/>
                    <w:rPr>
                      <w:bCs/>
                      <w:color w:val="auto"/>
                      <w:szCs w:val="21"/>
                    </w:rPr>
                  </w:pPr>
                </w:p>
              </w:tc>
              <w:tc>
                <w:tcPr>
                  <w:tcW w:w="1104" w:type="dxa"/>
                  <w:vAlign w:val="center"/>
                </w:tcPr>
                <w:p>
                  <w:pPr>
                    <w:spacing w:line="276" w:lineRule="auto"/>
                    <w:jc w:val="center"/>
                    <w:rPr>
                      <w:bCs/>
                      <w:color w:val="auto"/>
                      <w:szCs w:val="21"/>
                    </w:rPr>
                  </w:pPr>
                  <w:r>
                    <w:rPr>
                      <w:rFonts w:hint="eastAsia"/>
                      <w:bCs/>
                      <w:color w:val="auto"/>
                      <w:szCs w:val="21"/>
                    </w:rPr>
                    <w:t>粉煤灰</w:t>
                  </w:r>
                </w:p>
              </w:tc>
              <w:tc>
                <w:tcPr>
                  <w:tcW w:w="1450" w:type="dxa"/>
                  <w:vAlign w:val="center"/>
                </w:tcPr>
                <w:p>
                  <w:pPr>
                    <w:spacing w:line="276" w:lineRule="auto"/>
                    <w:jc w:val="center"/>
                    <w:rPr>
                      <w:bCs/>
                      <w:color w:val="auto"/>
                      <w:szCs w:val="21"/>
                    </w:rPr>
                  </w:pPr>
                  <w:r>
                    <w:rPr>
                      <w:rFonts w:hint="eastAsia"/>
                      <w:bCs/>
                      <w:color w:val="auto"/>
                      <w:szCs w:val="21"/>
                    </w:rPr>
                    <w:t>52440t</w:t>
                  </w:r>
                </w:p>
              </w:tc>
              <w:tc>
                <w:tcPr>
                  <w:tcW w:w="2505" w:type="dxa"/>
                  <w:vAlign w:val="center"/>
                </w:tcPr>
                <w:p>
                  <w:pPr>
                    <w:spacing w:line="276" w:lineRule="auto"/>
                    <w:jc w:val="center"/>
                    <w:rPr>
                      <w:bCs/>
                      <w:color w:val="auto"/>
                      <w:szCs w:val="21"/>
                    </w:rPr>
                  </w:pPr>
                  <w:r>
                    <w:rPr>
                      <w:rFonts w:hint="eastAsia"/>
                      <w:bCs/>
                      <w:color w:val="auto"/>
                      <w:szCs w:val="21"/>
                    </w:rPr>
                    <w:t>乌苏中电，奎屯锦疆热电有限公司</w:t>
                  </w:r>
                </w:p>
              </w:tc>
              <w:tc>
                <w:tcPr>
                  <w:tcW w:w="2505" w:type="dxa"/>
                  <w:vAlign w:val="center"/>
                </w:tcPr>
                <w:p>
                  <w:pPr>
                    <w:spacing w:line="276" w:lineRule="auto"/>
                    <w:jc w:val="center"/>
                    <w:rPr>
                      <w:bCs/>
                      <w:color w:val="auto"/>
                      <w:szCs w:val="21"/>
                    </w:rPr>
                  </w:pPr>
                  <w:r>
                    <w:rPr>
                      <w:color w:val="auto"/>
                      <w:szCs w:val="21"/>
                    </w:rPr>
                    <w:t>贮存于搅拌主机旁的</w:t>
                  </w:r>
                  <w:r>
                    <w:rPr>
                      <w:rFonts w:hint="eastAsia"/>
                      <w:color w:val="auto"/>
                      <w:szCs w:val="21"/>
                    </w:rPr>
                    <w:t>粉煤灰</w:t>
                  </w:r>
                  <w:r>
                    <w:rPr>
                      <w:color w:val="auto"/>
                      <w:szCs w:val="21"/>
                    </w:rPr>
                    <w:t>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600" w:type="dxa"/>
                  <w:vMerge w:val="continue"/>
                  <w:vAlign w:val="center"/>
                </w:tcPr>
                <w:p>
                  <w:pPr>
                    <w:spacing w:line="276" w:lineRule="auto"/>
                    <w:jc w:val="center"/>
                    <w:rPr>
                      <w:bCs/>
                      <w:color w:val="auto"/>
                      <w:szCs w:val="21"/>
                    </w:rPr>
                  </w:pPr>
                </w:p>
              </w:tc>
              <w:tc>
                <w:tcPr>
                  <w:tcW w:w="1104" w:type="dxa"/>
                  <w:vAlign w:val="center"/>
                </w:tcPr>
                <w:p>
                  <w:pPr>
                    <w:spacing w:line="276" w:lineRule="auto"/>
                    <w:jc w:val="center"/>
                    <w:rPr>
                      <w:bCs/>
                      <w:color w:val="auto"/>
                      <w:szCs w:val="21"/>
                    </w:rPr>
                  </w:pPr>
                  <w:r>
                    <w:rPr>
                      <w:rFonts w:hint="eastAsia"/>
                      <w:bCs/>
                      <w:color w:val="auto"/>
                      <w:szCs w:val="21"/>
                    </w:rPr>
                    <w:t>石子</w:t>
                  </w:r>
                </w:p>
              </w:tc>
              <w:tc>
                <w:tcPr>
                  <w:tcW w:w="1450" w:type="dxa"/>
                  <w:vAlign w:val="center"/>
                </w:tcPr>
                <w:p>
                  <w:pPr>
                    <w:spacing w:line="276" w:lineRule="auto"/>
                    <w:jc w:val="center"/>
                    <w:rPr>
                      <w:bCs/>
                      <w:color w:val="auto"/>
                      <w:szCs w:val="21"/>
                    </w:rPr>
                  </w:pPr>
                  <w:r>
                    <w:rPr>
                      <w:rFonts w:hint="eastAsia"/>
                      <w:bCs/>
                      <w:color w:val="auto"/>
                      <w:szCs w:val="21"/>
                    </w:rPr>
                    <w:t>5</w:t>
                  </w:r>
                  <w:r>
                    <w:rPr>
                      <w:rFonts w:hint="eastAsia"/>
                      <w:bCs/>
                      <w:color w:val="auto"/>
                      <w:szCs w:val="21"/>
                      <w:lang w:val="en-US" w:eastAsia="zh-CN"/>
                    </w:rPr>
                    <w:t>57400</w:t>
                  </w:r>
                  <w:r>
                    <w:rPr>
                      <w:rFonts w:hint="eastAsia"/>
                      <w:bCs/>
                      <w:color w:val="auto"/>
                      <w:szCs w:val="21"/>
                    </w:rPr>
                    <w:t>t</w:t>
                  </w:r>
                </w:p>
              </w:tc>
              <w:tc>
                <w:tcPr>
                  <w:tcW w:w="2505" w:type="dxa"/>
                  <w:vAlign w:val="center"/>
                </w:tcPr>
                <w:p>
                  <w:pPr>
                    <w:spacing w:line="276" w:lineRule="auto"/>
                    <w:jc w:val="center"/>
                    <w:rPr>
                      <w:bCs/>
                      <w:color w:val="auto"/>
                      <w:szCs w:val="21"/>
                    </w:rPr>
                  </w:pPr>
                  <w:r>
                    <w:rPr>
                      <w:rFonts w:hint="eastAsia"/>
                      <w:bCs/>
                      <w:color w:val="auto"/>
                      <w:szCs w:val="21"/>
                    </w:rPr>
                    <w:t>新疆立信混凝土有限公司</w:t>
                  </w:r>
                </w:p>
              </w:tc>
              <w:tc>
                <w:tcPr>
                  <w:tcW w:w="2505" w:type="dxa"/>
                  <w:vAlign w:val="center"/>
                </w:tcPr>
                <w:p>
                  <w:pPr>
                    <w:spacing w:line="276" w:lineRule="auto"/>
                    <w:jc w:val="center"/>
                    <w:rPr>
                      <w:bCs/>
                      <w:color w:val="auto"/>
                      <w:szCs w:val="21"/>
                    </w:rPr>
                  </w:pPr>
                  <w:r>
                    <w:rPr>
                      <w:color w:val="auto"/>
                      <w:szCs w:val="21"/>
                    </w:rPr>
                    <w:t>贮存于</w:t>
                  </w:r>
                  <w:r>
                    <w:rPr>
                      <w:rFonts w:hint="eastAsia"/>
                      <w:color w:val="auto"/>
                      <w:szCs w:val="21"/>
                    </w:rPr>
                    <w:t>半</w:t>
                  </w:r>
                  <w:r>
                    <w:rPr>
                      <w:color w:val="auto"/>
                      <w:szCs w:val="21"/>
                    </w:rPr>
                    <w:t>封闭式原料仓库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600" w:type="dxa"/>
                  <w:vMerge w:val="continue"/>
                  <w:vAlign w:val="center"/>
                </w:tcPr>
                <w:p>
                  <w:pPr>
                    <w:spacing w:line="276" w:lineRule="auto"/>
                    <w:jc w:val="center"/>
                    <w:rPr>
                      <w:bCs/>
                      <w:color w:val="auto"/>
                      <w:szCs w:val="21"/>
                    </w:rPr>
                  </w:pPr>
                </w:p>
              </w:tc>
              <w:tc>
                <w:tcPr>
                  <w:tcW w:w="1104" w:type="dxa"/>
                  <w:vAlign w:val="center"/>
                </w:tcPr>
                <w:p>
                  <w:pPr>
                    <w:spacing w:line="276" w:lineRule="auto"/>
                    <w:jc w:val="center"/>
                    <w:rPr>
                      <w:bCs/>
                      <w:color w:val="auto"/>
                      <w:szCs w:val="21"/>
                    </w:rPr>
                  </w:pPr>
                  <w:r>
                    <w:rPr>
                      <w:rFonts w:hint="eastAsia"/>
                      <w:bCs/>
                      <w:color w:val="auto"/>
                      <w:szCs w:val="21"/>
                    </w:rPr>
                    <w:t>矿粉</w:t>
                  </w:r>
                </w:p>
              </w:tc>
              <w:tc>
                <w:tcPr>
                  <w:tcW w:w="1450" w:type="dxa"/>
                  <w:vAlign w:val="center"/>
                </w:tcPr>
                <w:p>
                  <w:pPr>
                    <w:spacing w:line="276" w:lineRule="auto"/>
                    <w:jc w:val="center"/>
                    <w:rPr>
                      <w:bCs/>
                      <w:color w:val="auto"/>
                      <w:szCs w:val="21"/>
                    </w:rPr>
                  </w:pPr>
                  <w:r>
                    <w:rPr>
                      <w:rFonts w:hint="eastAsia"/>
                      <w:bCs/>
                      <w:color w:val="auto"/>
                      <w:szCs w:val="21"/>
                    </w:rPr>
                    <w:t>16560t</w:t>
                  </w:r>
                </w:p>
              </w:tc>
              <w:tc>
                <w:tcPr>
                  <w:tcW w:w="2505" w:type="dxa"/>
                  <w:vAlign w:val="center"/>
                </w:tcPr>
                <w:p>
                  <w:pPr>
                    <w:spacing w:line="276" w:lineRule="auto"/>
                    <w:jc w:val="center"/>
                    <w:rPr>
                      <w:bCs/>
                      <w:color w:val="auto"/>
                      <w:szCs w:val="21"/>
                    </w:rPr>
                  </w:pPr>
                  <w:r>
                    <w:rPr>
                      <w:rFonts w:hint="eastAsia"/>
                      <w:bCs/>
                      <w:color w:val="auto"/>
                      <w:szCs w:val="21"/>
                    </w:rPr>
                    <w:t>奎屯购买</w:t>
                  </w:r>
                </w:p>
              </w:tc>
              <w:tc>
                <w:tcPr>
                  <w:tcW w:w="2505" w:type="dxa"/>
                  <w:vAlign w:val="center"/>
                </w:tcPr>
                <w:p>
                  <w:pPr>
                    <w:spacing w:line="276" w:lineRule="auto"/>
                    <w:jc w:val="center"/>
                    <w:rPr>
                      <w:color w:val="auto"/>
                      <w:szCs w:val="21"/>
                    </w:rPr>
                  </w:pPr>
                  <w:r>
                    <w:rPr>
                      <w:color w:val="auto"/>
                      <w:szCs w:val="21"/>
                    </w:rPr>
                    <w:t>贮存于搅拌主机旁的</w:t>
                  </w:r>
                  <w:r>
                    <w:rPr>
                      <w:rFonts w:hint="eastAsia"/>
                      <w:color w:val="auto"/>
                      <w:szCs w:val="21"/>
                    </w:rPr>
                    <w:t>粉煤灰</w:t>
                  </w:r>
                  <w:r>
                    <w:rPr>
                      <w:color w:val="auto"/>
                      <w:szCs w:val="21"/>
                    </w:rPr>
                    <w:t>仓</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600" w:type="dxa"/>
                  <w:vMerge w:val="continue"/>
                  <w:vAlign w:val="center"/>
                </w:tcPr>
                <w:p>
                  <w:pPr>
                    <w:spacing w:line="276" w:lineRule="auto"/>
                    <w:jc w:val="center"/>
                    <w:rPr>
                      <w:bCs/>
                      <w:color w:val="auto"/>
                      <w:szCs w:val="21"/>
                    </w:rPr>
                  </w:pPr>
                </w:p>
              </w:tc>
              <w:tc>
                <w:tcPr>
                  <w:tcW w:w="1104" w:type="dxa"/>
                  <w:vAlign w:val="center"/>
                </w:tcPr>
                <w:p>
                  <w:pPr>
                    <w:spacing w:line="276" w:lineRule="auto"/>
                    <w:jc w:val="center"/>
                    <w:rPr>
                      <w:bCs/>
                      <w:color w:val="auto"/>
                      <w:szCs w:val="21"/>
                    </w:rPr>
                  </w:pPr>
                  <w:r>
                    <w:rPr>
                      <w:rFonts w:hint="eastAsia"/>
                      <w:bCs/>
                      <w:color w:val="auto"/>
                      <w:szCs w:val="21"/>
                    </w:rPr>
                    <w:t>减水剂</w:t>
                  </w:r>
                </w:p>
              </w:tc>
              <w:tc>
                <w:tcPr>
                  <w:tcW w:w="1450" w:type="dxa"/>
                  <w:vAlign w:val="center"/>
                </w:tcPr>
                <w:p>
                  <w:pPr>
                    <w:spacing w:line="276" w:lineRule="auto"/>
                    <w:jc w:val="center"/>
                    <w:rPr>
                      <w:bCs/>
                      <w:color w:val="auto"/>
                      <w:szCs w:val="21"/>
                    </w:rPr>
                  </w:pPr>
                  <w:r>
                    <w:rPr>
                      <w:rFonts w:hint="eastAsia"/>
                      <w:bCs/>
                      <w:color w:val="auto"/>
                      <w:szCs w:val="21"/>
                    </w:rPr>
                    <w:t>4140t</w:t>
                  </w:r>
                </w:p>
              </w:tc>
              <w:tc>
                <w:tcPr>
                  <w:tcW w:w="2505" w:type="dxa"/>
                  <w:vAlign w:val="center"/>
                </w:tcPr>
                <w:p>
                  <w:pPr>
                    <w:spacing w:line="276" w:lineRule="auto"/>
                    <w:jc w:val="center"/>
                    <w:rPr>
                      <w:bCs/>
                      <w:color w:val="auto"/>
                      <w:szCs w:val="21"/>
                    </w:rPr>
                  </w:pPr>
                  <w:r>
                    <w:rPr>
                      <w:rFonts w:hint="eastAsia"/>
                      <w:bCs/>
                      <w:color w:val="auto"/>
                      <w:szCs w:val="21"/>
                    </w:rPr>
                    <w:t>市场外购</w:t>
                  </w:r>
                </w:p>
              </w:tc>
              <w:tc>
                <w:tcPr>
                  <w:tcW w:w="2505" w:type="dxa"/>
                  <w:vAlign w:val="center"/>
                </w:tcPr>
                <w:p>
                  <w:pPr>
                    <w:spacing w:line="276" w:lineRule="auto"/>
                    <w:jc w:val="center"/>
                    <w:rPr>
                      <w:bCs/>
                      <w:color w:val="auto"/>
                      <w:szCs w:val="21"/>
                    </w:rPr>
                  </w:pPr>
                  <w:r>
                    <w:rPr>
                      <w:rFonts w:hint="eastAsia"/>
                      <w:color w:val="auto"/>
                      <w:szCs w:val="21"/>
                    </w:rPr>
                    <w:t>罐</w:t>
                  </w:r>
                  <w:r>
                    <w:rPr>
                      <w:color w:val="auto"/>
                      <w:szCs w:val="21"/>
                    </w:rPr>
                    <w:t>装储存</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600" w:type="dxa"/>
                  <w:vMerge w:val="restart"/>
                  <w:vAlign w:val="center"/>
                </w:tcPr>
                <w:p>
                  <w:pPr>
                    <w:spacing w:line="276" w:lineRule="auto"/>
                    <w:jc w:val="center"/>
                    <w:rPr>
                      <w:bCs/>
                      <w:color w:val="auto"/>
                      <w:szCs w:val="21"/>
                    </w:rPr>
                  </w:pPr>
                  <w:r>
                    <w:rPr>
                      <w:rFonts w:hint="eastAsia"/>
                      <w:bCs/>
                      <w:color w:val="auto"/>
                      <w:szCs w:val="21"/>
                    </w:rPr>
                    <w:t>预制构件生产线</w:t>
                  </w:r>
                </w:p>
              </w:tc>
              <w:tc>
                <w:tcPr>
                  <w:tcW w:w="1104" w:type="dxa"/>
                  <w:vAlign w:val="center"/>
                </w:tcPr>
                <w:p>
                  <w:pPr>
                    <w:spacing w:line="276" w:lineRule="auto"/>
                    <w:jc w:val="center"/>
                    <w:rPr>
                      <w:bCs/>
                      <w:color w:val="auto"/>
                      <w:szCs w:val="21"/>
                    </w:rPr>
                  </w:pPr>
                  <w:r>
                    <w:rPr>
                      <w:rFonts w:hint="eastAsia"/>
                      <w:bCs/>
                      <w:color w:val="auto"/>
                      <w:szCs w:val="21"/>
                    </w:rPr>
                    <w:t>钢筋</w:t>
                  </w:r>
                </w:p>
              </w:tc>
              <w:tc>
                <w:tcPr>
                  <w:tcW w:w="1450" w:type="dxa"/>
                  <w:vAlign w:val="center"/>
                </w:tcPr>
                <w:p>
                  <w:pPr>
                    <w:spacing w:line="276" w:lineRule="auto"/>
                    <w:jc w:val="center"/>
                    <w:rPr>
                      <w:bCs/>
                      <w:color w:val="auto"/>
                      <w:szCs w:val="21"/>
                    </w:rPr>
                  </w:pPr>
                  <w:r>
                    <w:rPr>
                      <w:rFonts w:hint="eastAsia"/>
                      <w:bCs/>
                      <w:color w:val="auto"/>
                      <w:szCs w:val="21"/>
                    </w:rPr>
                    <w:t>28500t</w:t>
                  </w:r>
                </w:p>
              </w:tc>
              <w:tc>
                <w:tcPr>
                  <w:tcW w:w="2505" w:type="dxa"/>
                  <w:vAlign w:val="center"/>
                </w:tcPr>
                <w:p>
                  <w:pPr>
                    <w:spacing w:line="276" w:lineRule="auto"/>
                    <w:jc w:val="center"/>
                    <w:rPr>
                      <w:bCs/>
                      <w:color w:val="auto"/>
                      <w:szCs w:val="21"/>
                    </w:rPr>
                  </w:pPr>
                  <w:r>
                    <w:rPr>
                      <w:rFonts w:hint="eastAsia"/>
                      <w:bCs/>
                      <w:color w:val="auto"/>
                      <w:szCs w:val="21"/>
                    </w:rPr>
                    <w:t>市场外购</w:t>
                  </w:r>
                </w:p>
              </w:tc>
              <w:tc>
                <w:tcPr>
                  <w:tcW w:w="2505" w:type="dxa"/>
                  <w:vAlign w:val="center"/>
                </w:tcPr>
                <w:p>
                  <w:pPr>
                    <w:spacing w:line="276" w:lineRule="auto"/>
                    <w:jc w:val="center"/>
                    <w:rPr>
                      <w:color w:val="auto"/>
                      <w:szCs w:val="21"/>
                    </w:rPr>
                  </w:pPr>
                  <w:r>
                    <w:rPr>
                      <w:rFonts w:hint="eastAsia"/>
                      <w:color w:val="auto"/>
                      <w:szCs w:val="21"/>
                    </w:rPr>
                    <w:t>库棚内储存</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8" w:hRule="atLeast"/>
              </w:trPr>
              <w:tc>
                <w:tcPr>
                  <w:tcW w:w="600" w:type="dxa"/>
                  <w:vMerge w:val="continue"/>
                  <w:vAlign w:val="center"/>
                </w:tcPr>
                <w:p>
                  <w:pPr>
                    <w:spacing w:line="276" w:lineRule="auto"/>
                    <w:jc w:val="center"/>
                    <w:rPr>
                      <w:bCs/>
                      <w:color w:val="auto"/>
                      <w:szCs w:val="21"/>
                    </w:rPr>
                  </w:pPr>
                </w:p>
              </w:tc>
              <w:tc>
                <w:tcPr>
                  <w:tcW w:w="1104" w:type="dxa"/>
                  <w:vAlign w:val="center"/>
                </w:tcPr>
                <w:p>
                  <w:pPr>
                    <w:spacing w:line="276" w:lineRule="auto"/>
                    <w:jc w:val="center"/>
                    <w:rPr>
                      <w:bCs/>
                      <w:color w:val="auto"/>
                      <w:szCs w:val="21"/>
                    </w:rPr>
                  </w:pPr>
                  <w:r>
                    <w:rPr>
                      <w:rFonts w:hint="eastAsia"/>
                      <w:bCs/>
                      <w:color w:val="auto"/>
                      <w:szCs w:val="21"/>
                    </w:rPr>
                    <w:t>脱模剂</w:t>
                  </w:r>
                </w:p>
              </w:tc>
              <w:tc>
                <w:tcPr>
                  <w:tcW w:w="1450" w:type="dxa"/>
                  <w:vAlign w:val="center"/>
                </w:tcPr>
                <w:p>
                  <w:pPr>
                    <w:spacing w:line="276" w:lineRule="auto"/>
                    <w:jc w:val="center"/>
                    <w:rPr>
                      <w:bCs/>
                      <w:color w:val="auto"/>
                      <w:szCs w:val="21"/>
                    </w:rPr>
                  </w:pPr>
                  <w:r>
                    <w:rPr>
                      <w:rFonts w:hint="eastAsia"/>
                      <w:bCs/>
                      <w:color w:val="auto"/>
                      <w:szCs w:val="21"/>
                    </w:rPr>
                    <w:t>0.61t</w:t>
                  </w:r>
                </w:p>
              </w:tc>
              <w:tc>
                <w:tcPr>
                  <w:tcW w:w="2505" w:type="dxa"/>
                  <w:vAlign w:val="center"/>
                </w:tcPr>
                <w:p>
                  <w:pPr>
                    <w:spacing w:line="276" w:lineRule="auto"/>
                    <w:jc w:val="center"/>
                    <w:rPr>
                      <w:bCs/>
                      <w:color w:val="auto"/>
                      <w:szCs w:val="21"/>
                    </w:rPr>
                  </w:pPr>
                  <w:r>
                    <w:rPr>
                      <w:rFonts w:hint="eastAsia"/>
                      <w:bCs/>
                      <w:color w:val="auto"/>
                      <w:szCs w:val="21"/>
                    </w:rPr>
                    <w:t>奎屯购买</w:t>
                  </w:r>
                </w:p>
              </w:tc>
              <w:tc>
                <w:tcPr>
                  <w:tcW w:w="2505" w:type="dxa"/>
                  <w:vAlign w:val="center"/>
                </w:tcPr>
                <w:p>
                  <w:pPr>
                    <w:spacing w:line="276" w:lineRule="auto"/>
                    <w:jc w:val="center"/>
                    <w:rPr>
                      <w:color w:val="auto"/>
                      <w:szCs w:val="21"/>
                    </w:rPr>
                  </w:pPr>
                  <w:r>
                    <w:rPr>
                      <w:rFonts w:hint="eastAsia"/>
                      <w:color w:val="auto"/>
                      <w:szCs w:val="21"/>
                    </w:rPr>
                    <w:t>储罐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600" w:type="dxa"/>
                  <w:vMerge w:val="restart"/>
                  <w:vAlign w:val="center"/>
                </w:tcPr>
                <w:p>
                  <w:pPr>
                    <w:spacing w:line="276" w:lineRule="auto"/>
                    <w:jc w:val="center"/>
                    <w:rPr>
                      <w:bCs/>
                      <w:color w:val="auto"/>
                      <w:szCs w:val="21"/>
                    </w:rPr>
                  </w:pPr>
                  <w:r>
                    <w:rPr>
                      <w:rFonts w:hint="eastAsia"/>
                      <w:bCs/>
                      <w:color w:val="auto"/>
                      <w:szCs w:val="21"/>
                    </w:rPr>
                    <w:t>能源</w:t>
                  </w:r>
                </w:p>
              </w:tc>
              <w:tc>
                <w:tcPr>
                  <w:tcW w:w="1104" w:type="dxa"/>
                  <w:vAlign w:val="center"/>
                </w:tcPr>
                <w:p>
                  <w:pPr>
                    <w:spacing w:line="276" w:lineRule="auto"/>
                    <w:jc w:val="center"/>
                    <w:rPr>
                      <w:bCs/>
                      <w:color w:val="auto"/>
                      <w:szCs w:val="21"/>
                    </w:rPr>
                  </w:pPr>
                  <w:r>
                    <w:rPr>
                      <w:rFonts w:hint="eastAsia"/>
                      <w:bCs/>
                      <w:color w:val="auto"/>
                      <w:szCs w:val="21"/>
                    </w:rPr>
                    <w:t>水</w:t>
                  </w:r>
                </w:p>
              </w:tc>
              <w:tc>
                <w:tcPr>
                  <w:tcW w:w="1450" w:type="dxa"/>
                  <w:vAlign w:val="center"/>
                </w:tcPr>
                <w:p>
                  <w:pPr>
                    <w:spacing w:line="276" w:lineRule="auto"/>
                    <w:jc w:val="center"/>
                    <w:rPr>
                      <w:bCs/>
                      <w:color w:val="auto"/>
                      <w:szCs w:val="21"/>
                    </w:rPr>
                  </w:pPr>
                  <w:r>
                    <w:rPr>
                      <w:rFonts w:hint="eastAsia"/>
                      <w:color w:val="auto"/>
                      <w:szCs w:val="21"/>
                    </w:rPr>
                    <w:t>125476.6</w:t>
                  </w:r>
                  <w:r>
                    <w:rPr>
                      <w:rFonts w:hint="eastAsia"/>
                      <w:bCs/>
                      <w:color w:val="auto"/>
                      <w:szCs w:val="21"/>
                    </w:rPr>
                    <w:t>m</w:t>
                  </w:r>
                  <w:r>
                    <w:rPr>
                      <w:rFonts w:hint="eastAsia"/>
                      <w:bCs/>
                      <w:color w:val="auto"/>
                      <w:szCs w:val="21"/>
                      <w:vertAlign w:val="superscript"/>
                    </w:rPr>
                    <w:t>3</w:t>
                  </w:r>
                </w:p>
              </w:tc>
              <w:tc>
                <w:tcPr>
                  <w:tcW w:w="2505" w:type="dxa"/>
                </w:tcPr>
                <w:p>
                  <w:pPr>
                    <w:spacing w:line="276" w:lineRule="auto"/>
                    <w:jc w:val="center"/>
                    <w:rPr>
                      <w:bCs/>
                      <w:color w:val="auto"/>
                      <w:szCs w:val="21"/>
                    </w:rPr>
                  </w:pPr>
                  <w:r>
                    <w:rPr>
                      <w:rFonts w:hint="eastAsia"/>
                      <w:color w:val="auto"/>
                      <w:szCs w:val="21"/>
                    </w:rPr>
                    <w:t>前期从上级单位</w:t>
                  </w:r>
                  <w:r>
                    <w:rPr>
                      <w:rFonts w:hint="eastAsia" w:eastAsiaTheme="minorEastAsia"/>
                      <w:color w:val="auto"/>
                      <w:szCs w:val="21"/>
                    </w:rPr>
                    <w:t>奎屯广合商品混凝土有限责任公司拉运，运距约2km；后期待项目区市政供水管网敷设后由市政供水管网供水</w:t>
                  </w:r>
                </w:p>
              </w:tc>
              <w:tc>
                <w:tcPr>
                  <w:tcW w:w="2505" w:type="dxa"/>
                  <w:vAlign w:val="center"/>
                </w:tcPr>
                <w:p>
                  <w:pPr>
                    <w:spacing w:line="276" w:lineRule="auto"/>
                    <w:jc w:val="center"/>
                    <w:rPr>
                      <w:bCs/>
                      <w:color w:val="auto"/>
                      <w:szCs w:val="21"/>
                    </w:rPr>
                  </w:pPr>
                  <w:r>
                    <w:rPr>
                      <w:rFonts w:hint="eastAsia"/>
                      <w:bCs/>
                      <w:color w:val="auto"/>
                      <w:szCs w:val="21"/>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600" w:type="dxa"/>
                  <w:vMerge w:val="continue"/>
                  <w:vAlign w:val="center"/>
                </w:tcPr>
                <w:p>
                  <w:pPr>
                    <w:spacing w:line="276" w:lineRule="auto"/>
                    <w:jc w:val="center"/>
                    <w:rPr>
                      <w:bCs/>
                      <w:color w:val="auto"/>
                      <w:szCs w:val="21"/>
                    </w:rPr>
                  </w:pPr>
                </w:p>
              </w:tc>
              <w:tc>
                <w:tcPr>
                  <w:tcW w:w="1104" w:type="dxa"/>
                  <w:vAlign w:val="center"/>
                </w:tcPr>
                <w:p>
                  <w:pPr>
                    <w:spacing w:line="276" w:lineRule="auto"/>
                    <w:jc w:val="center"/>
                    <w:rPr>
                      <w:bCs/>
                      <w:color w:val="auto"/>
                      <w:szCs w:val="21"/>
                    </w:rPr>
                  </w:pPr>
                  <w:r>
                    <w:rPr>
                      <w:rFonts w:hint="eastAsia"/>
                      <w:bCs/>
                      <w:color w:val="auto"/>
                      <w:szCs w:val="21"/>
                    </w:rPr>
                    <w:t>电</w:t>
                  </w:r>
                </w:p>
              </w:tc>
              <w:tc>
                <w:tcPr>
                  <w:tcW w:w="1450" w:type="dxa"/>
                  <w:vAlign w:val="center"/>
                </w:tcPr>
                <w:p>
                  <w:pPr>
                    <w:spacing w:line="276" w:lineRule="auto"/>
                    <w:jc w:val="center"/>
                    <w:rPr>
                      <w:bCs/>
                      <w:color w:val="auto"/>
                      <w:szCs w:val="21"/>
                    </w:rPr>
                  </w:pPr>
                  <w:r>
                    <w:rPr>
                      <w:rFonts w:hint="eastAsia"/>
                      <w:bCs/>
                      <w:color w:val="auto"/>
                      <w:szCs w:val="21"/>
                    </w:rPr>
                    <w:t>100.8万kW.h</w:t>
                  </w:r>
                </w:p>
              </w:tc>
              <w:tc>
                <w:tcPr>
                  <w:tcW w:w="2505" w:type="dxa"/>
                </w:tcPr>
                <w:p>
                  <w:pPr>
                    <w:spacing w:line="276" w:lineRule="auto"/>
                    <w:jc w:val="center"/>
                    <w:rPr>
                      <w:bCs/>
                      <w:color w:val="auto"/>
                      <w:szCs w:val="21"/>
                    </w:rPr>
                  </w:pPr>
                  <w:r>
                    <w:rPr>
                      <w:rFonts w:hint="eastAsia"/>
                      <w:bCs/>
                      <w:color w:val="auto"/>
                      <w:szCs w:val="21"/>
                    </w:rPr>
                    <w:t>市政电网</w:t>
                  </w:r>
                </w:p>
              </w:tc>
              <w:tc>
                <w:tcPr>
                  <w:tcW w:w="2505" w:type="dxa"/>
                  <w:vAlign w:val="center"/>
                </w:tcPr>
                <w:p>
                  <w:pPr>
                    <w:spacing w:line="276" w:lineRule="auto"/>
                    <w:jc w:val="center"/>
                    <w:rPr>
                      <w:bCs/>
                      <w:color w:val="auto"/>
                      <w:szCs w:val="21"/>
                    </w:rPr>
                  </w:pPr>
                  <w:r>
                    <w:rPr>
                      <w:rFonts w:hint="eastAsia"/>
                      <w:bCs/>
                      <w:color w:val="auto"/>
                      <w:szCs w:val="21"/>
                    </w:rPr>
                    <w:t>/</w:t>
                  </w:r>
                </w:p>
              </w:tc>
            </w:tr>
          </w:tbl>
          <w:p>
            <w:pPr>
              <w:pStyle w:val="119"/>
              <w:spacing w:before="120" w:beforeLines="50"/>
              <w:ind w:firstLine="482"/>
              <w:rPr>
                <w:color w:val="auto"/>
              </w:rPr>
            </w:pPr>
            <w:r>
              <w:rPr>
                <w:b/>
                <w:bCs/>
                <w:color w:val="auto"/>
              </w:rPr>
              <w:t>（1）粉煤灰</w:t>
            </w:r>
          </w:p>
          <w:p>
            <w:pPr>
              <w:pStyle w:val="119"/>
              <w:ind w:firstLine="480"/>
              <w:rPr>
                <w:color w:val="auto"/>
              </w:rPr>
            </w:pPr>
            <w:r>
              <w:rPr>
                <w:color w:val="auto"/>
              </w:rPr>
              <w:t>本工程所需粉煤灰外购</w:t>
            </w:r>
            <w:r>
              <w:rPr>
                <w:rFonts w:hint="eastAsia"/>
                <w:color w:val="auto"/>
              </w:rPr>
              <w:t>自</w:t>
            </w:r>
            <w:r>
              <w:rPr>
                <w:color w:val="auto"/>
              </w:rPr>
              <w:t>奎屯周边热电厂，本项目使用量较少，产量完全可以满足本项目生产需要，由建设单位安排罐车运送至项目区内粉煤灰筒仓存储。</w:t>
            </w:r>
          </w:p>
          <w:p>
            <w:pPr>
              <w:pStyle w:val="119"/>
              <w:ind w:firstLine="480"/>
              <w:rPr>
                <w:color w:val="auto"/>
              </w:rPr>
            </w:pPr>
            <w:r>
              <w:rPr>
                <w:color w:val="auto"/>
              </w:rPr>
              <w:t>粉煤灰质量符合国家JC409-2001《硅酸盐建筑制品用粉煤灰》标准要求详见表2-4。</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表2-4  硅酸盐建筑制品用粉煤灰质量表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0"/>
              <w:gridCol w:w="3081"/>
              <w:gridCol w:w="2130"/>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jc w:val="center"/>
              </w:trPr>
              <w:tc>
                <w:tcPr>
                  <w:tcW w:w="2414" w:type="pct"/>
                  <w:gridSpan w:val="2"/>
                  <w:vMerge w:val="restart"/>
                  <w:tcBorders>
                    <w:tl2br w:val="nil"/>
                    <w:tr2bl w:val="nil"/>
                  </w:tcBorders>
                  <w:vAlign w:val="center"/>
                </w:tcPr>
                <w:p>
                  <w:pPr>
                    <w:jc w:val="center"/>
                    <w:rPr>
                      <w:bCs/>
                      <w:color w:val="auto"/>
                      <w:szCs w:val="21"/>
                    </w:rPr>
                  </w:pPr>
                  <w:bookmarkStart w:id="2" w:name="_Toc179712990"/>
                  <w:bookmarkStart w:id="3" w:name="_Toc179713145"/>
                  <w:bookmarkStart w:id="4" w:name="_Toc179712597"/>
                  <w:bookmarkStart w:id="5" w:name="_Toc184718856"/>
                  <w:r>
                    <w:rPr>
                      <w:bCs/>
                      <w:color w:val="auto"/>
                      <w:szCs w:val="21"/>
                    </w:rPr>
                    <w:t>指标名称</w:t>
                  </w:r>
                </w:p>
              </w:tc>
              <w:tc>
                <w:tcPr>
                  <w:tcW w:w="2585" w:type="pct"/>
                  <w:gridSpan w:val="2"/>
                  <w:tcBorders>
                    <w:tl2br w:val="nil"/>
                    <w:tr2bl w:val="nil"/>
                  </w:tcBorders>
                  <w:vAlign w:val="center"/>
                </w:tcPr>
                <w:p>
                  <w:pPr>
                    <w:jc w:val="center"/>
                    <w:rPr>
                      <w:bCs/>
                      <w:color w:val="auto"/>
                      <w:szCs w:val="21"/>
                    </w:rPr>
                  </w:pPr>
                  <w:r>
                    <w:rPr>
                      <w:bCs/>
                      <w:color w:val="auto"/>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jc w:val="center"/>
              </w:trPr>
              <w:tc>
                <w:tcPr>
                  <w:tcW w:w="2414" w:type="pct"/>
                  <w:gridSpan w:val="2"/>
                  <w:vMerge w:val="continue"/>
                  <w:tcBorders>
                    <w:tl2br w:val="nil"/>
                    <w:tr2bl w:val="nil"/>
                  </w:tcBorders>
                  <w:vAlign w:val="center"/>
                </w:tcPr>
                <w:p>
                  <w:pPr>
                    <w:jc w:val="center"/>
                    <w:rPr>
                      <w:bCs/>
                      <w:color w:val="auto"/>
                      <w:szCs w:val="21"/>
                    </w:rPr>
                  </w:pPr>
                </w:p>
              </w:tc>
              <w:tc>
                <w:tcPr>
                  <w:tcW w:w="1291" w:type="pct"/>
                  <w:tcBorders>
                    <w:tl2br w:val="nil"/>
                    <w:tr2bl w:val="nil"/>
                  </w:tcBorders>
                  <w:vAlign w:val="center"/>
                </w:tcPr>
                <w:p>
                  <w:pPr>
                    <w:jc w:val="center"/>
                    <w:rPr>
                      <w:bCs/>
                      <w:color w:val="auto"/>
                      <w:szCs w:val="21"/>
                    </w:rPr>
                  </w:pPr>
                  <w:r>
                    <w:rPr>
                      <w:bCs/>
                      <w:color w:val="auto"/>
                      <w:szCs w:val="21"/>
                    </w:rPr>
                    <w:t>Ⅰ</w:t>
                  </w:r>
                </w:p>
              </w:tc>
              <w:tc>
                <w:tcPr>
                  <w:tcW w:w="1294" w:type="pct"/>
                  <w:tcBorders>
                    <w:tl2br w:val="nil"/>
                    <w:tr2bl w:val="nil"/>
                  </w:tcBorders>
                  <w:vAlign w:val="center"/>
                </w:tcPr>
                <w:p>
                  <w:pPr>
                    <w:jc w:val="center"/>
                    <w:rPr>
                      <w:bCs/>
                      <w:color w:val="auto"/>
                      <w:szCs w:val="21"/>
                    </w:rPr>
                  </w:pPr>
                  <w:r>
                    <w:rPr>
                      <w:bCs/>
                      <w:color w:val="auto"/>
                      <w:szCs w:val="21"/>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jc w:val="center"/>
              </w:trPr>
              <w:tc>
                <w:tcPr>
                  <w:tcW w:w="546" w:type="pct"/>
                  <w:vMerge w:val="restart"/>
                  <w:tcBorders>
                    <w:tl2br w:val="nil"/>
                    <w:tr2bl w:val="nil"/>
                  </w:tcBorders>
                  <w:vAlign w:val="center"/>
                </w:tcPr>
                <w:p>
                  <w:pPr>
                    <w:jc w:val="center"/>
                    <w:rPr>
                      <w:bCs/>
                      <w:color w:val="auto"/>
                      <w:szCs w:val="21"/>
                    </w:rPr>
                  </w:pPr>
                  <w:r>
                    <w:rPr>
                      <w:bCs/>
                      <w:color w:val="auto"/>
                      <w:szCs w:val="21"/>
                    </w:rPr>
                    <w:t>细度</w:t>
                  </w:r>
                </w:p>
              </w:tc>
              <w:tc>
                <w:tcPr>
                  <w:tcW w:w="1868" w:type="pct"/>
                  <w:tcBorders>
                    <w:tl2br w:val="nil"/>
                    <w:tr2bl w:val="nil"/>
                  </w:tcBorders>
                  <w:vAlign w:val="center"/>
                </w:tcPr>
                <w:p>
                  <w:pPr>
                    <w:jc w:val="center"/>
                    <w:rPr>
                      <w:bCs/>
                      <w:color w:val="auto"/>
                      <w:szCs w:val="21"/>
                    </w:rPr>
                  </w:pPr>
                  <w:r>
                    <w:rPr>
                      <w:bCs/>
                      <w:color w:val="auto"/>
                      <w:szCs w:val="21"/>
                    </w:rPr>
                    <w:t>（0.045mm方孔筛筛余量）</w:t>
                  </w:r>
                </w:p>
              </w:tc>
              <w:tc>
                <w:tcPr>
                  <w:tcW w:w="1291" w:type="pct"/>
                  <w:tcBorders>
                    <w:tl2br w:val="nil"/>
                    <w:tr2bl w:val="nil"/>
                  </w:tcBorders>
                  <w:vAlign w:val="center"/>
                </w:tcPr>
                <w:p>
                  <w:pPr>
                    <w:jc w:val="center"/>
                    <w:rPr>
                      <w:bCs/>
                      <w:color w:val="auto"/>
                      <w:szCs w:val="21"/>
                    </w:rPr>
                  </w:pPr>
                  <w:r>
                    <w:rPr>
                      <w:bCs/>
                      <w:color w:val="auto"/>
                      <w:szCs w:val="21"/>
                    </w:rPr>
                    <w:t>≤30</w:t>
                  </w:r>
                </w:p>
              </w:tc>
              <w:tc>
                <w:tcPr>
                  <w:tcW w:w="1294" w:type="pct"/>
                  <w:tcBorders>
                    <w:tl2br w:val="nil"/>
                    <w:tr2bl w:val="nil"/>
                  </w:tcBorders>
                  <w:vAlign w:val="center"/>
                </w:tcPr>
                <w:p>
                  <w:pPr>
                    <w:jc w:val="center"/>
                    <w:rPr>
                      <w:bCs/>
                      <w:color w:val="auto"/>
                      <w:szCs w:val="21"/>
                    </w:rPr>
                  </w:pPr>
                  <w:r>
                    <w:rPr>
                      <w:bCs/>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jc w:val="center"/>
              </w:trPr>
              <w:tc>
                <w:tcPr>
                  <w:tcW w:w="546" w:type="pct"/>
                  <w:vMerge w:val="continue"/>
                  <w:tcBorders>
                    <w:tl2br w:val="nil"/>
                    <w:tr2bl w:val="nil"/>
                  </w:tcBorders>
                  <w:vAlign w:val="center"/>
                </w:tcPr>
                <w:p>
                  <w:pPr>
                    <w:jc w:val="center"/>
                    <w:rPr>
                      <w:bCs/>
                      <w:color w:val="auto"/>
                      <w:szCs w:val="21"/>
                    </w:rPr>
                  </w:pPr>
                </w:p>
              </w:tc>
              <w:tc>
                <w:tcPr>
                  <w:tcW w:w="1868" w:type="pct"/>
                  <w:tcBorders>
                    <w:tl2br w:val="nil"/>
                    <w:tr2bl w:val="nil"/>
                  </w:tcBorders>
                  <w:vAlign w:val="center"/>
                </w:tcPr>
                <w:p>
                  <w:pPr>
                    <w:jc w:val="center"/>
                    <w:rPr>
                      <w:bCs/>
                      <w:color w:val="auto"/>
                      <w:szCs w:val="21"/>
                    </w:rPr>
                  </w:pPr>
                  <w:r>
                    <w:rPr>
                      <w:bCs/>
                      <w:color w:val="auto"/>
                      <w:szCs w:val="21"/>
                    </w:rPr>
                    <w:t>（0.080mm方孔筛筛余量）</w:t>
                  </w:r>
                </w:p>
              </w:tc>
              <w:tc>
                <w:tcPr>
                  <w:tcW w:w="1291" w:type="pct"/>
                  <w:tcBorders>
                    <w:tl2br w:val="nil"/>
                    <w:tr2bl w:val="nil"/>
                  </w:tcBorders>
                  <w:vAlign w:val="center"/>
                </w:tcPr>
                <w:p>
                  <w:pPr>
                    <w:jc w:val="center"/>
                    <w:rPr>
                      <w:bCs/>
                      <w:color w:val="auto"/>
                      <w:szCs w:val="21"/>
                    </w:rPr>
                  </w:pPr>
                  <w:r>
                    <w:rPr>
                      <w:bCs/>
                      <w:color w:val="auto"/>
                      <w:szCs w:val="21"/>
                    </w:rPr>
                    <w:t>≤15</w:t>
                  </w:r>
                </w:p>
              </w:tc>
              <w:tc>
                <w:tcPr>
                  <w:tcW w:w="1294" w:type="pct"/>
                  <w:tcBorders>
                    <w:tl2br w:val="nil"/>
                    <w:tr2bl w:val="nil"/>
                  </w:tcBorders>
                  <w:vAlign w:val="center"/>
                </w:tcPr>
                <w:p>
                  <w:pPr>
                    <w:jc w:val="center"/>
                    <w:rPr>
                      <w:bCs/>
                      <w:color w:val="auto"/>
                      <w:szCs w:val="21"/>
                    </w:rPr>
                  </w:pPr>
                  <w:r>
                    <w:rPr>
                      <w:bCs/>
                      <w:color w:val="auto"/>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2414" w:type="pct"/>
                  <w:gridSpan w:val="2"/>
                  <w:tcBorders>
                    <w:tl2br w:val="nil"/>
                    <w:tr2bl w:val="nil"/>
                  </w:tcBorders>
                  <w:vAlign w:val="center"/>
                </w:tcPr>
                <w:p>
                  <w:pPr>
                    <w:jc w:val="center"/>
                    <w:rPr>
                      <w:bCs/>
                      <w:color w:val="auto"/>
                      <w:szCs w:val="21"/>
                    </w:rPr>
                  </w:pPr>
                  <w:r>
                    <w:rPr>
                      <w:bCs/>
                      <w:color w:val="auto"/>
                      <w:szCs w:val="21"/>
                    </w:rPr>
                    <w:t>烧失量</w:t>
                  </w:r>
                </w:p>
              </w:tc>
              <w:tc>
                <w:tcPr>
                  <w:tcW w:w="1291" w:type="pct"/>
                  <w:tcBorders>
                    <w:tl2br w:val="nil"/>
                    <w:tr2bl w:val="nil"/>
                  </w:tcBorders>
                  <w:vAlign w:val="center"/>
                </w:tcPr>
                <w:p>
                  <w:pPr>
                    <w:jc w:val="center"/>
                    <w:rPr>
                      <w:bCs/>
                      <w:color w:val="auto"/>
                      <w:szCs w:val="21"/>
                    </w:rPr>
                  </w:pPr>
                  <w:r>
                    <w:rPr>
                      <w:bCs/>
                      <w:color w:val="auto"/>
                      <w:szCs w:val="21"/>
                    </w:rPr>
                    <w:t>≤5.0</w:t>
                  </w:r>
                </w:p>
              </w:tc>
              <w:tc>
                <w:tcPr>
                  <w:tcW w:w="1294" w:type="pct"/>
                  <w:tcBorders>
                    <w:tl2br w:val="nil"/>
                    <w:tr2bl w:val="nil"/>
                  </w:tcBorders>
                  <w:vAlign w:val="center"/>
                </w:tcPr>
                <w:p>
                  <w:pPr>
                    <w:jc w:val="center"/>
                    <w:rPr>
                      <w:bCs/>
                      <w:color w:val="auto"/>
                      <w:szCs w:val="21"/>
                    </w:rPr>
                  </w:pPr>
                  <w:r>
                    <w:rPr>
                      <w:bCs/>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2414" w:type="pct"/>
                  <w:gridSpan w:val="2"/>
                  <w:tcBorders>
                    <w:tl2br w:val="nil"/>
                    <w:tr2bl w:val="nil"/>
                  </w:tcBorders>
                  <w:vAlign w:val="center"/>
                </w:tcPr>
                <w:p>
                  <w:pPr>
                    <w:jc w:val="center"/>
                    <w:rPr>
                      <w:bCs/>
                      <w:color w:val="auto"/>
                      <w:szCs w:val="21"/>
                    </w:rPr>
                  </w:pPr>
                  <w:r>
                    <w:rPr>
                      <w:bCs/>
                      <w:color w:val="auto"/>
                      <w:szCs w:val="21"/>
                    </w:rPr>
                    <w:t>SiO</w:t>
                  </w:r>
                  <w:r>
                    <w:rPr>
                      <w:bCs/>
                      <w:color w:val="auto"/>
                      <w:szCs w:val="21"/>
                      <w:vertAlign w:val="subscript"/>
                    </w:rPr>
                    <w:t>2</w:t>
                  </w:r>
                </w:p>
              </w:tc>
              <w:tc>
                <w:tcPr>
                  <w:tcW w:w="1291" w:type="pct"/>
                  <w:tcBorders>
                    <w:tl2br w:val="nil"/>
                    <w:tr2bl w:val="nil"/>
                  </w:tcBorders>
                  <w:vAlign w:val="center"/>
                </w:tcPr>
                <w:p>
                  <w:pPr>
                    <w:jc w:val="center"/>
                    <w:rPr>
                      <w:bCs/>
                      <w:color w:val="auto"/>
                      <w:szCs w:val="21"/>
                    </w:rPr>
                  </w:pPr>
                  <w:r>
                    <w:rPr>
                      <w:bCs/>
                      <w:color w:val="auto"/>
                      <w:szCs w:val="21"/>
                    </w:rPr>
                    <w:t>≥45</w:t>
                  </w:r>
                </w:p>
              </w:tc>
              <w:tc>
                <w:tcPr>
                  <w:tcW w:w="1294" w:type="pct"/>
                  <w:tcBorders>
                    <w:tl2br w:val="nil"/>
                    <w:tr2bl w:val="nil"/>
                  </w:tcBorders>
                  <w:vAlign w:val="center"/>
                </w:tcPr>
                <w:p>
                  <w:pPr>
                    <w:jc w:val="center"/>
                    <w:rPr>
                      <w:bCs/>
                      <w:color w:val="auto"/>
                      <w:szCs w:val="21"/>
                    </w:rPr>
                  </w:pPr>
                  <w:r>
                    <w:rPr>
                      <w:bCs/>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2414" w:type="pct"/>
                  <w:gridSpan w:val="2"/>
                  <w:tcBorders>
                    <w:tl2br w:val="nil"/>
                    <w:tr2bl w:val="nil"/>
                  </w:tcBorders>
                  <w:vAlign w:val="center"/>
                </w:tcPr>
                <w:p>
                  <w:pPr>
                    <w:jc w:val="center"/>
                    <w:rPr>
                      <w:bCs/>
                      <w:color w:val="auto"/>
                      <w:szCs w:val="21"/>
                    </w:rPr>
                  </w:pPr>
                  <w:r>
                    <w:rPr>
                      <w:bCs/>
                      <w:color w:val="auto"/>
                      <w:szCs w:val="21"/>
                    </w:rPr>
                    <w:t>SO</w:t>
                  </w:r>
                  <w:r>
                    <w:rPr>
                      <w:bCs/>
                      <w:color w:val="auto"/>
                      <w:szCs w:val="21"/>
                      <w:vertAlign w:val="subscript"/>
                    </w:rPr>
                    <w:t>3</w:t>
                  </w:r>
                </w:p>
              </w:tc>
              <w:tc>
                <w:tcPr>
                  <w:tcW w:w="1291" w:type="pct"/>
                  <w:tcBorders>
                    <w:tl2br w:val="nil"/>
                    <w:tr2bl w:val="nil"/>
                  </w:tcBorders>
                  <w:vAlign w:val="center"/>
                </w:tcPr>
                <w:p>
                  <w:pPr>
                    <w:jc w:val="center"/>
                    <w:rPr>
                      <w:bCs/>
                      <w:color w:val="auto"/>
                      <w:szCs w:val="21"/>
                    </w:rPr>
                  </w:pPr>
                  <w:r>
                    <w:rPr>
                      <w:bCs/>
                      <w:color w:val="auto"/>
                      <w:szCs w:val="21"/>
                    </w:rPr>
                    <w:t>≤1.0</w:t>
                  </w:r>
                </w:p>
              </w:tc>
              <w:tc>
                <w:tcPr>
                  <w:tcW w:w="1294" w:type="pct"/>
                  <w:tcBorders>
                    <w:tl2br w:val="nil"/>
                    <w:tr2bl w:val="nil"/>
                  </w:tcBorders>
                  <w:vAlign w:val="center"/>
                </w:tcPr>
                <w:p>
                  <w:pPr>
                    <w:jc w:val="center"/>
                    <w:rPr>
                      <w:bCs/>
                      <w:color w:val="auto"/>
                      <w:szCs w:val="21"/>
                    </w:rPr>
                  </w:pPr>
                  <w:r>
                    <w:rPr>
                      <w:bCs/>
                      <w:color w:val="auto"/>
                      <w:szCs w:val="21"/>
                    </w:rPr>
                    <w:t>≤2.0</w:t>
                  </w:r>
                </w:p>
              </w:tc>
            </w:tr>
            <w:bookmarkEnd w:id="2"/>
            <w:bookmarkEnd w:id="3"/>
            <w:bookmarkEnd w:id="4"/>
            <w:bookmarkEnd w:id="5"/>
          </w:tbl>
          <w:p>
            <w:pPr>
              <w:pStyle w:val="119"/>
              <w:spacing w:line="520" w:lineRule="exact"/>
              <w:ind w:firstLine="482"/>
              <w:rPr>
                <w:color w:val="auto"/>
              </w:rPr>
            </w:pPr>
            <w:r>
              <w:rPr>
                <w:b/>
                <w:bCs/>
                <w:color w:val="auto"/>
              </w:rPr>
              <w:t>（2）减水剂</w:t>
            </w:r>
          </w:p>
          <w:p>
            <w:pPr>
              <w:widowControl/>
              <w:spacing w:line="520" w:lineRule="exact"/>
              <w:ind w:firstLine="480" w:firstLineChars="200"/>
              <w:jc w:val="left"/>
              <w:rPr>
                <w:color w:val="auto"/>
                <w:sz w:val="24"/>
              </w:rPr>
            </w:pPr>
            <w:bookmarkStart w:id="6" w:name="_Toc179712598"/>
            <w:bookmarkStart w:id="7" w:name="_Toc179712991"/>
            <w:bookmarkStart w:id="8" w:name="_Toc179713146"/>
            <w:bookmarkStart w:id="9" w:name="_Toc184718857"/>
            <w:r>
              <w:rPr>
                <w:rFonts w:hint="eastAsia"/>
                <w:color w:val="auto"/>
                <w:sz w:val="24"/>
              </w:rPr>
              <w:t>本项目外加剂主要为减水剂，它是一种减水率高，缓凝和引气作用极小的混凝土外加剂。以磷酸基为主要官能团的高效减水剂包括：改性木质素磺酸盐系（</w:t>
            </w:r>
            <w:r>
              <w:rPr>
                <w:color w:val="auto"/>
                <w:sz w:val="24"/>
              </w:rPr>
              <w:t>MLS</w:t>
            </w:r>
            <w:r>
              <w:rPr>
                <w:rFonts w:hint="eastAsia"/>
                <w:color w:val="auto"/>
                <w:sz w:val="24"/>
              </w:rPr>
              <w:t>）、萘系（</w:t>
            </w:r>
            <w:r>
              <w:rPr>
                <w:color w:val="auto"/>
                <w:sz w:val="24"/>
              </w:rPr>
              <w:t>NSF</w:t>
            </w:r>
            <w:r>
              <w:rPr>
                <w:rFonts w:hint="eastAsia"/>
                <w:color w:val="auto"/>
                <w:sz w:val="24"/>
              </w:rPr>
              <w:t>）、三聚氰胺系（</w:t>
            </w:r>
            <w:r>
              <w:rPr>
                <w:color w:val="auto"/>
                <w:sz w:val="24"/>
              </w:rPr>
              <w:t>MSF</w:t>
            </w:r>
            <w:r>
              <w:rPr>
                <w:rFonts w:hint="eastAsia"/>
                <w:color w:val="auto"/>
                <w:sz w:val="24"/>
              </w:rPr>
              <w:t>）、氨基磺酸系（</w:t>
            </w:r>
            <w:r>
              <w:rPr>
                <w:color w:val="auto"/>
                <w:sz w:val="24"/>
              </w:rPr>
              <w:t>ASF</w:t>
            </w:r>
            <w:r>
              <w:rPr>
                <w:rFonts w:hint="eastAsia"/>
                <w:color w:val="auto"/>
                <w:sz w:val="24"/>
              </w:rPr>
              <w:t>）等。他们分子结构单元中都含有磺酸基，最佳的分子结构一般为线型的主链，并同时有多个长支链，主要通过缩合反应得到。混凝土减水剂对混凝土的作用主要只是表面活性作用。减水剂本身并不与水泥产生化学反应。</w:t>
            </w:r>
          </w:p>
          <w:p>
            <w:pPr>
              <w:pStyle w:val="119"/>
              <w:spacing w:line="520" w:lineRule="exact"/>
              <w:ind w:firstLine="482"/>
              <w:rPr>
                <w:color w:val="auto"/>
              </w:rPr>
            </w:pPr>
            <w:r>
              <w:rPr>
                <w:b/>
                <w:bCs/>
                <w:color w:val="auto"/>
              </w:rPr>
              <w:t>（3）矿粉</w:t>
            </w:r>
          </w:p>
          <w:p>
            <w:pPr>
              <w:pStyle w:val="119"/>
              <w:spacing w:line="520" w:lineRule="exact"/>
              <w:ind w:firstLine="480"/>
              <w:rPr>
                <w:color w:val="auto"/>
              </w:rPr>
            </w:pPr>
            <w:r>
              <w:rPr>
                <w:color w:val="auto"/>
              </w:rPr>
              <w:t>矿粉是由高炉炼钢的副产品—矿渣磨细制成的，它是一种非金属的、具有水化性能的材料，主要成分是硅酸钙和硅铝酸钙。它们在高炉中与铁一起融化，在</w:t>
            </w:r>
            <w:r>
              <w:rPr>
                <w:rFonts w:hint="eastAsia"/>
                <w:color w:val="auto"/>
              </w:rPr>
              <w:t>1500摄氏度</w:t>
            </w:r>
            <w:r>
              <w:rPr>
                <w:color w:val="auto"/>
              </w:rPr>
              <w:t>的高温熔融状态下，迅速地在水中淬火形成玻璃状、看起来像砂子一样的粒状物质。这些粒状材料经磨细到45微米以下，比表面积为400—600m</w:t>
            </w:r>
            <w:r>
              <w:rPr>
                <w:color w:val="auto"/>
                <w:vertAlign w:val="superscript"/>
              </w:rPr>
              <w:t>2</w:t>
            </w:r>
            <w:r>
              <w:rPr>
                <w:color w:val="auto"/>
              </w:rPr>
              <w:t>/kg，就制成了矿粉。矿粉的相对密度一般在2.85到2.95，堆积密度为1050到1375kg/m</w:t>
            </w:r>
            <w:r>
              <w:rPr>
                <w:color w:val="auto"/>
                <w:vertAlign w:val="superscript"/>
              </w:rPr>
              <w:t>3</w:t>
            </w:r>
            <w:r>
              <w:rPr>
                <w:color w:val="auto"/>
              </w:rPr>
              <w:t>。</w:t>
            </w:r>
          </w:p>
          <w:bookmarkEnd w:id="6"/>
          <w:bookmarkEnd w:id="7"/>
          <w:bookmarkEnd w:id="8"/>
          <w:bookmarkEnd w:id="9"/>
          <w:p>
            <w:pPr>
              <w:pStyle w:val="119"/>
              <w:spacing w:line="520" w:lineRule="exact"/>
              <w:ind w:firstLine="482"/>
              <w:rPr>
                <w:b/>
                <w:bCs/>
                <w:color w:val="auto"/>
              </w:rPr>
            </w:pPr>
            <w:r>
              <w:rPr>
                <w:rFonts w:hint="eastAsia"/>
                <w:b/>
                <w:bCs/>
                <w:color w:val="auto"/>
              </w:rPr>
              <w:t>（4）脱模剂</w:t>
            </w:r>
          </w:p>
          <w:p>
            <w:pPr>
              <w:pStyle w:val="119"/>
              <w:spacing w:line="520" w:lineRule="exact"/>
              <w:ind w:firstLine="480"/>
              <w:rPr>
                <w:color w:val="auto"/>
              </w:rPr>
            </w:pPr>
            <w:r>
              <w:rPr>
                <w:rFonts w:hint="eastAsia"/>
                <w:color w:val="auto"/>
              </w:rPr>
              <w:t>脱模剂用于混凝土浇筑前涂抹在施工模板上，以使浇筑后模板不致粘在混凝土表面上不易拆模，或影响混凝土表面的光洁度。其主要作用为在模板与混凝土表面形成一层膜将两者隔离开。</w:t>
            </w:r>
          </w:p>
          <w:p>
            <w:pPr>
              <w:pStyle w:val="119"/>
              <w:spacing w:line="520" w:lineRule="exact"/>
              <w:ind w:firstLine="480"/>
              <w:rPr>
                <w:color w:val="auto"/>
              </w:rPr>
            </w:pPr>
            <w:r>
              <w:rPr>
                <w:rFonts w:hint="eastAsia"/>
                <w:color w:val="auto"/>
              </w:rPr>
              <w:t>建筑用脱模剂主要为聚氨酯水性脱模剂，其组成为：乳化蜡液：</w:t>
            </w:r>
            <w:r>
              <w:rPr>
                <w:color w:val="auto"/>
              </w:rPr>
              <w:t>10%-15%</w:t>
            </w:r>
            <w:r>
              <w:rPr>
                <w:rFonts w:hint="eastAsia"/>
                <w:color w:val="auto"/>
              </w:rPr>
              <w:t>；甲基硅油乳液：</w:t>
            </w:r>
            <w:r>
              <w:rPr>
                <w:color w:val="auto"/>
              </w:rPr>
              <w:t>15%-20%</w:t>
            </w:r>
            <w:r>
              <w:rPr>
                <w:rFonts w:hint="eastAsia"/>
                <w:color w:val="auto"/>
              </w:rPr>
              <w:t>；改性硅油乳液：</w:t>
            </w:r>
            <w:r>
              <w:rPr>
                <w:color w:val="auto"/>
              </w:rPr>
              <w:t>5%-8%</w:t>
            </w:r>
            <w:r>
              <w:rPr>
                <w:rFonts w:hint="eastAsia"/>
                <w:color w:val="auto"/>
              </w:rPr>
              <w:t>；去离子水：</w:t>
            </w:r>
            <w:r>
              <w:rPr>
                <w:color w:val="auto"/>
              </w:rPr>
              <w:t>50%-55%</w:t>
            </w:r>
            <w:r>
              <w:rPr>
                <w:rFonts w:hint="eastAsia"/>
                <w:color w:val="auto"/>
              </w:rPr>
              <w:t>；乳化剂：</w:t>
            </w:r>
            <w:r>
              <w:rPr>
                <w:color w:val="auto"/>
              </w:rPr>
              <w:t>4.5%-6%</w:t>
            </w:r>
            <w:r>
              <w:rPr>
                <w:rFonts w:hint="eastAsia"/>
                <w:color w:val="auto"/>
              </w:rPr>
              <w:t>；添加剂：</w:t>
            </w:r>
            <w:r>
              <w:rPr>
                <w:color w:val="auto"/>
              </w:rPr>
              <w:t>0.5%-1%</w:t>
            </w:r>
            <w:r>
              <w:rPr>
                <w:rFonts w:hint="eastAsia"/>
                <w:color w:val="auto"/>
              </w:rPr>
              <w:t>；防腐剂：</w:t>
            </w:r>
            <w:r>
              <w:rPr>
                <w:color w:val="auto"/>
              </w:rPr>
              <w:t>0.3%-0.5%</w:t>
            </w:r>
            <w:r>
              <w:rPr>
                <w:rFonts w:hint="eastAsia"/>
                <w:color w:val="auto"/>
              </w:rPr>
              <w:t>。其特点是以水为分散相，形成的水溶物既具备使聚氨酯泡沫脱模的功能，又具备生物降解性，无</w:t>
            </w:r>
            <w:r>
              <w:rPr>
                <w:color w:val="auto"/>
              </w:rPr>
              <w:t>VOC</w:t>
            </w:r>
            <w:r>
              <w:rPr>
                <w:rFonts w:hint="eastAsia"/>
                <w:color w:val="auto"/>
              </w:rPr>
              <w:t>等有害物质产生，环保性强；而且水作为稀释剂，无污染易得，低成本。</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 xml:space="preserve">2-5   </w:t>
            </w:r>
            <w:r>
              <w:rPr>
                <w:rFonts w:ascii="Times New Roman" w:hAnsi="Times New Roman" w:eastAsia="宋体" w:cs="Times New Roman"/>
                <w:b/>
                <w:color w:val="auto"/>
                <w:szCs w:val="21"/>
              </w:rPr>
              <w:t xml:space="preserve"> 本项目</w:t>
            </w:r>
            <w:r>
              <w:rPr>
                <w:rFonts w:hint="eastAsia" w:ascii="Times New Roman" w:hAnsi="Times New Roman" w:eastAsia="宋体" w:cs="Times New Roman"/>
                <w:b/>
                <w:color w:val="auto"/>
                <w:szCs w:val="21"/>
                <w:lang w:val="en-US" w:eastAsia="zh-CN"/>
              </w:rPr>
              <w:t>混凝土生产线</w:t>
            </w:r>
            <w:r>
              <w:rPr>
                <w:rFonts w:ascii="Times New Roman" w:hAnsi="Times New Roman" w:eastAsia="宋体" w:cs="Times New Roman"/>
                <w:b/>
                <w:color w:val="auto"/>
                <w:szCs w:val="21"/>
              </w:rPr>
              <w:t>物料平衡一览表</w:t>
            </w:r>
          </w:p>
          <w:tbl>
            <w:tblPr>
              <w:tblStyle w:val="3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8"/>
              <w:gridCol w:w="1948"/>
              <w:gridCol w:w="1948"/>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360" w:type="pct"/>
                  <w:gridSpan w:val="2"/>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投入</w:t>
                  </w:r>
                </w:p>
              </w:tc>
              <w:tc>
                <w:tcPr>
                  <w:tcW w:w="2639" w:type="pct"/>
                  <w:gridSpan w:val="2"/>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物料名称</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物料量（</w:t>
                  </w:r>
                  <w:r>
                    <w:rPr>
                      <w:rFonts w:hint="default" w:ascii="Times New Roman" w:hAnsi="Times New Roman" w:eastAsia="宋体" w:cs="Times New Roman"/>
                      <w:i w:val="0"/>
                      <w:iCs w:val="0"/>
                      <w:color w:val="auto"/>
                      <w:kern w:val="0"/>
                      <w:sz w:val="21"/>
                      <w:szCs w:val="21"/>
                      <w:u w:val="none"/>
                      <w:lang w:val="en-US" w:eastAsia="zh-CN" w:bidi="ar"/>
                    </w:rPr>
                    <w:t>t/a</w:t>
                  </w:r>
                  <w:r>
                    <w:rPr>
                      <w:rFonts w:hint="eastAsia" w:ascii="宋体" w:hAnsi="宋体" w:eastAsia="宋体" w:cs="宋体"/>
                      <w:i w:val="0"/>
                      <w:iCs w:val="0"/>
                      <w:color w:val="auto"/>
                      <w:kern w:val="0"/>
                      <w:sz w:val="21"/>
                      <w:szCs w:val="21"/>
                      <w:u w:val="none"/>
                      <w:lang w:val="en-US" w:eastAsia="zh-CN" w:bidi="ar"/>
                    </w:rPr>
                    <w:t>）</w:t>
                  </w:r>
                </w:p>
              </w:tc>
              <w:tc>
                <w:tcPr>
                  <w:tcW w:w="118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物料名称</w:t>
                  </w:r>
                </w:p>
              </w:tc>
              <w:tc>
                <w:tcPr>
                  <w:tcW w:w="1459"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r>
                    <w:rPr>
                      <w:rFonts w:hint="default" w:ascii="Times New Roman" w:hAnsi="Times New Roman" w:eastAsia="宋体" w:cs="Times New Roman"/>
                      <w:i w:val="0"/>
                      <w:iCs w:val="0"/>
                      <w:color w:val="auto"/>
                      <w:kern w:val="0"/>
                      <w:sz w:val="21"/>
                      <w:szCs w:val="21"/>
                      <w:u w:val="none"/>
                      <w:lang w:val="en-US" w:eastAsia="zh-CN" w:bidi="ar"/>
                    </w:rPr>
                    <w:t>t/a</w:t>
                  </w:r>
                  <w:r>
                    <w:rPr>
                      <w:rFonts w:hint="eastAsia" w:ascii="宋体" w:hAnsi="宋体" w:eastAsia="宋体" w:cs="宋体"/>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149040</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商品混凝土</w:t>
                  </w:r>
                </w:p>
              </w:tc>
              <w:tc>
                <w:tcPr>
                  <w:tcW w:w="1459"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1379988.757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水洗砂</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493920</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无组织排放粉尘</w:t>
                  </w:r>
                </w:p>
              </w:tc>
              <w:tc>
                <w:tcPr>
                  <w:tcW w:w="1459" w:type="pct"/>
                  <w:tcBorders>
                    <w:top w:val="nil"/>
                    <w:left w:val="nil"/>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粉煤灰</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52440</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有组织排放粉尘</w:t>
                  </w:r>
                </w:p>
              </w:tc>
              <w:tc>
                <w:tcPr>
                  <w:tcW w:w="1459" w:type="pct"/>
                  <w:tcBorders>
                    <w:top w:val="nil"/>
                    <w:left w:val="nil"/>
                    <w:bottom w:val="single" w:color="000000" w:sz="8"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矿粉</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16560</w:t>
                  </w:r>
                </w:p>
              </w:tc>
              <w:tc>
                <w:tcPr>
                  <w:tcW w:w="1180"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459" w:type="pct"/>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石子</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557400</w:t>
                  </w:r>
                </w:p>
              </w:tc>
              <w:tc>
                <w:tcPr>
                  <w:tcW w:w="1180"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459" w:type="pct"/>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外加剂</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4140</w:t>
                  </w:r>
                </w:p>
              </w:tc>
              <w:tc>
                <w:tcPr>
                  <w:tcW w:w="1180"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459" w:type="pct"/>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106500</w:t>
                  </w:r>
                </w:p>
              </w:tc>
              <w:tc>
                <w:tcPr>
                  <w:tcW w:w="1180"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459" w:type="pct"/>
                  <w:tcBorders>
                    <w:top w:val="nil"/>
                    <w:left w:val="nil"/>
                    <w:bottom w:val="single" w:color="000000" w:sz="8" w:space="0"/>
                    <w:right w:val="nil"/>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18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1380000</w:t>
                  </w:r>
                </w:p>
              </w:tc>
              <w:tc>
                <w:tcPr>
                  <w:tcW w:w="1180" w:type="pct"/>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459"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single" w:color="000000" w:sz="12"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备注：商品混凝土密度按</w:t>
                  </w:r>
                  <w:r>
                    <w:rPr>
                      <w:rFonts w:hint="eastAsia" w:ascii="Times New Roman" w:hAnsi="Times New Roman" w:eastAsia="宋体" w:cs="Times New Roman"/>
                      <w:i w:val="0"/>
                      <w:iCs w:val="0"/>
                      <w:color w:val="auto"/>
                      <w:kern w:val="0"/>
                      <w:sz w:val="21"/>
                      <w:szCs w:val="21"/>
                      <w:u w:val="none"/>
                      <w:lang w:val="en-US" w:eastAsia="zh-CN" w:bidi="ar"/>
                    </w:rPr>
                    <w:t>2300</w:t>
                  </w:r>
                  <w:r>
                    <w:rPr>
                      <w:rFonts w:hint="default" w:ascii="Times New Roman" w:hAnsi="Times New Roman" w:eastAsia="宋体" w:cs="Times New Roman"/>
                      <w:i w:val="0"/>
                      <w:iCs w:val="0"/>
                      <w:color w:val="auto"/>
                      <w:kern w:val="0"/>
                      <w:sz w:val="21"/>
                      <w:szCs w:val="21"/>
                      <w:u w:val="none"/>
                      <w:lang w:val="en-US" w:eastAsia="zh-CN" w:bidi="ar"/>
                    </w:rPr>
                    <w:t>kg/m</w:t>
                  </w:r>
                  <w:r>
                    <w:rPr>
                      <w:rStyle w:val="125"/>
                      <w:rFonts w:eastAsia="宋体"/>
                      <w:color w:val="auto"/>
                      <w:lang w:val="en-US" w:eastAsia="zh-CN" w:bidi="ar"/>
                    </w:rPr>
                    <w:t>3</w:t>
                  </w:r>
                  <w:r>
                    <w:rPr>
                      <w:rFonts w:hint="eastAsia" w:ascii="宋体" w:hAnsi="宋体" w:eastAsia="宋体" w:cs="宋体"/>
                      <w:i w:val="0"/>
                      <w:iCs w:val="0"/>
                      <w:color w:val="auto"/>
                      <w:kern w:val="0"/>
                      <w:sz w:val="21"/>
                      <w:szCs w:val="21"/>
                      <w:u w:val="none"/>
                      <w:lang w:val="en-US" w:eastAsia="zh-CN" w:bidi="ar"/>
                    </w:rPr>
                    <w:t>计</w:t>
                  </w:r>
                </w:p>
              </w:tc>
            </w:tr>
          </w:tbl>
          <w:p>
            <w:pPr>
              <w:adjustRightInd w:val="0"/>
              <w:snapToGrid w:val="0"/>
              <w:spacing w:line="360" w:lineRule="auto"/>
              <w:jc w:val="center"/>
              <w:rPr>
                <w:color w:val="auto"/>
              </w:rPr>
            </w:pPr>
          </w:p>
          <w:p>
            <w:pPr>
              <w:adjustRightInd w:val="0"/>
              <w:snapToGrid w:val="0"/>
              <w:spacing w:line="360" w:lineRule="auto"/>
              <w:jc w:val="center"/>
              <w:rPr>
                <w:rFonts w:ascii="黑体" w:hAnsi="黑体" w:eastAsia="黑体" w:cs="黑体"/>
                <w:color w:val="auto"/>
                <w:sz w:val="24"/>
              </w:rPr>
            </w:pPr>
            <w:r>
              <w:rPr>
                <w:rFonts w:ascii="黑体" w:hAnsi="黑体" w:eastAsia="黑体" w:cs="黑体"/>
                <w:color w:val="auto"/>
                <w:sz w:val="24"/>
              </w:rPr>
              <w:object>
                <v:shape id="_x0000_i1025" o:spt="75" type="#_x0000_t75" style="height:306pt;width:408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pStyle w:val="39"/>
              <w:bidi w:val="0"/>
              <w:rPr>
                <w:color w:val="auto"/>
              </w:rPr>
            </w:pPr>
            <w:r>
              <w:rPr>
                <w:rFonts w:hint="eastAsia"/>
                <w:color w:val="auto"/>
              </w:rPr>
              <w:t>图2-1    项目物料平衡图       单位：t/a</w:t>
            </w:r>
          </w:p>
          <w:p>
            <w:pPr>
              <w:adjustRightInd w:val="0"/>
              <w:snapToGrid w:val="0"/>
              <w:spacing w:line="520" w:lineRule="exact"/>
              <w:ind w:firstLine="482" w:firstLineChars="200"/>
              <w:rPr>
                <w:b/>
                <w:bCs/>
                <w:color w:val="auto"/>
                <w:sz w:val="24"/>
              </w:rPr>
            </w:pPr>
            <w:r>
              <w:rPr>
                <w:b/>
                <w:bCs/>
                <w:color w:val="auto"/>
                <w:sz w:val="24"/>
              </w:rPr>
              <w:t>7、公用工程</w:t>
            </w:r>
          </w:p>
          <w:p>
            <w:pPr>
              <w:adjustRightInd w:val="0"/>
              <w:snapToGrid w:val="0"/>
              <w:spacing w:line="520" w:lineRule="exact"/>
              <w:ind w:firstLine="480" w:firstLineChars="200"/>
              <w:rPr>
                <w:color w:val="auto"/>
                <w:sz w:val="24"/>
              </w:rPr>
            </w:pPr>
            <w:r>
              <w:rPr>
                <w:color w:val="auto"/>
                <w:sz w:val="24"/>
              </w:rPr>
              <w:t>（1）给水</w:t>
            </w:r>
          </w:p>
          <w:p>
            <w:pPr>
              <w:pStyle w:val="69"/>
              <w:rPr>
                <w:color w:val="auto"/>
              </w:rPr>
            </w:pPr>
            <w:r>
              <w:rPr>
                <w:rFonts w:hint="eastAsia"/>
                <w:color w:val="auto"/>
              </w:rPr>
              <w:t>本项目用水主要为生产、生活用水及绿化用水。</w:t>
            </w:r>
          </w:p>
          <w:p>
            <w:pPr>
              <w:pStyle w:val="69"/>
              <w:rPr>
                <w:color w:val="auto"/>
              </w:rPr>
            </w:pPr>
            <w:r>
              <w:rPr>
                <w:rFonts w:hint="eastAsia"/>
                <w:color w:val="auto"/>
              </w:rPr>
              <w:t>生活用水：本项目劳动定员50人，8小时工作制，年工作时间为260d。根据《新疆维吾尔自治区生活用水定额》，规定农村住宅北疆天山北坡区平房及简易楼房用水</w:t>
            </w:r>
            <w:r>
              <w:rPr>
                <w:color w:val="auto"/>
              </w:rPr>
              <w:t>20</w:t>
            </w:r>
            <w:r>
              <w:rPr>
                <w:rFonts w:hint="eastAsia"/>
                <w:color w:val="auto"/>
              </w:rPr>
              <w:t>～</w:t>
            </w:r>
            <w:r>
              <w:rPr>
                <w:color w:val="auto"/>
              </w:rPr>
              <w:t>30L/</w:t>
            </w:r>
            <w:r>
              <w:rPr>
                <w:rFonts w:hint="eastAsia"/>
                <w:color w:val="auto"/>
              </w:rPr>
              <w:t>人</w:t>
            </w:r>
            <w:r>
              <w:rPr>
                <w:color w:val="auto"/>
              </w:rPr>
              <w:t>·d</w:t>
            </w:r>
            <w:r>
              <w:rPr>
                <w:rFonts w:hint="eastAsia"/>
                <w:color w:val="auto"/>
              </w:rPr>
              <w:t>，本项目取</w:t>
            </w:r>
            <w:r>
              <w:rPr>
                <w:color w:val="auto"/>
              </w:rPr>
              <w:t>30L/</w:t>
            </w:r>
            <w:r>
              <w:rPr>
                <w:rFonts w:hint="eastAsia"/>
                <w:color w:val="auto"/>
              </w:rPr>
              <w:t>人</w:t>
            </w:r>
            <w:r>
              <w:rPr>
                <w:color w:val="auto"/>
              </w:rPr>
              <w:t>·d</w:t>
            </w:r>
            <w:r>
              <w:rPr>
                <w:rFonts w:hint="eastAsia"/>
                <w:color w:val="auto"/>
              </w:rPr>
              <w:t>，则运行期生活用水量为</w:t>
            </w:r>
            <w:r>
              <w:rPr>
                <w:color w:val="auto"/>
              </w:rPr>
              <w:t>1</w:t>
            </w:r>
            <w:r>
              <w:rPr>
                <w:rFonts w:hint="eastAsia"/>
                <w:color w:val="auto"/>
              </w:rPr>
              <w:t>.</w:t>
            </w:r>
            <w:r>
              <w:rPr>
                <w:color w:val="auto"/>
              </w:rPr>
              <w:t>5m</w:t>
            </w:r>
            <w:r>
              <w:rPr>
                <w:color w:val="auto"/>
                <w:vertAlign w:val="superscript"/>
              </w:rPr>
              <w:t>3</w:t>
            </w:r>
            <w:r>
              <w:rPr>
                <w:color w:val="auto"/>
              </w:rPr>
              <w:t>/d</w:t>
            </w:r>
            <w:r>
              <w:rPr>
                <w:rFonts w:hint="eastAsia"/>
                <w:color w:val="auto"/>
              </w:rPr>
              <w:t>、390</w:t>
            </w:r>
            <w:r>
              <w:rPr>
                <w:color w:val="auto"/>
              </w:rPr>
              <w:t>m</w:t>
            </w:r>
            <w:r>
              <w:rPr>
                <w:color w:val="auto"/>
                <w:vertAlign w:val="superscript"/>
              </w:rPr>
              <w:t>3</w:t>
            </w:r>
            <w:r>
              <w:rPr>
                <w:color w:val="auto"/>
              </w:rPr>
              <w:t>/a</w:t>
            </w:r>
            <w:r>
              <w:rPr>
                <w:rFonts w:hint="eastAsia"/>
                <w:color w:val="auto"/>
              </w:rPr>
              <w:t>。</w:t>
            </w:r>
          </w:p>
          <w:p>
            <w:pPr>
              <w:pStyle w:val="69"/>
              <w:rPr>
                <w:color w:val="auto"/>
              </w:rPr>
            </w:pPr>
            <w:r>
              <w:rPr>
                <w:rFonts w:hint="eastAsia"/>
                <w:color w:val="auto"/>
              </w:rPr>
              <w:t>生产用水：生产用水主要包括生产工艺用水、搅拌机清洗用水、混凝土运输车辆清洗用水、预制构件养护用水、堆场抑尘用水</w:t>
            </w:r>
            <w:r>
              <w:rPr>
                <w:color w:val="auto"/>
              </w:rPr>
              <w:t>。</w:t>
            </w:r>
          </w:p>
          <w:p>
            <w:pPr>
              <w:spacing w:line="520" w:lineRule="exact"/>
              <w:ind w:firstLine="480" w:firstLineChars="200"/>
              <w:rPr>
                <w:rFonts w:ascii="宋体" w:cs="宋体"/>
                <w:color w:val="auto"/>
                <w:sz w:val="24"/>
              </w:rPr>
            </w:pPr>
            <w:r>
              <w:rPr>
                <w:rFonts w:hint="eastAsia" w:cs="宋体"/>
                <w:snapToGrid w:val="0"/>
                <w:color w:val="auto"/>
                <w:sz w:val="24"/>
              </w:rPr>
              <w:t>①生产工艺用水：根据建设单位提供的资料，根据产品生产配合比要求，由企业提供。项目生产</w:t>
            </w:r>
            <w:r>
              <w:rPr>
                <w:rFonts w:cs="宋体"/>
                <w:snapToGrid w:val="0"/>
                <w:color w:val="auto"/>
                <w:sz w:val="24"/>
              </w:rPr>
              <w:t>1m</w:t>
            </w:r>
            <w:r>
              <w:rPr>
                <w:rFonts w:cs="宋体"/>
                <w:snapToGrid w:val="0"/>
                <w:color w:val="auto"/>
                <w:sz w:val="24"/>
                <w:vertAlign w:val="superscript"/>
              </w:rPr>
              <w:t>3</w:t>
            </w:r>
            <w:r>
              <w:rPr>
                <w:rFonts w:hint="eastAsia" w:cs="宋体"/>
                <w:snapToGrid w:val="0"/>
                <w:color w:val="auto"/>
                <w:sz w:val="24"/>
              </w:rPr>
              <w:t>商品混凝土需</w:t>
            </w:r>
            <w:r>
              <w:rPr>
                <w:rFonts w:cs="宋体"/>
                <w:snapToGrid w:val="0"/>
                <w:color w:val="auto"/>
                <w:sz w:val="24"/>
              </w:rPr>
              <w:t>0</w:t>
            </w:r>
            <w:r>
              <w:rPr>
                <w:rFonts w:hint="eastAsia" w:cs="宋体"/>
                <w:snapToGrid w:val="0"/>
                <w:color w:val="auto"/>
                <w:sz w:val="24"/>
              </w:rPr>
              <w:t>.</w:t>
            </w:r>
            <w:r>
              <w:rPr>
                <w:rFonts w:cs="宋体"/>
                <w:snapToGrid w:val="0"/>
                <w:color w:val="auto"/>
                <w:sz w:val="24"/>
              </w:rPr>
              <w:t>175m</w:t>
            </w:r>
            <w:r>
              <w:rPr>
                <w:rFonts w:cs="宋体"/>
                <w:snapToGrid w:val="0"/>
                <w:color w:val="auto"/>
                <w:sz w:val="24"/>
                <w:vertAlign w:val="superscript"/>
              </w:rPr>
              <w:t>3</w:t>
            </w:r>
            <w:r>
              <w:rPr>
                <w:rFonts w:hint="eastAsia" w:cs="宋体"/>
                <w:snapToGrid w:val="0"/>
                <w:color w:val="auto"/>
                <w:sz w:val="24"/>
              </w:rPr>
              <w:t>水，则商品混凝土生产用水量106500</w:t>
            </w:r>
            <w:r>
              <w:rPr>
                <w:rFonts w:cs="宋体"/>
                <w:snapToGrid w:val="0"/>
                <w:color w:val="auto"/>
                <w:sz w:val="24"/>
              </w:rPr>
              <w:t>m</w:t>
            </w:r>
            <w:r>
              <w:rPr>
                <w:rFonts w:cs="宋体"/>
                <w:snapToGrid w:val="0"/>
                <w:color w:val="auto"/>
                <w:sz w:val="24"/>
                <w:vertAlign w:val="superscript"/>
              </w:rPr>
              <w:t>3</w:t>
            </w:r>
            <w:r>
              <w:rPr>
                <w:rFonts w:hint="eastAsia" w:cs="宋体"/>
                <w:snapToGrid w:val="0"/>
                <w:color w:val="auto"/>
                <w:sz w:val="24"/>
              </w:rPr>
              <w:t>/</w:t>
            </w:r>
            <w:r>
              <w:rPr>
                <w:rFonts w:cs="宋体"/>
                <w:snapToGrid w:val="0"/>
                <w:color w:val="auto"/>
                <w:sz w:val="24"/>
              </w:rPr>
              <w:t>a</w:t>
            </w:r>
            <w:r>
              <w:rPr>
                <w:rFonts w:hint="eastAsia" w:cs="宋体"/>
                <w:snapToGrid w:val="0"/>
                <w:color w:val="auto"/>
                <w:sz w:val="24"/>
              </w:rPr>
              <w:t>，全部带入产品中，无废水外排。</w:t>
            </w:r>
          </w:p>
          <w:p>
            <w:pPr>
              <w:spacing w:line="520" w:lineRule="exact"/>
              <w:ind w:firstLine="480" w:firstLineChars="200"/>
              <w:rPr>
                <w:rFonts w:ascii="宋体" w:cs="宋体"/>
                <w:color w:val="auto"/>
                <w:sz w:val="24"/>
              </w:rPr>
            </w:pPr>
            <w:r>
              <w:rPr>
                <w:rFonts w:hint="eastAsia" w:ascii="宋体" w:cs="宋体"/>
                <w:color w:val="auto"/>
                <w:sz w:val="24"/>
              </w:rPr>
              <w:t>②搅拌机清洗用水：项目搅拌机在暂时停止生产时必须冲洗干净。项目共设</w:t>
            </w:r>
            <w:r>
              <w:rPr>
                <w:rFonts w:hint="eastAsia"/>
                <w:color w:val="auto"/>
                <w:sz w:val="24"/>
              </w:rPr>
              <w:t>2</w:t>
            </w:r>
            <w:r>
              <w:rPr>
                <w:rFonts w:hint="eastAsia" w:ascii="宋体" w:cs="宋体"/>
                <w:color w:val="auto"/>
                <w:sz w:val="24"/>
              </w:rPr>
              <w:t>台搅拌机，工作完毕对搅拌机进行冲洗，根据企业提供资料，每次冲洗水用量约</w:t>
            </w:r>
            <w:r>
              <w:rPr>
                <w:rFonts w:hint="eastAsia"/>
                <w:color w:val="auto"/>
                <w:sz w:val="24"/>
              </w:rPr>
              <w:t>1.5</w:t>
            </w:r>
            <w:r>
              <w:rPr>
                <w:color w:val="auto"/>
                <w:sz w:val="24"/>
              </w:rPr>
              <w:t>m</w:t>
            </w:r>
            <w:r>
              <w:rPr>
                <w:color w:val="auto"/>
                <w:sz w:val="24"/>
                <w:vertAlign w:val="superscript"/>
              </w:rPr>
              <w:t>3</w:t>
            </w:r>
            <w:r>
              <w:rPr>
                <w:rFonts w:hint="eastAsia" w:ascii="宋体" w:cs="宋体"/>
                <w:color w:val="auto"/>
                <w:sz w:val="24"/>
              </w:rPr>
              <w:t>/次，全年冲洗次数</w:t>
            </w:r>
            <w:r>
              <w:rPr>
                <w:color w:val="auto"/>
                <w:sz w:val="24"/>
              </w:rPr>
              <w:t>2</w:t>
            </w:r>
            <w:r>
              <w:rPr>
                <w:rFonts w:hint="eastAsia"/>
                <w:color w:val="auto"/>
                <w:sz w:val="24"/>
              </w:rPr>
              <w:t>60</w:t>
            </w:r>
            <w:r>
              <w:rPr>
                <w:rFonts w:hint="eastAsia" w:ascii="宋体" w:cs="宋体"/>
                <w:color w:val="auto"/>
                <w:sz w:val="24"/>
              </w:rPr>
              <w:t>次计，项目搅拌机全年冲洗水用量</w:t>
            </w:r>
            <w:r>
              <w:rPr>
                <w:rFonts w:hint="eastAsia"/>
                <w:color w:val="auto"/>
                <w:sz w:val="24"/>
              </w:rPr>
              <w:t>780</w:t>
            </w:r>
            <w:r>
              <w:rPr>
                <w:color w:val="auto"/>
                <w:sz w:val="24"/>
              </w:rPr>
              <w:t>m</w:t>
            </w:r>
            <w:r>
              <w:rPr>
                <w:color w:val="auto"/>
                <w:sz w:val="24"/>
                <w:vertAlign w:val="superscript"/>
              </w:rPr>
              <w:t>3</w:t>
            </w:r>
            <w:r>
              <w:rPr>
                <w:rFonts w:hint="eastAsia" w:ascii="宋体" w:cs="宋体"/>
                <w:color w:val="auto"/>
                <w:sz w:val="24"/>
              </w:rPr>
              <w:t>/</w:t>
            </w:r>
            <w:r>
              <w:rPr>
                <w:color w:val="auto"/>
                <w:sz w:val="24"/>
              </w:rPr>
              <w:t>a</w:t>
            </w:r>
            <w:r>
              <w:rPr>
                <w:rFonts w:hint="eastAsia"/>
                <w:color w:val="auto"/>
                <w:sz w:val="24"/>
              </w:rPr>
              <w:t>（3</w:t>
            </w:r>
            <w:r>
              <w:rPr>
                <w:color w:val="auto"/>
                <w:sz w:val="24"/>
              </w:rPr>
              <w:t>m</w:t>
            </w:r>
            <w:r>
              <w:rPr>
                <w:color w:val="auto"/>
                <w:sz w:val="24"/>
                <w:vertAlign w:val="superscript"/>
              </w:rPr>
              <w:t>3</w:t>
            </w:r>
            <w:r>
              <w:rPr>
                <w:rFonts w:hint="eastAsia" w:ascii="宋体" w:cs="宋体"/>
                <w:color w:val="auto"/>
                <w:sz w:val="24"/>
              </w:rPr>
              <w:t>/</w:t>
            </w:r>
            <w:r>
              <w:rPr>
                <w:rFonts w:hint="eastAsia"/>
                <w:color w:val="auto"/>
                <w:sz w:val="24"/>
              </w:rPr>
              <w:t>d）</w:t>
            </w:r>
            <w:r>
              <w:rPr>
                <w:rFonts w:hint="eastAsia" w:ascii="宋体" w:cs="宋体"/>
                <w:color w:val="auto"/>
                <w:sz w:val="24"/>
              </w:rPr>
              <w:t>。</w:t>
            </w:r>
          </w:p>
          <w:p>
            <w:pPr>
              <w:pStyle w:val="69"/>
              <w:spacing w:line="360" w:lineRule="auto"/>
              <w:rPr>
                <w:color w:val="auto"/>
              </w:rPr>
            </w:pPr>
            <w:r>
              <w:rPr>
                <w:rFonts w:hint="eastAsia"/>
                <w:color w:val="auto"/>
              </w:rPr>
              <w:t>③混凝土运输车辆清洗用水：项目混凝土产生量约为2308m</w:t>
            </w:r>
            <w:r>
              <w:rPr>
                <w:rFonts w:hint="eastAsia"/>
                <w:color w:val="auto"/>
                <w:vertAlign w:val="superscript"/>
              </w:rPr>
              <w:t>3</w:t>
            </w:r>
            <w:r>
              <w:rPr>
                <w:rFonts w:hint="eastAsia"/>
                <w:color w:val="auto"/>
              </w:rPr>
              <w:t>/d，单车最大运输量为12m</w:t>
            </w:r>
            <w:r>
              <w:rPr>
                <w:rFonts w:hint="eastAsia"/>
                <w:color w:val="auto"/>
                <w:vertAlign w:val="superscript"/>
              </w:rPr>
              <w:t>3</w:t>
            </w:r>
            <w:r>
              <w:rPr>
                <w:rFonts w:hint="eastAsia"/>
                <w:color w:val="auto"/>
              </w:rPr>
              <w:t>，则每天混凝土运输车要运输192次，每次均需对车辆进行冲洗，根据对同类型企业的类比调查，车辆冲洗水量大致为0.05m</w:t>
            </w:r>
            <w:r>
              <w:rPr>
                <w:rFonts w:hint="eastAsia"/>
                <w:color w:val="auto"/>
                <w:vertAlign w:val="superscript"/>
              </w:rPr>
              <w:t>3</w:t>
            </w:r>
            <w:r>
              <w:rPr>
                <w:rFonts w:hint="eastAsia"/>
                <w:color w:val="auto"/>
              </w:rPr>
              <w:t>/辆·次，则用水量为2496m</w:t>
            </w:r>
            <w:r>
              <w:rPr>
                <w:rFonts w:hint="eastAsia"/>
                <w:color w:val="auto"/>
                <w:vertAlign w:val="superscript"/>
              </w:rPr>
              <w:t>3</w:t>
            </w:r>
            <w:r>
              <w:rPr>
                <w:rFonts w:hint="eastAsia"/>
                <w:color w:val="auto"/>
              </w:rPr>
              <w:t>/a（9.6m</w:t>
            </w:r>
            <w:r>
              <w:rPr>
                <w:rFonts w:hint="eastAsia"/>
                <w:color w:val="auto"/>
                <w:vertAlign w:val="superscript"/>
              </w:rPr>
              <w:t>3</w:t>
            </w:r>
            <w:r>
              <w:rPr>
                <w:rFonts w:hint="eastAsia"/>
                <w:color w:val="auto"/>
              </w:rPr>
              <w:t>/d）。</w:t>
            </w:r>
          </w:p>
          <w:p>
            <w:pPr>
              <w:widowControl/>
              <w:spacing w:line="360" w:lineRule="auto"/>
              <w:ind w:firstLine="480" w:firstLineChars="200"/>
              <w:jc w:val="left"/>
              <w:rPr>
                <w:rFonts w:cs="宋体"/>
                <w:snapToGrid w:val="0"/>
                <w:color w:val="auto"/>
                <w:sz w:val="24"/>
              </w:rPr>
            </w:pPr>
            <w:r>
              <w:rPr>
                <w:rFonts w:hint="eastAsia" w:cs="宋体"/>
                <w:snapToGrid w:val="0"/>
                <w:color w:val="auto"/>
                <w:sz w:val="24"/>
              </w:rPr>
              <w:t xml:space="preserve">④预制构件养护用水 </w:t>
            </w:r>
          </w:p>
          <w:p>
            <w:pPr>
              <w:widowControl/>
              <w:spacing w:line="360" w:lineRule="auto"/>
              <w:ind w:firstLine="480" w:firstLineChars="200"/>
              <w:jc w:val="left"/>
              <w:rPr>
                <w:rFonts w:cs="宋体"/>
                <w:snapToGrid w:val="0"/>
                <w:color w:val="auto"/>
                <w:sz w:val="24"/>
              </w:rPr>
            </w:pPr>
            <w:r>
              <w:rPr>
                <w:rFonts w:hint="eastAsia" w:cs="宋体"/>
                <w:snapToGrid w:val="0"/>
                <w:color w:val="auto"/>
                <w:sz w:val="24"/>
              </w:rPr>
              <w:t>根据类比分析，预制构件养护用水标准为</w:t>
            </w:r>
            <w:r>
              <w:rPr>
                <w:rFonts w:cs="宋体"/>
                <w:snapToGrid w:val="0"/>
                <w:color w:val="auto"/>
                <w:sz w:val="24"/>
              </w:rPr>
              <w:t>10L/m</w:t>
            </w:r>
            <w:r>
              <w:rPr>
                <w:rFonts w:cs="宋体"/>
                <w:snapToGrid w:val="0"/>
                <w:color w:val="auto"/>
                <w:sz w:val="24"/>
                <w:vertAlign w:val="superscript"/>
              </w:rPr>
              <w:t>3</w:t>
            </w:r>
            <w:r>
              <w:rPr>
                <w:rFonts w:hint="eastAsia" w:cs="宋体"/>
                <w:snapToGrid w:val="0"/>
                <w:color w:val="auto"/>
                <w:sz w:val="24"/>
              </w:rPr>
              <w:t>，预制构件生产量为</w:t>
            </w:r>
            <w:r>
              <w:rPr>
                <w:rFonts w:cs="宋体"/>
                <w:snapToGrid w:val="0"/>
                <w:color w:val="auto"/>
                <w:sz w:val="24"/>
              </w:rPr>
              <w:t>30</w:t>
            </w:r>
            <w:r>
              <w:rPr>
                <w:rFonts w:hint="eastAsia" w:cs="宋体"/>
                <w:snapToGrid w:val="0"/>
                <w:color w:val="auto"/>
                <w:sz w:val="24"/>
              </w:rPr>
              <w:t>万</w:t>
            </w:r>
            <w:r>
              <w:rPr>
                <w:rFonts w:cs="宋体"/>
                <w:snapToGrid w:val="0"/>
                <w:color w:val="auto"/>
                <w:sz w:val="24"/>
              </w:rPr>
              <w:t>m</w:t>
            </w:r>
            <w:r>
              <w:rPr>
                <w:rFonts w:cs="宋体"/>
                <w:snapToGrid w:val="0"/>
                <w:color w:val="auto"/>
                <w:sz w:val="24"/>
                <w:vertAlign w:val="superscript"/>
              </w:rPr>
              <w:t>3</w:t>
            </w:r>
            <w:r>
              <w:rPr>
                <w:rFonts w:hint="eastAsia" w:cs="宋体"/>
                <w:snapToGrid w:val="0"/>
                <w:color w:val="auto"/>
                <w:sz w:val="24"/>
              </w:rPr>
              <w:t>，则养护用水量为3000</w:t>
            </w:r>
            <w:r>
              <w:rPr>
                <w:rFonts w:cs="宋体"/>
                <w:snapToGrid w:val="0"/>
                <w:color w:val="auto"/>
                <w:sz w:val="24"/>
              </w:rPr>
              <w:t>m</w:t>
            </w:r>
            <w:r>
              <w:rPr>
                <w:rFonts w:cs="宋体"/>
                <w:snapToGrid w:val="0"/>
                <w:color w:val="auto"/>
                <w:sz w:val="24"/>
                <w:vertAlign w:val="superscript"/>
              </w:rPr>
              <w:t>3</w:t>
            </w:r>
            <w:r>
              <w:rPr>
                <w:rFonts w:hint="eastAsia" w:cs="宋体"/>
                <w:snapToGrid w:val="0"/>
                <w:color w:val="auto"/>
                <w:sz w:val="24"/>
              </w:rPr>
              <w:t>（</w:t>
            </w:r>
            <w:r>
              <w:rPr>
                <w:rFonts w:cs="宋体"/>
                <w:snapToGrid w:val="0"/>
                <w:color w:val="auto"/>
                <w:sz w:val="24"/>
              </w:rPr>
              <w:t>1</w:t>
            </w:r>
            <w:r>
              <w:rPr>
                <w:rFonts w:hint="eastAsia" w:cs="宋体"/>
                <w:snapToGrid w:val="0"/>
                <w:color w:val="auto"/>
                <w:sz w:val="24"/>
              </w:rPr>
              <w:t>1.54</w:t>
            </w:r>
            <w:r>
              <w:rPr>
                <w:rFonts w:cs="宋体"/>
                <w:snapToGrid w:val="0"/>
                <w:color w:val="auto"/>
                <w:sz w:val="24"/>
              </w:rPr>
              <w:t>m</w:t>
            </w:r>
            <w:r>
              <w:rPr>
                <w:rFonts w:cs="宋体"/>
                <w:snapToGrid w:val="0"/>
                <w:color w:val="auto"/>
                <w:sz w:val="24"/>
                <w:vertAlign w:val="superscript"/>
              </w:rPr>
              <w:t>3</w:t>
            </w:r>
            <w:r>
              <w:rPr>
                <w:rFonts w:cs="宋体"/>
                <w:snapToGrid w:val="0"/>
                <w:color w:val="auto"/>
                <w:sz w:val="24"/>
              </w:rPr>
              <w:t>/d</w:t>
            </w:r>
            <w:r>
              <w:rPr>
                <w:rFonts w:hint="eastAsia" w:cs="宋体"/>
                <w:snapToGrid w:val="0"/>
                <w:color w:val="auto"/>
                <w:sz w:val="24"/>
              </w:rPr>
              <w:t>）。</w:t>
            </w:r>
          </w:p>
          <w:p>
            <w:pPr>
              <w:widowControl/>
              <w:spacing w:line="360" w:lineRule="auto"/>
              <w:ind w:firstLine="480" w:firstLineChars="200"/>
              <w:jc w:val="left"/>
              <w:rPr>
                <w:rFonts w:cs="宋体"/>
                <w:snapToGrid w:val="0"/>
                <w:color w:val="auto"/>
                <w:sz w:val="24"/>
              </w:rPr>
            </w:pPr>
            <w:r>
              <w:rPr>
                <w:rFonts w:hint="eastAsia" w:cs="宋体"/>
                <w:snapToGrid w:val="0"/>
                <w:color w:val="auto"/>
                <w:sz w:val="24"/>
              </w:rPr>
              <w:t>⑤堆场喷淋用水：项目区堆场、道路、厂区洒水按</w:t>
            </w:r>
            <w:r>
              <w:rPr>
                <w:rFonts w:cs="宋体"/>
                <w:snapToGrid w:val="0"/>
                <w:color w:val="auto"/>
                <w:sz w:val="24"/>
              </w:rPr>
              <w:t>8m</w:t>
            </w:r>
            <w:r>
              <w:rPr>
                <w:rFonts w:cs="宋体"/>
                <w:snapToGrid w:val="0"/>
                <w:color w:val="auto"/>
                <w:sz w:val="24"/>
                <w:vertAlign w:val="superscript"/>
              </w:rPr>
              <w:t>3</w:t>
            </w:r>
            <w:r>
              <w:rPr>
                <w:rFonts w:cs="宋体"/>
                <w:snapToGrid w:val="0"/>
                <w:color w:val="auto"/>
                <w:sz w:val="24"/>
              </w:rPr>
              <w:t>/d</w:t>
            </w:r>
            <w:r>
              <w:rPr>
                <w:rFonts w:hint="eastAsia" w:cs="宋体"/>
                <w:snapToGrid w:val="0"/>
                <w:color w:val="auto"/>
                <w:sz w:val="24"/>
              </w:rPr>
              <w:t>计，工作时间约</w:t>
            </w:r>
            <w:r>
              <w:rPr>
                <w:rFonts w:cs="宋体"/>
                <w:snapToGrid w:val="0"/>
                <w:color w:val="auto"/>
                <w:sz w:val="24"/>
              </w:rPr>
              <w:t>2</w:t>
            </w:r>
            <w:r>
              <w:rPr>
                <w:rFonts w:hint="eastAsia" w:cs="宋体"/>
                <w:snapToGrid w:val="0"/>
                <w:color w:val="auto"/>
                <w:sz w:val="24"/>
              </w:rPr>
              <w:t>6</w:t>
            </w:r>
            <w:r>
              <w:rPr>
                <w:rFonts w:cs="宋体"/>
                <w:snapToGrid w:val="0"/>
                <w:color w:val="auto"/>
                <w:sz w:val="24"/>
              </w:rPr>
              <w:t>0</w:t>
            </w:r>
            <w:r>
              <w:rPr>
                <w:rFonts w:hint="eastAsia" w:cs="宋体"/>
                <w:snapToGrid w:val="0"/>
                <w:color w:val="auto"/>
                <w:sz w:val="24"/>
              </w:rPr>
              <w:t>天，则项目抑尘用水量约2080</w:t>
            </w:r>
            <w:r>
              <w:rPr>
                <w:rFonts w:cs="宋体"/>
                <w:snapToGrid w:val="0"/>
                <w:color w:val="auto"/>
                <w:sz w:val="24"/>
              </w:rPr>
              <w:t>m</w:t>
            </w:r>
            <w:r>
              <w:rPr>
                <w:rFonts w:cs="宋体"/>
                <w:snapToGrid w:val="0"/>
                <w:color w:val="auto"/>
                <w:sz w:val="24"/>
                <w:vertAlign w:val="superscript"/>
              </w:rPr>
              <w:t>3</w:t>
            </w:r>
            <w:r>
              <w:rPr>
                <w:rFonts w:cs="宋体"/>
                <w:snapToGrid w:val="0"/>
                <w:color w:val="auto"/>
                <w:sz w:val="24"/>
              </w:rPr>
              <w:t>/a</w:t>
            </w:r>
            <w:r>
              <w:rPr>
                <w:rFonts w:hint="eastAsia" w:cs="宋体"/>
                <w:snapToGrid w:val="0"/>
                <w:color w:val="auto"/>
                <w:sz w:val="24"/>
              </w:rPr>
              <w:t>。</w:t>
            </w:r>
          </w:p>
          <w:p>
            <w:pPr>
              <w:pStyle w:val="69"/>
              <w:spacing w:line="360" w:lineRule="auto"/>
              <w:rPr>
                <w:color w:val="auto"/>
              </w:rPr>
            </w:pPr>
            <w:r>
              <w:rPr>
                <w:rFonts w:hint="eastAsia"/>
                <w:color w:val="auto"/>
              </w:rPr>
              <w:t>绿化用水：</w:t>
            </w:r>
            <w:r>
              <w:rPr>
                <w:rFonts w:cs="Times New Roman"/>
                <w:color w:val="auto"/>
              </w:rPr>
              <w:t>根据《建筑给水排水设计规范》（GB50015-2010）及《新疆维吾尔自治区工业和生活用水定额》（2007.7.31发布），绿化用水定额为</w:t>
            </w:r>
            <w:r>
              <w:rPr>
                <w:rFonts w:hint="eastAsia" w:cs="Times New Roman"/>
                <w:color w:val="auto"/>
              </w:rPr>
              <w:t>5</w:t>
            </w:r>
            <w:r>
              <w:rPr>
                <w:rFonts w:cs="Times New Roman"/>
                <w:color w:val="auto"/>
              </w:rPr>
              <w:t>00m</w:t>
            </w:r>
            <w:r>
              <w:rPr>
                <w:rFonts w:cs="Times New Roman"/>
                <w:color w:val="auto"/>
                <w:vertAlign w:val="superscript"/>
              </w:rPr>
              <w:t>3</w:t>
            </w:r>
            <w:r>
              <w:rPr>
                <w:rFonts w:cs="Times New Roman"/>
                <w:color w:val="auto"/>
              </w:rPr>
              <w:t>/亩</w:t>
            </w:r>
            <w:r>
              <w:rPr>
                <w:rFonts w:hint="eastAsia" w:cs="Times New Roman"/>
                <w:color w:val="auto"/>
              </w:rPr>
              <w:t>·</w:t>
            </w:r>
            <w:r>
              <w:rPr>
                <w:rFonts w:cs="Times New Roman"/>
                <w:color w:val="auto"/>
              </w:rPr>
              <w:t>a，本项目绿化面积约</w:t>
            </w:r>
            <w:r>
              <w:rPr>
                <w:rFonts w:hint="eastAsia" w:cs="Times New Roman"/>
                <w:color w:val="auto"/>
              </w:rPr>
              <w:t>为17557</w:t>
            </w:r>
            <w:r>
              <w:rPr>
                <w:rFonts w:cs="Times New Roman"/>
                <w:color w:val="auto"/>
              </w:rPr>
              <w:t>m</w:t>
            </w:r>
            <w:r>
              <w:rPr>
                <w:rFonts w:cs="Times New Roman"/>
                <w:color w:val="auto"/>
                <w:vertAlign w:val="superscript"/>
              </w:rPr>
              <w:t>2</w:t>
            </w:r>
            <w:r>
              <w:rPr>
                <w:rFonts w:cs="Times New Roman"/>
                <w:color w:val="auto"/>
              </w:rPr>
              <w:t>，故绿化用水约</w:t>
            </w:r>
            <w:r>
              <w:rPr>
                <w:rFonts w:hint="eastAsia" w:cs="Times New Roman"/>
                <w:color w:val="auto"/>
              </w:rPr>
              <w:t>13170</w:t>
            </w:r>
            <w:r>
              <w:rPr>
                <w:rFonts w:cs="Times New Roman"/>
                <w:color w:val="auto"/>
              </w:rPr>
              <w:t>m</w:t>
            </w:r>
            <w:r>
              <w:rPr>
                <w:rFonts w:cs="Times New Roman"/>
                <w:color w:val="auto"/>
                <w:vertAlign w:val="superscript"/>
              </w:rPr>
              <w:t>3</w:t>
            </w:r>
            <w:r>
              <w:rPr>
                <w:rFonts w:cs="Times New Roman"/>
                <w:color w:val="auto"/>
              </w:rPr>
              <w:t>/a。</w:t>
            </w:r>
          </w:p>
          <w:p>
            <w:pPr>
              <w:adjustRightInd w:val="0"/>
              <w:snapToGrid w:val="0"/>
              <w:spacing w:line="360" w:lineRule="auto"/>
              <w:ind w:firstLine="480" w:firstLineChars="200"/>
              <w:rPr>
                <w:color w:val="auto"/>
                <w:sz w:val="24"/>
              </w:rPr>
            </w:pPr>
            <w:r>
              <w:rPr>
                <w:color w:val="auto"/>
                <w:sz w:val="24"/>
              </w:rPr>
              <w:t>（2）排水</w:t>
            </w:r>
          </w:p>
          <w:p>
            <w:pPr>
              <w:adjustRightInd w:val="0"/>
              <w:snapToGrid w:val="0"/>
              <w:spacing w:line="360" w:lineRule="auto"/>
              <w:ind w:firstLine="480" w:firstLineChars="200"/>
              <w:rPr>
                <w:color w:val="auto"/>
                <w:sz w:val="24"/>
              </w:rPr>
            </w:pPr>
            <w:r>
              <w:rPr>
                <w:rFonts w:hint="eastAsia"/>
                <w:color w:val="auto"/>
                <w:sz w:val="24"/>
              </w:rPr>
              <w:t>生活污水：本项目生活污水按80%计，则项目生活污水共计1.2</w:t>
            </w:r>
            <w:r>
              <w:rPr>
                <w:color w:val="auto"/>
                <w:sz w:val="24"/>
              </w:rPr>
              <w:t>m</w:t>
            </w:r>
            <w:r>
              <w:rPr>
                <w:color w:val="auto"/>
                <w:sz w:val="24"/>
                <w:vertAlign w:val="superscript"/>
              </w:rPr>
              <w:t>3</w:t>
            </w:r>
            <w:r>
              <w:rPr>
                <w:color w:val="auto"/>
                <w:sz w:val="24"/>
              </w:rPr>
              <w:t>/d（</w:t>
            </w:r>
            <w:r>
              <w:rPr>
                <w:rFonts w:hint="eastAsia"/>
                <w:color w:val="auto"/>
                <w:sz w:val="24"/>
              </w:rPr>
              <w:t>312</w:t>
            </w:r>
            <w:r>
              <w:rPr>
                <w:color w:val="auto"/>
                <w:sz w:val="24"/>
              </w:rPr>
              <w:t>m</w:t>
            </w:r>
            <w:r>
              <w:rPr>
                <w:color w:val="auto"/>
                <w:sz w:val="24"/>
                <w:vertAlign w:val="superscript"/>
              </w:rPr>
              <w:t>3</w:t>
            </w:r>
            <w:r>
              <w:rPr>
                <w:color w:val="auto"/>
                <w:sz w:val="24"/>
              </w:rPr>
              <w:t>/a）</w:t>
            </w:r>
            <w:r>
              <w:rPr>
                <w:rFonts w:hint="eastAsia"/>
                <w:color w:val="auto"/>
                <w:sz w:val="24"/>
              </w:rPr>
              <w:t>，生活污水（餐饮废水先经隔油池隔油）收集至防渗化粪池定期拉运至奎屯市中区污水处理厂进行处理。</w:t>
            </w:r>
          </w:p>
          <w:p>
            <w:pPr>
              <w:pStyle w:val="37"/>
              <w:spacing w:line="520" w:lineRule="exact"/>
              <w:ind w:firstLine="480" w:firstLineChars="200"/>
              <w:jc w:val="both"/>
              <w:rPr>
                <w:bCs/>
                <w:color w:val="auto"/>
                <w:sz w:val="24"/>
                <w:szCs w:val="32"/>
              </w:rPr>
            </w:pPr>
            <w:r>
              <w:rPr>
                <w:bCs/>
                <w:color w:val="auto"/>
                <w:sz w:val="24"/>
                <w:szCs w:val="32"/>
              </w:rPr>
              <w:t>搅拌机清洗废水</w:t>
            </w:r>
            <w:r>
              <w:rPr>
                <w:rFonts w:hint="eastAsia"/>
                <w:bCs/>
                <w:color w:val="auto"/>
                <w:sz w:val="24"/>
                <w:szCs w:val="32"/>
              </w:rPr>
              <w:t>：</w:t>
            </w:r>
            <w:r>
              <w:rPr>
                <w:bCs/>
                <w:color w:val="auto"/>
                <w:sz w:val="24"/>
                <w:szCs w:val="32"/>
              </w:rPr>
              <w:t>搅拌机清洗废水产污系数按90%计，则废水量为</w:t>
            </w:r>
            <w:r>
              <w:rPr>
                <w:rFonts w:hint="eastAsia"/>
                <w:bCs/>
                <w:snapToGrid/>
                <w:color w:val="auto"/>
                <w:sz w:val="24"/>
                <w:szCs w:val="32"/>
              </w:rPr>
              <w:t>702</w:t>
            </w:r>
            <w:r>
              <w:rPr>
                <w:bCs/>
                <w:color w:val="auto"/>
                <w:sz w:val="24"/>
                <w:szCs w:val="32"/>
              </w:rPr>
              <w:t>m</w:t>
            </w:r>
            <w:r>
              <w:rPr>
                <w:bCs/>
                <w:color w:val="auto"/>
                <w:sz w:val="24"/>
                <w:szCs w:val="32"/>
                <w:vertAlign w:val="superscript"/>
              </w:rPr>
              <w:t>3</w:t>
            </w:r>
            <w:r>
              <w:rPr>
                <w:bCs/>
                <w:color w:val="auto"/>
                <w:sz w:val="24"/>
                <w:szCs w:val="32"/>
              </w:rPr>
              <w:t>/a</w:t>
            </w:r>
            <w:r>
              <w:rPr>
                <w:rFonts w:hint="eastAsia"/>
                <w:bCs/>
                <w:color w:val="auto"/>
                <w:sz w:val="24"/>
                <w:szCs w:val="32"/>
              </w:rPr>
              <w:t>（2.7</w:t>
            </w:r>
            <w:r>
              <w:rPr>
                <w:bCs/>
                <w:color w:val="auto"/>
                <w:sz w:val="24"/>
                <w:szCs w:val="24"/>
              </w:rPr>
              <w:t>m</w:t>
            </w:r>
            <w:r>
              <w:rPr>
                <w:bCs/>
                <w:color w:val="auto"/>
                <w:sz w:val="24"/>
                <w:szCs w:val="24"/>
                <w:vertAlign w:val="superscript"/>
              </w:rPr>
              <w:t>3</w:t>
            </w:r>
            <w:r>
              <w:rPr>
                <w:bCs/>
                <w:color w:val="auto"/>
                <w:sz w:val="24"/>
                <w:szCs w:val="24"/>
              </w:rPr>
              <w:t>/d</w:t>
            </w:r>
            <w:r>
              <w:rPr>
                <w:rFonts w:hint="eastAsia"/>
                <w:bCs/>
                <w:color w:val="auto"/>
                <w:sz w:val="24"/>
                <w:szCs w:val="32"/>
              </w:rPr>
              <w:t>），</w:t>
            </w:r>
            <w:r>
              <w:rPr>
                <w:rFonts w:ascii="Times New Roman" w:hAnsi="Times New Roman"/>
                <w:bCs/>
                <w:color w:val="auto"/>
                <w:sz w:val="24"/>
                <w:szCs w:val="32"/>
              </w:rPr>
              <w:t>废水经三级沉淀后返回</w:t>
            </w:r>
            <w:r>
              <w:rPr>
                <w:rFonts w:hint="eastAsia" w:ascii="Times New Roman" w:hAnsi="Times New Roman"/>
                <w:bCs/>
                <w:color w:val="auto"/>
                <w:sz w:val="24"/>
                <w:szCs w:val="32"/>
              </w:rPr>
              <w:t>生产工序</w:t>
            </w:r>
            <w:r>
              <w:rPr>
                <w:rFonts w:ascii="Times New Roman" w:hAnsi="Times New Roman"/>
                <w:bCs/>
                <w:color w:val="auto"/>
                <w:sz w:val="24"/>
                <w:szCs w:val="32"/>
              </w:rPr>
              <w:t>循环使用，不外排。</w:t>
            </w:r>
          </w:p>
          <w:p>
            <w:pPr>
              <w:spacing w:line="520" w:lineRule="exact"/>
              <w:ind w:firstLine="480" w:firstLineChars="200"/>
              <w:rPr>
                <w:bCs/>
                <w:color w:val="auto"/>
                <w:sz w:val="24"/>
                <w:szCs w:val="32"/>
              </w:rPr>
            </w:pPr>
            <w:r>
              <w:rPr>
                <w:bCs/>
                <w:color w:val="auto"/>
                <w:sz w:val="24"/>
                <w:szCs w:val="32"/>
              </w:rPr>
              <w:t>车辆冲洗废水</w:t>
            </w:r>
            <w:r>
              <w:rPr>
                <w:rFonts w:hint="eastAsia"/>
                <w:bCs/>
                <w:color w:val="auto"/>
                <w:sz w:val="24"/>
                <w:szCs w:val="32"/>
              </w:rPr>
              <w:t>：</w:t>
            </w:r>
            <w:r>
              <w:rPr>
                <w:bCs/>
                <w:color w:val="auto"/>
                <w:sz w:val="24"/>
                <w:szCs w:val="32"/>
              </w:rPr>
              <w:t>车辆冲洗废水产污系数按90%计，则车辆清洗废水量为</w:t>
            </w:r>
            <w:r>
              <w:rPr>
                <w:rFonts w:hint="eastAsia"/>
                <w:bCs/>
                <w:color w:val="auto"/>
                <w:sz w:val="24"/>
                <w:szCs w:val="32"/>
              </w:rPr>
              <w:t>2246.4</w:t>
            </w:r>
            <w:r>
              <w:rPr>
                <w:bCs/>
                <w:color w:val="auto"/>
                <w:sz w:val="24"/>
                <w:szCs w:val="32"/>
              </w:rPr>
              <w:t>m</w:t>
            </w:r>
            <w:r>
              <w:rPr>
                <w:bCs/>
                <w:color w:val="auto"/>
                <w:sz w:val="24"/>
                <w:szCs w:val="32"/>
                <w:vertAlign w:val="superscript"/>
              </w:rPr>
              <w:t>3</w:t>
            </w:r>
            <w:r>
              <w:rPr>
                <w:bCs/>
                <w:color w:val="auto"/>
                <w:sz w:val="24"/>
                <w:szCs w:val="32"/>
              </w:rPr>
              <w:t>/a</w:t>
            </w:r>
            <w:r>
              <w:rPr>
                <w:rFonts w:hint="eastAsia"/>
                <w:bCs/>
                <w:color w:val="auto"/>
                <w:sz w:val="24"/>
                <w:szCs w:val="32"/>
              </w:rPr>
              <w:t>（8.64</w:t>
            </w:r>
            <w:r>
              <w:rPr>
                <w:bCs/>
                <w:color w:val="auto"/>
                <w:sz w:val="24"/>
                <w:szCs w:val="32"/>
              </w:rPr>
              <w:t>m</w:t>
            </w:r>
            <w:r>
              <w:rPr>
                <w:bCs/>
                <w:color w:val="auto"/>
                <w:sz w:val="24"/>
                <w:szCs w:val="32"/>
                <w:vertAlign w:val="superscript"/>
              </w:rPr>
              <w:t>3</w:t>
            </w:r>
            <w:r>
              <w:rPr>
                <w:bCs/>
                <w:color w:val="auto"/>
                <w:sz w:val="24"/>
                <w:szCs w:val="32"/>
              </w:rPr>
              <w:t>/d</w:t>
            </w:r>
            <w:r>
              <w:rPr>
                <w:rFonts w:hint="eastAsia"/>
                <w:bCs/>
                <w:color w:val="auto"/>
                <w:sz w:val="24"/>
                <w:szCs w:val="32"/>
              </w:rPr>
              <w:t>）</w:t>
            </w:r>
            <w:r>
              <w:rPr>
                <w:bCs/>
                <w:color w:val="auto"/>
                <w:sz w:val="24"/>
                <w:szCs w:val="32"/>
              </w:rPr>
              <w:t>，废水经三级沉淀后返回</w:t>
            </w:r>
            <w:r>
              <w:rPr>
                <w:rFonts w:hint="eastAsia"/>
                <w:bCs/>
                <w:color w:val="auto"/>
                <w:sz w:val="24"/>
                <w:szCs w:val="32"/>
              </w:rPr>
              <w:t>生产工序</w:t>
            </w:r>
            <w:r>
              <w:rPr>
                <w:bCs/>
                <w:color w:val="auto"/>
                <w:sz w:val="24"/>
                <w:szCs w:val="32"/>
              </w:rPr>
              <w:t>循环使用，不外排。</w:t>
            </w:r>
          </w:p>
          <w:p>
            <w:pPr>
              <w:adjustRightInd w:val="0"/>
              <w:snapToGrid w:val="0"/>
              <w:spacing w:line="520" w:lineRule="exact"/>
              <w:ind w:firstLine="480" w:firstLineChars="200"/>
              <w:rPr>
                <w:color w:val="auto"/>
                <w:sz w:val="24"/>
              </w:rPr>
            </w:pPr>
            <w:r>
              <w:rPr>
                <w:color w:val="auto"/>
                <w:sz w:val="24"/>
              </w:rPr>
              <w:t>养护用水：少量未蒸发的养护用水经水槽排至循环水池，回用于养护工序，该部分排放量较小，且排放取决于自然因素，无法准确计量，最终全部自然蒸发。</w:t>
            </w:r>
          </w:p>
          <w:p>
            <w:pPr>
              <w:adjustRightInd w:val="0"/>
              <w:snapToGrid w:val="0"/>
              <w:spacing w:line="520" w:lineRule="exact"/>
              <w:ind w:firstLine="480" w:firstLineChars="200"/>
              <w:rPr>
                <w:color w:val="auto"/>
                <w:sz w:val="24"/>
                <w:szCs w:val="32"/>
              </w:rPr>
            </w:pPr>
            <w:r>
              <w:rPr>
                <w:color w:val="auto"/>
                <w:sz w:val="24"/>
                <w:szCs w:val="32"/>
              </w:rPr>
              <w:t>实验室仅使用检测设备检测产品质量，不使用化学试剂，无废水产生。</w:t>
            </w:r>
          </w:p>
          <w:p>
            <w:pPr>
              <w:adjustRightInd w:val="0"/>
              <w:snapToGrid w:val="0"/>
              <w:spacing w:line="520" w:lineRule="exact"/>
              <w:ind w:firstLine="480" w:firstLineChars="200"/>
              <w:rPr>
                <w:color w:val="auto"/>
                <w:sz w:val="24"/>
              </w:rPr>
            </w:pPr>
            <w:r>
              <w:rPr>
                <w:rFonts w:hint="eastAsia"/>
                <w:color w:val="auto"/>
                <w:sz w:val="24"/>
              </w:rPr>
              <w:t>本</w:t>
            </w:r>
            <w:r>
              <w:rPr>
                <w:color w:val="auto"/>
                <w:sz w:val="24"/>
              </w:rPr>
              <w:t>项目水平衡</w:t>
            </w:r>
            <w:r>
              <w:rPr>
                <w:rFonts w:hint="eastAsia"/>
                <w:color w:val="auto"/>
                <w:sz w:val="24"/>
              </w:rPr>
              <w:t>见表2-</w:t>
            </w:r>
            <w:r>
              <w:rPr>
                <w:rFonts w:hint="eastAsia"/>
                <w:color w:val="auto"/>
                <w:sz w:val="24"/>
                <w:lang w:val="en-US" w:eastAsia="zh-CN"/>
              </w:rPr>
              <w:t>6</w:t>
            </w:r>
            <w:r>
              <w:rPr>
                <w:rFonts w:hint="eastAsia"/>
                <w:color w:val="auto"/>
                <w:sz w:val="24"/>
              </w:rPr>
              <w:t>，</w:t>
            </w:r>
            <w:r>
              <w:rPr>
                <w:color w:val="auto"/>
                <w:sz w:val="24"/>
              </w:rPr>
              <w:t>图</w:t>
            </w:r>
            <w:r>
              <w:rPr>
                <w:rFonts w:hint="eastAsia"/>
                <w:color w:val="auto"/>
                <w:sz w:val="24"/>
              </w:rPr>
              <w:t>2-</w:t>
            </w:r>
            <w:r>
              <w:rPr>
                <w:rFonts w:hint="eastAsia"/>
                <w:color w:val="auto"/>
                <w:sz w:val="24"/>
                <w:lang w:val="en-US" w:eastAsia="zh-CN"/>
              </w:rPr>
              <w:t>2</w:t>
            </w:r>
            <w:r>
              <w:rPr>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2</w:t>
            </w:r>
            <w:r>
              <w:rPr>
                <w:rFonts w:ascii="Times New Roman" w:hAnsi="Times New Roman" w:eastAsia="宋体" w:cs="Times New Roman"/>
                <w:b/>
                <w:color w:val="auto"/>
                <w:szCs w:val="21"/>
              </w:rPr>
              <w:t>-</w:t>
            </w:r>
            <w:r>
              <w:rPr>
                <w:rFonts w:hint="eastAsia" w:cs="Times New Roman"/>
                <w:b/>
                <w:color w:val="auto"/>
                <w:szCs w:val="21"/>
                <w:lang w:val="en-US" w:eastAsia="zh-CN"/>
              </w:rPr>
              <w:t>6</w:t>
            </w:r>
            <w:r>
              <w:rPr>
                <w:rFonts w:ascii="Times New Roman" w:hAnsi="Times New Roman" w:eastAsia="宋体" w:cs="Times New Roman"/>
                <w:b/>
                <w:color w:val="auto"/>
                <w:szCs w:val="21"/>
              </w:rPr>
              <w:t xml:space="preserve">   项目用、排水量概况</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442"/>
              <w:gridCol w:w="1226"/>
              <w:gridCol w:w="1142"/>
              <w:gridCol w:w="842"/>
              <w:gridCol w:w="1068"/>
              <w:gridCol w:w="721"/>
              <w:gridCol w:w="842"/>
              <w:gridCol w:w="689"/>
              <w:gridCol w:w="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66" w:type="pct"/>
                  <w:vMerge w:val="restart"/>
                  <w:vAlign w:val="center"/>
                </w:tcPr>
                <w:p>
                  <w:pPr>
                    <w:pStyle w:val="14"/>
                    <w:adjustRightInd w:val="0"/>
                    <w:snapToGrid w:val="0"/>
                    <w:jc w:val="center"/>
                    <w:rPr>
                      <w:rFonts w:ascii="Times New Roman" w:hAnsi="Times New Roman"/>
                      <w:color w:val="auto"/>
                      <w:spacing w:val="8"/>
                      <w:szCs w:val="21"/>
                    </w:rPr>
                  </w:pPr>
                  <w:r>
                    <w:rPr>
                      <w:rFonts w:ascii="Times New Roman" w:hAnsi="Times New Roman"/>
                      <w:color w:val="auto"/>
                      <w:spacing w:val="8"/>
                      <w:szCs w:val="21"/>
                    </w:rPr>
                    <w:t>序号</w:t>
                  </w:r>
                </w:p>
              </w:tc>
              <w:tc>
                <w:tcPr>
                  <w:tcW w:w="585" w:type="pct"/>
                  <w:vMerge w:val="restart"/>
                  <w:vAlign w:val="center"/>
                </w:tcPr>
                <w:p>
                  <w:pPr>
                    <w:widowControl/>
                    <w:tabs>
                      <w:tab w:val="left" w:pos="3077"/>
                      <w:tab w:val="center" w:pos="4770"/>
                    </w:tabs>
                    <w:jc w:val="center"/>
                    <w:rPr>
                      <w:color w:val="auto"/>
                      <w:spacing w:val="8"/>
                      <w:szCs w:val="21"/>
                    </w:rPr>
                  </w:pPr>
                  <w:r>
                    <w:rPr>
                      <w:color w:val="auto"/>
                      <w:spacing w:val="8"/>
                      <w:szCs w:val="21"/>
                    </w:rPr>
                    <w:t>用水类别</w:t>
                  </w:r>
                </w:p>
              </w:tc>
              <w:tc>
                <w:tcPr>
                  <w:tcW w:w="593" w:type="pct"/>
                  <w:vMerge w:val="restart"/>
                  <w:vAlign w:val="center"/>
                </w:tcPr>
                <w:p>
                  <w:pPr>
                    <w:widowControl/>
                    <w:tabs>
                      <w:tab w:val="left" w:pos="3077"/>
                      <w:tab w:val="center" w:pos="4770"/>
                    </w:tabs>
                    <w:jc w:val="center"/>
                    <w:rPr>
                      <w:color w:val="auto"/>
                      <w:spacing w:val="8"/>
                      <w:szCs w:val="21"/>
                    </w:rPr>
                  </w:pPr>
                  <w:r>
                    <w:rPr>
                      <w:color w:val="auto"/>
                      <w:spacing w:val="8"/>
                      <w:szCs w:val="21"/>
                    </w:rPr>
                    <w:t>用水定额</w:t>
                  </w:r>
                </w:p>
              </w:tc>
              <w:tc>
                <w:tcPr>
                  <w:tcW w:w="521" w:type="pct"/>
                  <w:vMerge w:val="restart"/>
                  <w:vAlign w:val="center"/>
                </w:tcPr>
                <w:p>
                  <w:pPr>
                    <w:widowControl/>
                    <w:tabs>
                      <w:tab w:val="left" w:pos="3077"/>
                      <w:tab w:val="center" w:pos="4770"/>
                    </w:tabs>
                    <w:jc w:val="center"/>
                    <w:rPr>
                      <w:color w:val="auto"/>
                      <w:spacing w:val="8"/>
                      <w:szCs w:val="21"/>
                    </w:rPr>
                  </w:pPr>
                  <w:r>
                    <w:rPr>
                      <w:color w:val="auto"/>
                      <w:spacing w:val="8"/>
                      <w:szCs w:val="21"/>
                    </w:rPr>
                    <w:t>用水</w:t>
                  </w:r>
                </w:p>
                <w:p>
                  <w:pPr>
                    <w:widowControl/>
                    <w:tabs>
                      <w:tab w:val="left" w:pos="3077"/>
                      <w:tab w:val="center" w:pos="4770"/>
                    </w:tabs>
                    <w:jc w:val="center"/>
                    <w:rPr>
                      <w:b/>
                      <w:bCs/>
                      <w:color w:val="auto"/>
                      <w:spacing w:val="8"/>
                      <w:szCs w:val="21"/>
                    </w:rPr>
                  </w:pPr>
                  <w:r>
                    <w:rPr>
                      <w:color w:val="auto"/>
                      <w:spacing w:val="8"/>
                      <w:szCs w:val="21"/>
                    </w:rPr>
                    <w:t>规模</w:t>
                  </w:r>
                </w:p>
              </w:tc>
              <w:tc>
                <w:tcPr>
                  <w:tcW w:w="1156" w:type="pct"/>
                  <w:gridSpan w:val="2"/>
                  <w:vAlign w:val="center"/>
                </w:tcPr>
                <w:p>
                  <w:pPr>
                    <w:widowControl/>
                    <w:tabs>
                      <w:tab w:val="left" w:pos="3077"/>
                      <w:tab w:val="center" w:pos="4770"/>
                    </w:tabs>
                    <w:jc w:val="center"/>
                    <w:rPr>
                      <w:b/>
                      <w:bCs/>
                      <w:color w:val="auto"/>
                      <w:spacing w:val="8"/>
                      <w:szCs w:val="21"/>
                    </w:rPr>
                  </w:pPr>
                  <w:r>
                    <w:rPr>
                      <w:color w:val="auto"/>
                      <w:spacing w:val="8"/>
                      <w:szCs w:val="21"/>
                    </w:rPr>
                    <w:t>新鲜水用水量</w:t>
                  </w:r>
                </w:p>
              </w:tc>
              <w:tc>
                <w:tcPr>
                  <w:tcW w:w="950" w:type="pct"/>
                  <w:gridSpan w:val="2"/>
                  <w:vAlign w:val="center"/>
                </w:tcPr>
                <w:p>
                  <w:pPr>
                    <w:widowControl/>
                    <w:tabs>
                      <w:tab w:val="left" w:pos="3077"/>
                      <w:tab w:val="center" w:pos="4770"/>
                    </w:tabs>
                    <w:jc w:val="center"/>
                    <w:rPr>
                      <w:color w:val="auto"/>
                      <w:spacing w:val="8"/>
                      <w:szCs w:val="21"/>
                    </w:rPr>
                  </w:pPr>
                  <w:r>
                    <w:rPr>
                      <w:color w:val="auto"/>
                      <w:spacing w:val="8"/>
                      <w:szCs w:val="21"/>
                    </w:rPr>
                    <w:t>回用水量</w:t>
                  </w:r>
                </w:p>
              </w:tc>
              <w:tc>
                <w:tcPr>
                  <w:tcW w:w="926" w:type="pct"/>
                  <w:gridSpan w:val="2"/>
                  <w:vAlign w:val="center"/>
                </w:tcPr>
                <w:p>
                  <w:pPr>
                    <w:widowControl/>
                    <w:tabs>
                      <w:tab w:val="left" w:pos="3077"/>
                      <w:tab w:val="center" w:pos="4770"/>
                    </w:tabs>
                    <w:jc w:val="center"/>
                    <w:rPr>
                      <w:color w:val="auto"/>
                      <w:spacing w:val="8"/>
                      <w:szCs w:val="21"/>
                    </w:rPr>
                  </w:pPr>
                  <w:r>
                    <w:rPr>
                      <w:color w:val="auto"/>
                      <w:spacing w:val="8"/>
                      <w:szCs w:val="21"/>
                    </w:rPr>
                    <w:t>排水量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66" w:type="pct"/>
                  <w:vMerge w:val="continue"/>
                  <w:vAlign w:val="center"/>
                </w:tcPr>
                <w:p>
                  <w:pPr>
                    <w:widowControl/>
                    <w:tabs>
                      <w:tab w:val="center" w:pos="4770"/>
                    </w:tabs>
                    <w:jc w:val="center"/>
                    <w:rPr>
                      <w:color w:val="auto"/>
                      <w:szCs w:val="21"/>
                    </w:rPr>
                  </w:pPr>
                </w:p>
              </w:tc>
              <w:tc>
                <w:tcPr>
                  <w:tcW w:w="585" w:type="pct"/>
                  <w:vMerge w:val="continue"/>
                  <w:vAlign w:val="center"/>
                </w:tcPr>
                <w:p>
                  <w:pPr>
                    <w:widowControl/>
                    <w:tabs>
                      <w:tab w:val="center" w:pos="4770"/>
                    </w:tabs>
                    <w:jc w:val="center"/>
                    <w:rPr>
                      <w:color w:val="auto"/>
                      <w:szCs w:val="21"/>
                    </w:rPr>
                  </w:pPr>
                </w:p>
              </w:tc>
              <w:tc>
                <w:tcPr>
                  <w:tcW w:w="593" w:type="pct"/>
                  <w:vMerge w:val="continue"/>
                  <w:vAlign w:val="center"/>
                </w:tcPr>
                <w:p>
                  <w:pPr>
                    <w:widowControl/>
                    <w:tabs>
                      <w:tab w:val="center" w:pos="4770"/>
                    </w:tabs>
                    <w:jc w:val="center"/>
                    <w:rPr>
                      <w:color w:val="auto"/>
                      <w:szCs w:val="21"/>
                    </w:rPr>
                  </w:pPr>
                </w:p>
              </w:tc>
              <w:tc>
                <w:tcPr>
                  <w:tcW w:w="521" w:type="pct"/>
                  <w:vMerge w:val="continue"/>
                  <w:vAlign w:val="center"/>
                </w:tcPr>
                <w:p>
                  <w:pPr>
                    <w:widowControl/>
                    <w:tabs>
                      <w:tab w:val="center" w:pos="4770"/>
                    </w:tabs>
                    <w:jc w:val="center"/>
                    <w:rPr>
                      <w:color w:val="auto"/>
                      <w:szCs w:val="21"/>
                    </w:rPr>
                  </w:pPr>
                </w:p>
              </w:tc>
              <w:tc>
                <w:tcPr>
                  <w:tcW w:w="509" w:type="pct"/>
                  <w:vAlign w:val="center"/>
                </w:tcPr>
                <w:p>
                  <w:pPr>
                    <w:widowControl/>
                    <w:tabs>
                      <w:tab w:val="center" w:pos="4770"/>
                    </w:tabs>
                    <w:jc w:val="center"/>
                    <w:rPr>
                      <w:b/>
                      <w:bCs/>
                      <w:color w:val="auto"/>
                      <w:spacing w:val="8"/>
                      <w:szCs w:val="21"/>
                    </w:rPr>
                  </w:pPr>
                  <w:r>
                    <w:rPr>
                      <w:color w:val="auto"/>
                      <w:szCs w:val="21"/>
                    </w:rPr>
                    <w:t>m</w:t>
                  </w:r>
                  <w:r>
                    <w:rPr>
                      <w:color w:val="auto"/>
                      <w:szCs w:val="21"/>
                      <w:vertAlign w:val="superscript"/>
                    </w:rPr>
                    <w:t>3</w:t>
                  </w:r>
                  <w:r>
                    <w:rPr>
                      <w:color w:val="auto"/>
                      <w:szCs w:val="21"/>
                    </w:rPr>
                    <w:t>/d</w:t>
                  </w:r>
                </w:p>
              </w:tc>
              <w:tc>
                <w:tcPr>
                  <w:tcW w:w="646" w:type="pct"/>
                  <w:vAlign w:val="center"/>
                </w:tcPr>
                <w:p>
                  <w:pPr>
                    <w:widowControl/>
                    <w:tabs>
                      <w:tab w:val="center" w:pos="4770"/>
                    </w:tabs>
                    <w:jc w:val="center"/>
                    <w:rPr>
                      <w:b/>
                      <w:bCs/>
                      <w:color w:val="auto"/>
                      <w:spacing w:val="8"/>
                      <w:szCs w:val="21"/>
                    </w:rPr>
                  </w:pPr>
                  <w:r>
                    <w:rPr>
                      <w:color w:val="auto"/>
                      <w:szCs w:val="21"/>
                    </w:rPr>
                    <w:t>m</w:t>
                  </w:r>
                  <w:r>
                    <w:rPr>
                      <w:color w:val="auto"/>
                      <w:szCs w:val="21"/>
                      <w:vertAlign w:val="superscript"/>
                    </w:rPr>
                    <w:t>3</w:t>
                  </w:r>
                  <w:r>
                    <w:rPr>
                      <w:color w:val="auto"/>
                      <w:szCs w:val="21"/>
                    </w:rPr>
                    <w:t>/a</w:t>
                  </w:r>
                </w:p>
              </w:tc>
              <w:tc>
                <w:tcPr>
                  <w:tcW w:w="441" w:type="pct"/>
                  <w:vAlign w:val="center"/>
                </w:tcPr>
                <w:p>
                  <w:pPr>
                    <w:widowControl/>
                    <w:tabs>
                      <w:tab w:val="center" w:pos="4770"/>
                    </w:tabs>
                    <w:jc w:val="center"/>
                    <w:rPr>
                      <w:b/>
                      <w:bCs/>
                      <w:color w:val="auto"/>
                      <w:spacing w:val="8"/>
                      <w:szCs w:val="21"/>
                    </w:rPr>
                  </w:pPr>
                  <w:r>
                    <w:rPr>
                      <w:color w:val="auto"/>
                      <w:szCs w:val="21"/>
                    </w:rPr>
                    <w:t>m</w:t>
                  </w:r>
                  <w:r>
                    <w:rPr>
                      <w:color w:val="auto"/>
                      <w:szCs w:val="21"/>
                      <w:vertAlign w:val="superscript"/>
                    </w:rPr>
                    <w:t>3</w:t>
                  </w:r>
                  <w:r>
                    <w:rPr>
                      <w:color w:val="auto"/>
                      <w:szCs w:val="21"/>
                    </w:rPr>
                    <w:t>/d</w:t>
                  </w:r>
                </w:p>
              </w:tc>
              <w:tc>
                <w:tcPr>
                  <w:tcW w:w="509" w:type="pct"/>
                  <w:vAlign w:val="center"/>
                </w:tcPr>
                <w:p>
                  <w:pPr>
                    <w:widowControl/>
                    <w:tabs>
                      <w:tab w:val="center" w:pos="4770"/>
                    </w:tabs>
                    <w:jc w:val="center"/>
                    <w:rPr>
                      <w:b/>
                      <w:bCs/>
                      <w:color w:val="auto"/>
                      <w:spacing w:val="8"/>
                      <w:szCs w:val="21"/>
                    </w:rPr>
                  </w:pPr>
                  <w:r>
                    <w:rPr>
                      <w:color w:val="auto"/>
                      <w:szCs w:val="21"/>
                    </w:rPr>
                    <w:t>m</w:t>
                  </w:r>
                  <w:r>
                    <w:rPr>
                      <w:color w:val="auto"/>
                      <w:szCs w:val="21"/>
                      <w:vertAlign w:val="superscript"/>
                    </w:rPr>
                    <w:t>3</w:t>
                  </w:r>
                  <w:r>
                    <w:rPr>
                      <w:color w:val="auto"/>
                      <w:szCs w:val="21"/>
                    </w:rPr>
                    <w:t>/a</w:t>
                  </w:r>
                </w:p>
              </w:tc>
              <w:tc>
                <w:tcPr>
                  <w:tcW w:w="416" w:type="pct"/>
                  <w:vAlign w:val="center"/>
                </w:tcPr>
                <w:p>
                  <w:pPr>
                    <w:widowControl/>
                    <w:tabs>
                      <w:tab w:val="center" w:pos="4770"/>
                    </w:tabs>
                    <w:jc w:val="center"/>
                    <w:rPr>
                      <w:color w:val="auto"/>
                      <w:szCs w:val="21"/>
                    </w:rPr>
                  </w:pPr>
                  <w:r>
                    <w:rPr>
                      <w:color w:val="auto"/>
                      <w:szCs w:val="21"/>
                    </w:rPr>
                    <w:t>m</w:t>
                  </w:r>
                  <w:r>
                    <w:rPr>
                      <w:color w:val="auto"/>
                      <w:szCs w:val="21"/>
                      <w:vertAlign w:val="superscript"/>
                    </w:rPr>
                    <w:t>3</w:t>
                  </w:r>
                  <w:r>
                    <w:rPr>
                      <w:color w:val="auto"/>
                      <w:szCs w:val="21"/>
                    </w:rPr>
                    <w:t>/d</w:t>
                  </w:r>
                </w:p>
              </w:tc>
              <w:tc>
                <w:tcPr>
                  <w:tcW w:w="510" w:type="pct"/>
                  <w:vAlign w:val="center"/>
                </w:tcPr>
                <w:p>
                  <w:pPr>
                    <w:widowControl/>
                    <w:tabs>
                      <w:tab w:val="center" w:pos="4770"/>
                    </w:tabs>
                    <w:jc w:val="center"/>
                    <w:rPr>
                      <w:color w:val="auto"/>
                      <w:szCs w:val="21"/>
                      <w:highlight w:val="yellow"/>
                    </w:rPr>
                  </w:pPr>
                  <w:r>
                    <w:rPr>
                      <w:color w:val="auto"/>
                      <w:szCs w:val="21"/>
                    </w:rPr>
                    <w:t>m</w:t>
                  </w:r>
                  <w:r>
                    <w:rPr>
                      <w:color w:val="auto"/>
                      <w:szCs w:val="21"/>
                      <w:vertAlign w:val="superscript"/>
                    </w:rPr>
                    <w:t>3</w:t>
                  </w:r>
                  <w:r>
                    <w:rPr>
                      <w:color w:val="auto"/>
                      <w:szCs w:val="2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66" w:type="pct"/>
                  <w:vAlign w:val="center"/>
                </w:tcPr>
                <w:p>
                  <w:pPr>
                    <w:pStyle w:val="14"/>
                    <w:adjustRightInd w:val="0"/>
                    <w:snapToGrid w:val="0"/>
                    <w:jc w:val="center"/>
                    <w:rPr>
                      <w:rFonts w:ascii="Times New Roman" w:hAnsi="Times New Roman"/>
                      <w:color w:val="auto"/>
                      <w:spacing w:val="8"/>
                      <w:szCs w:val="21"/>
                    </w:rPr>
                  </w:pPr>
                  <w:r>
                    <w:rPr>
                      <w:rFonts w:ascii="Times New Roman" w:hAnsi="Times New Roman"/>
                      <w:color w:val="auto"/>
                      <w:spacing w:val="8"/>
                      <w:szCs w:val="21"/>
                    </w:rPr>
                    <w:t>1</w:t>
                  </w:r>
                </w:p>
              </w:tc>
              <w:tc>
                <w:tcPr>
                  <w:tcW w:w="585" w:type="pct"/>
                  <w:vAlign w:val="center"/>
                </w:tcPr>
                <w:p>
                  <w:pPr>
                    <w:widowControl/>
                    <w:tabs>
                      <w:tab w:val="left" w:pos="3077"/>
                      <w:tab w:val="center" w:pos="4770"/>
                    </w:tabs>
                    <w:jc w:val="center"/>
                    <w:rPr>
                      <w:color w:val="auto"/>
                      <w:spacing w:val="8"/>
                      <w:szCs w:val="21"/>
                    </w:rPr>
                  </w:pPr>
                  <w:r>
                    <w:rPr>
                      <w:color w:val="auto"/>
                      <w:spacing w:val="8"/>
                      <w:szCs w:val="21"/>
                    </w:rPr>
                    <w:t>员工生活用水</w:t>
                  </w:r>
                </w:p>
              </w:tc>
              <w:tc>
                <w:tcPr>
                  <w:tcW w:w="593" w:type="pct"/>
                  <w:vAlign w:val="center"/>
                </w:tcPr>
                <w:p>
                  <w:pPr>
                    <w:widowControl/>
                    <w:tabs>
                      <w:tab w:val="left" w:pos="3077"/>
                      <w:tab w:val="center" w:pos="4770"/>
                    </w:tabs>
                    <w:jc w:val="center"/>
                    <w:rPr>
                      <w:color w:val="auto"/>
                      <w:spacing w:val="8"/>
                      <w:szCs w:val="21"/>
                    </w:rPr>
                  </w:pPr>
                  <w:r>
                    <w:rPr>
                      <w:color w:val="auto"/>
                      <w:szCs w:val="21"/>
                    </w:rPr>
                    <w:t>30L/d·人</w:t>
                  </w:r>
                </w:p>
              </w:tc>
              <w:tc>
                <w:tcPr>
                  <w:tcW w:w="521" w:type="pct"/>
                  <w:vAlign w:val="center"/>
                </w:tcPr>
                <w:p>
                  <w:pPr>
                    <w:widowControl/>
                    <w:tabs>
                      <w:tab w:val="left" w:pos="3077"/>
                      <w:tab w:val="center" w:pos="4770"/>
                    </w:tabs>
                    <w:jc w:val="center"/>
                    <w:rPr>
                      <w:color w:val="auto"/>
                      <w:spacing w:val="8"/>
                      <w:szCs w:val="21"/>
                    </w:rPr>
                  </w:pPr>
                  <w:r>
                    <w:rPr>
                      <w:color w:val="auto"/>
                      <w:szCs w:val="21"/>
                    </w:rPr>
                    <w:t>50人</w:t>
                  </w:r>
                </w:p>
              </w:tc>
              <w:tc>
                <w:tcPr>
                  <w:tcW w:w="509" w:type="pct"/>
                  <w:vAlign w:val="center"/>
                </w:tcPr>
                <w:p>
                  <w:pPr>
                    <w:widowControl/>
                    <w:jc w:val="center"/>
                    <w:textAlignment w:val="center"/>
                    <w:rPr>
                      <w:color w:val="auto"/>
                      <w:spacing w:val="8"/>
                      <w:szCs w:val="21"/>
                    </w:rPr>
                  </w:pPr>
                  <w:r>
                    <w:rPr>
                      <w:color w:val="auto"/>
                      <w:kern w:val="0"/>
                      <w:szCs w:val="21"/>
                      <w:lang w:bidi="ar"/>
                    </w:rPr>
                    <w:t>1.5</w:t>
                  </w:r>
                </w:p>
              </w:tc>
              <w:tc>
                <w:tcPr>
                  <w:tcW w:w="646" w:type="pct"/>
                  <w:vAlign w:val="center"/>
                </w:tcPr>
                <w:p>
                  <w:pPr>
                    <w:widowControl/>
                    <w:jc w:val="center"/>
                    <w:textAlignment w:val="center"/>
                    <w:rPr>
                      <w:color w:val="auto"/>
                      <w:spacing w:val="8"/>
                      <w:szCs w:val="21"/>
                    </w:rPr>
                  </w:pPr>
                  <w:r>
                    <w:rPr>
                      <w:color w:val="auto"/>
                      <w:spacing w:val="8"/>
                      <w:szCs w:val="21"/>
                    </w:rPr>
                    <w:t>390</w:t>
                  </w:r>
                </w:p>
              </w:tc>
              <w:tc>
                <w:tcPr>
                  <w:tcW w:w="441" w:type="pct"/>
                  <w:vAlign w:val="center"/>
                </w:tcPr>
                <w:p>
                  <w:pPr>
                    <w:widowControl/>
                    <w:jc w:val="center"/>
                    <w:textAlignment w:val="center"/>
                    <w:rPr>
                      <w:color w:val="auto"/>
                      <w:spacing w:val="8"/>
                      <w:szCs w:val="21"/>
                    </w:rPr>
                  </w:pPr>
                  <w:r>
                    <w:rPr>
                      <w:color w:val="auto"/>
                      <w:kern w:val="0"/>
                      <w:szCs w:val="21"/>
                      <w:lang w:bidi="ar"/>
                    </w:rPr>
                    <w:t>/</w:t>
                  </w:r>
                </w:p>
              </w:tc>
              <w:tc>
                <w:tcPr>
                  <w:tcW w:w="509" w:type="pct"/>
                  <w:vAlign w:val="center"/>
                </w:tcPr>
                <w:p>
                  <w:pPr>
                    <w:widowControl/>
                    <w:jc w:val="center"/>
                    <w:textAlignment w:val="center"/>
                    <w:rPr>
                      <w:color w:val="auto"/>
                      <w:spacing w:val="8"/>
                      <w:szCs w:val="21"/>
                    </w:rPr>
                  </w:pPr>
                  <w:r>
                    <w:rPr>
                      <w:color w:val="auto"/>
                      <w:kern w:val="0"/>
                      <w:szCs w:val="21"/>
                      <w:lang w:bidi="ar"/>
                    </w:rPr>
                    <w:t>/</w:t>
                  </w:r>
                </w:p>
              </w:tc>
              <w:tc>
                <w:tcPr>
                  <w:tcW w:w="416" w:type="pct"/>
                  <w:vAlign w:val="center"/>
                </w:tcPr>
                <w:p>
                  <w:pPr>
                    <w:widowControl/>
                    <w:jc w:val="center"/>
                    <w:textAlignment w:val="center"/>
                    <w:rPr>
                      <w:color w:val="auto"/>
                      <w:spacing w:val="8"/>
                      <w:szCs w:val="21"/>
                    </w:rPr>
                  </w:pPr>
                  <w:r>
                    <w:rPr>
                      <w:color w:val="auto"/>
                      <w:spacing w:val="8"/>
                      <w:szCs w:val="21"/>
                    </w:rPr>
                    <w:t>1.2</w:t>
                  </w:r>
                </w:p>
              </w:tc>
              <w:tc>
                <w:tcPr>
                  <w:tcW w:w="510" w:type="pct"/>
                  <w:vAlign w:val="center"/>
                </w:tcPr>
                <w:p>
                  <w:pPr>
                    <w:widowControl/>
                    <w:jc w:val="center"/>
                    <w:textAlignment w:val="center"/>
                    <w:rPr>
                      <w:color w:val="auto"/>
                      <w:spacing w:val="8"/>
                      <w:szCs w:val="21"/>
                    </w:rPr>
                  </w:pPr>
                  <w:r>
                    <w:rPr>
                      <w:color w:val="auto"/>
                      <w:spacing w:val="8"/>
                      <w:szCs w:val="21"/>
                    </w:rPr>
                    <w:t>312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6" w:type="pct"/>
                  <w:vAlign w:val="center"/>
                </w:tcPr>
                <w:p>
                  <w:pPr>
                    <w:pStyle w:val="14"/>
                    <w:adjustRightInd w:val="0"/>
                    <w:snapToGrid w:val="0"/>
                    <w:jc w:val="center"/>
                    <w:rPr>
                      <w:rFonts w:ascii="Times New Roman" w:hAnsi="Times New Roman"/>
                      <w:color w:val="auto"/>
                      <w:spacing w:val="8"/>
                      <w:szCs w:val="21"/>
                    </w:rPr>
                  </w:pPr>
                  <w:r>
                    <w:rPr>
                      <w:rFonts w:ascii="Times New Roman" w:hAnsi="Times New Roman"/>
                      <w:color w:val="auto"/>
                      <w:spacing w:val="8"/>
                      <w:szCs w:val="21"/>
                    </w:rPr>
                    <w:t>2</w:t>
                  </w:r>
                </w:p>
              </w:tc>
              <w:tc>
                <w:tcPr>
                  <w:tcW w:w="585" w:type="pct"/>
                  <w:vAlign w:val="center"/>
                </w:tcPr>
                <w:p>
                  <w:pPr>
                    <w:widowControl/>
                    <w:tabs>
                      <w:tab w:val="left" w:pos="3077"/>
                      <w:tab w:val="center" w:pos="4770"/>
                    </w:tabs>
                    <w:jc w:val="center"/>
                    <w:rPr>
                      <w:color w:val="auto"/>
                      <w:szCs w:val="21"/>
                    </w:rPr>
                  </w:pPr>
                  <w:r>
                    <w:rPr>
                      <w:color w:val="auto"/>
                      <w:szCs w:val="21"/>
                    </w:rPr>
                    <w:t>生产工艺用水</w:t>
                  </w:r>
                </w:p>
              </w:tc>
              <w:tc>
                <w:tcPr>
                  <w:tcW w:w="593" w:type="pct"/>
                  <w:vAlign w:val="center"/>
                </w:tcPr>
                <w:p>
                  <w:pPr>
                    <w:widowControl/>
                    <w:tabs>
                      <w:tab w:val="left" w:pos="3077"/>
                      <w:tab w:val="center" w:pos="4770"/>
                    </w:tabs>
                    <w:jc w:val="center"/>
                    <w:rPr>
                      <w:color w:val="auto"/>
                      <w:spacing w:val="8"/>
                      <w:szCs w:val="21"/>
                    </w:rPr>
                  </w:pPr>
                  <w:r>
                    <w:rPr>
                      <w:snapToGrid w:val="0"/>
                      <w:color w:val="auto"/>
                      <w:szCs w:val="21"/>
                    </w:rPr>
                    <w:t>0.175m</w:t>
                  </w:r>
                  <w:r>
                    <w:rPr>
                      <w:snapToGrid w:val="0"/>
                      <w:color w:val="auto"/>
                      <w:szCs w:val="21"/>
                      <w:vertAlign w:val="superscript"/>
                    </w:rPr>
                    <w:t>3</w:t>
                  </w:r>
                  <w:r>
                    <w:rPr>
                      <w:snapToGrid w:val="0"/>
                      <w:color w:val="auto"/>
                      <w:szCs w:val="21"/>
                    </w:rPr>
                    <w:t>/</w:t>
                  </w:r>
                  <w:r>
                    <w:rPr>
                      <w:color w:val="auto"/>
                      <w:spacing w:val="8"/>
                      <w:szCs w:val="21"/>
                    </w:rPr>
                    <w:t>m</w:t>
                  </w:r>
                  <w:r>
                    <w:rPr>
                      <w:color w:val="auto"/>
                      <w:spacing w:val="8"/>
                      <w:szCs w:val="21"/>
                      <w:vertAlign w:val="superscript"/>
                    </w:rPr>
                    <w:t>3</w:t>
                  </w:r>
                  <w:r>
                    <w:rPr>
                      <w:snapToGrid w:val="0"/>
                      <w:color w:val="auto"/>
                      <w:szCs w:val="21"/>
                    </w:rPr>
                    <w:t>产品</w:t>
                  </w:r>
                </w:p>
              </w:tc>
              <w:tc>
                <w:tcPr>
                  <w:tcW w:w="521" w:type="pct"/>
                  <w:vAlign w:val="center"/>
                </w:tcPr>
                <w:p>
                  <w:pPr>
                    <w:widowControl/>
                    <w:tabs>
                      <w:tab w:val="left" w:pos="3077"/>
                      <w:tab w:val="center" w:pos="4770"/>
                    </w:tabs>
                    <w:jc w:val="center"/>
                    <w:rPr>
                      <w:color w:val="auto"/>
                      <w:spacing w:val="8"/>
                      <w:szCs w:val="21"/>
                    </w:rPr>
                  </w:pPr>
                  <w:r>
                    <w:rPr>
                      <w:rFonts w:hint="eastAsia"/>
                      <w:color w:val="auto"/>
                      <w:spacing w:val="8"/>
                      <w:szCs w:val="21"/>
                    </w:rPr>
                    <w:t>60</w:t>
                  </w:r>
                  <w:r>
                    <w:rPr>
                      <w:color w:val="auto"/>
                      <w:spacing w:val="8"/>
                      <w:szCs w:val="21"/>
                    </w:rPr>
                    <w:t>万m</w:t>
                  </w:r>
                  <w:r>
                    <w:rPr>
                      <w:color w:val="auto"/>
                      <w:spacing w:val="8"/>
                      <w:szCs w:val="21"/>
                      <w:vertAlign w:val="superscript"/>
                    </w:rPr>
                    <w:t>3</w:t>
                  </w:r>
                </w:p>
              </w:tc>
              <w:tc>
                <w:tcPr>
                  <w:tcW w:w="509" w:type="pct"/>
                  <w:vAlign w:val="center"/>
                </w:tcPr>
                <w:p>
                  <w:pPr>
                    <w:widowControl/>
                    <w:jc w:val="center"/>
                    <w:textAlignment w:val="center"/>
                    <w:rPr>
                      <w:color w:val="auto"/>
                      <w:spacing w:val="8"/>
                      <w:szCs w:val="21"/>
                    </w:rPr>
                  </w:pPr>
                  <w:r>
                    <w:rPr>
                      <w:rFonts w:hint="eastAsia"/>
                      <w:color w:val="auto"/>
                      <w:spacing w:val="8"/>
                      <w:szCs w:val="21"/>
                    </w:rPr>
                    <w:t>398.29</w:t>
                  </w:r>
                </w:p>
              </w:tc>
              <w:tc>
                <w:tcPr>
                  <w:tcW w:w="646" w:type="pct"/>
                  <w:vAlign w:val="center"/>
                </w:tcPr>
                <w:p>
                  <w:pPr>
                    <w:widowControl/>
                    <w:jc w:val="center"/>
                    <w:textAlignment w:val="center"/>
                    <w:rPr>
                      <w:color w:val="auto"/>
                      <w:spacing w:val="8"/>
                      <w:szCs w:val="21"/>
                    </w:rPr>
                  </w:pPr>
                  <w:r>
                    <w:rPr>
                      <w:color w:val="auto"/>
                      <w:spacing w:val="8"/>
                      <w:szCs w:val="21"/>
                    </w:rPr>
                    <w:t>1</w:t>
                  </w:r>
                  <w:r>
                    <w:rPr>
                      <w:rFonts w:hint="eastAsia"/>
                      <w:color w:val="auto"/>
                      <w:spacing w:val="8"/>
                      <w:szCs w:val="21"/>
                    </w:rPr>
                    <w:t>03551</w:t>
                  </w:r>
                  <w:r>
                    <w:rPr>
                      <w:color w:val="auto"/>
                      <w:spacing w:val="8"/>
                      <w:szCs w:val="21"/>
                    </w:rPr>
                    <w:t>.6</w:t>
                  </w:r>
                </w:p>
              </w:tc>
              <w:tc>
                <w:tcPr>
                  <w:tcW w:w="441" w:type="pct"/>
                  <w:vAlign w:val="center"/>
                </w:tcPr>
                <w:p>
                  <w:pPr>
                    <w:widowControl/>
                    <w:jc w:val="center"/>
                    <w:textAlignment w:val="center"/>
                    <w:rPr>
                      <w:color w:val="auto"/>
                      <w:spacing w:val="8"/>
                      <w:szCs w:val="21"/>
                    </w:rPr>
                  </w:pPr>
                  <w:r>
                    <w:rPr>
                      <w:rFonts w:hint="eastAsia"/>
                      <w:color w:val="auto"/>
                      <w:spacing w:val="8"/>
                      <w:szCs w:val="21"/>
                    </w:rPr>
                    <w:t>11.34</w:t>
                  </w:r>
                </w:p>
              </w:tc>
              <w:tc>
                <w:tcPr>
                  <w:tcW w:w="509" w:type="pct"/>
                  <w:vAlign w:val="center"/>
                </w:tcPr>
                <w:p>
                  <w:pPr>
                    <w:widowControl/>
                    <w:jc w:val="center"/>
                    <w:textAlignment w:val="center"/>
                    <w:rPr>
                      <w:color w:val="auto"/>
                      <w:spacing w:val="8"/>
                      <w:szCs w:val="21"/>
                    </w:rPr>
                  </w:pPr>
                  <w:r>
                    <w:rPr>
                      <w:rFonts w:hint="eastAsia"/>
                      <w:color w:val="auto"/>
                      <w:spacing w:val="8"/>
                      <w:szCs w:val="21"/>
                    </w:rPr>
                    <w:t>2948.4</w:t>
                  </w:r>
                </w:p>
              </w:tc>
              <w:tc>
                <w:tcPr>
                  <w:tcW w:w="416" w:type="pct"/>
                  <w:vAlign w:val="center"/>
                </w:tcPr>
                <w:p>
                  <w:pPr>
                    <w:widowControl/>
                    <w:jc w:val="center"/>
                    <w:textAlignment w:val="center"/>
                    <w:rPr>
                      <w:color w:val="auto"/>
                      <w:spacing w:val="8"/>
                      <w:szCs w:val="21"/>
                    </w:rPr>
                  </w:pPr>
                  <w:r>
                    <w:rPr>
                      <w:color w:val="auto"/>
                      <w:kern w:val="0"/>
                      <w:szCs w:val="21"/>
                      <w:lang w:bidi="ar"/>
                    </w:rPr>
                    <w:t>0</w:t>
                  </w:r>
                </w:p>
              </w:tc>
              <w:tc>
                <w:tcPr>
                  <w:tcW w:w="510" w:type="pct"/>
                  <w:vAlign w:val="center"/>
                </w:tcPr>
                <w:p>
                  <w:pPr>
                    <w:widowControl/>
                    <w:jc w:val="center"/>
                    <w:textAlignment w:val="center"/>
                    <w:rPr>
                      <w:color w:val="auto"/>
                      <w:spacing w:val="8"/>
                      <w:szCs w:val="21"/>
                    </w:rPr>
                  </w:pPr>
                  <w:r>
                    <w:rPr>
                      <w:color w:val="auto"/>
                      <w:kern w:val="0"/>
                      <w:szCs w:val="21"/>
                      <w:lang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6" w:type="pct"/>
                  <w:vAlign w:val="center"/>
                </w:tcPr>
                <w:p>
                  <w:pPr>
                    <w:pStyle w:val="14"/>
                    <w:adjustRightInd w:val="0"/>
                    <w:snapToGrid w:val="0"/>
                    <w:jc w:val="center"/>
                    <w:rPr>
                      <w:rFonts w:ascii="Times New Roman" w:hAnsi="Times New Roman"/>
                      <w:color w:val="auto"/>
                      <w:spacing w:val="8"/>
                      <w:szCs w:val="21"/>
                    </w:rPr>
                  </w:pPr>
                  <w:r>
                    <w:rPr>
                      <w:rFonts w:ascii="Times New Roman" w:hAnsi="Times New Roman"/>
                      <w:color w:val="auto"/>
                      <w:spacing w:val="8"/>
                      <w:szCs w:val="21"/>
                    </w:rPr>
                    <w:t>3</w:t>
                  </w:r>
                </w:p>
              </w:tc>
              <w:tc>
                <w:tcPr>
                  <w:tcW w:w="585" w:type="pct"/>
                  <w:vAlign w:val="center"/>
                </w:tcPr>
                <w:p>
                  <w:pPr>
                    <w:widowControl/>
                    <w:tabs>
                      <w:tab w:val="left" w:pos="3077"/>
                      <w:tab w:val="center" w:pos="4770"/>
                    </w:tabs>
                    <w:jc w:val="center"/>
                    <w:rPr>
                      <w:color w:val="auto"/>
                      <w:szCs w:val="21"/>
                    </w:rPr>
                  </w:pPr>
                  <w:r>
                    <w:rPr>
                      <w:color w:val="auto"/>
                      <w:szCs w:val="21"/>
                    </w:rPr>
                    <w:t>搅拌机清洗用水</w:t>
                  </w:r>
                </w:p>
              </w:tc>
              <w:tc>
                <w:tcPr>
                  <w:tcW w:w="593" w:type="pct"/>
                  <w:vAlign w:val="center"/>
                </w:tcPr>
                <w:p>
                  <w:pPr>
                    <w:widowControl/>
                    <w:tabs>
                      <w:tab w:val="left" w:pos="3077"/>
                      <w:tab w:val="center" w:pos="4770"/>
                    </w:tabs>
                    <w:jc w:val="center"/>
                    <w:rPr>
                      <w:color w:val="auto"/>
                      <w:spacing w:val="8"/>
                      <w:szCs w:val="21"/>
                    </w:rPr>
                  </w:pPr>
                  <w:r>
                    <w:rPr>
                      <w:color w:val="auto"/>
                      <w:spacing w:val="8"/>
                      <w:szCs w:val="21"/>
                    </w:rPr>
                    <w:t>1.5m</w:t>
                  </w:r>
                  <w:r>
                    <w:rPr>
                      <w:color w:val="auto"/>
                      <w:spacing w:val="8"/>
                      <w:szCs w:val="21"/>
                      <w:vertAlign w:val="superscript"/>
                    </w:rPr>
                    <w:t>3</w:t>
                  </w:r>
                  <w:r>
                    <w:rPr>
                      <w:color w:val="auto"/>
                      <w:spacing w:val="8"/>
                      <w:szCs w:val="21"/>
                    </w:rPr>
                    <w:t>/次</w:t>
                  </w:r>
                </w:p>
              </w:tc>
              <w:tc>
                <w:tcPr>
                  <w:tcW w:w="521" w:type="pct"/>
                  <w:vAlign w:val="center"/>
                </w:tcPr>
                <w:p>
                  <w:pPr>
                    <w:widowControl/>
                    <w:tabs>
                      <w:tab w:val="left" w:pos="3077"/>
                      <w:tab w:val="center" w:pos="4770"/>
                    </w:tabs>
                    <w:jc w:val="center"/>
                    <w:rPr>
                      <w:color w:val="auto"/>
                      <w:spacing w:val="8"/>
                      <w:szCs w:val="21"/>
                    </w:rPr>
                  </w:pPr>
                  <w:r>
                    <w:rPr>
                      <w:color w:val="auto"/>
                      <w:spacing w:val="8"/>
                      <w:szCs w:val="21"/>
                    </w:rPr>
                    <w:t>260次*</w:t>
                  </w:r>
                  <w:r>
                    <w:rPr>
                      <w:rFonts w:hint="eastAsia"/>
                      <w:color w:val="auto"/>
                      <w:spacing w:val="8"/>
                      <w:szCs w:val="21"/>
                    </w:rPr>
                    <w:t>2</w:t>
                  </w:r>
                  <w:r>
                    <w:rPr>
                      <w:color w:val="auto"/>
                      <w:spacing w:val="8"/>
                      <w:szCs w:val="21"/>
                    </w:rPr>
                    <w:t xml:space="preserve"> </w:t>
                  </w:r>
                </w:p>
              </w:tc>
              <w:tc>
                <w:tcPr>
                  <w:tcW w:w="509" w:type="pct"/>
                  <w:vAlign w:val="center"/>
                </w:tcPr>
                <w:p>
                  <w:pPr>
                    <w:widowControl/>
                    <w:jc w:val="center"/>
                    <w:textAlignment w:val="center"/>
                    <w:rPr>
                      <w:color w:val="auto"/>
                      <w:spacing w:val="8"/>
                      <w:szCs w:val="21"/>
                    </w:rPr>
                  </w:pPr>
                  <w:r>
                    <w:rPr>
                      <w:rFonts w:hint="eastAsia"/>
                      <w:color w:val="auto"/>
                      <w:spacing w:val="8"/>
                      <w:szCs w:val="21"/>
                    </w:rPr>
                    <w:t>3</w:t>
                  </w:r>
                </w:p>
              </w:tc>
              <w:tc>
                <w:tcPr>
                  <w:tcW w:w="646" w:type="pct"/>
                  <w:vAlign w:val="center"/>
                </w:tcPr>
                <w:p>
                  <w:pPr>
                    <w:widowControl/>
                    <w:jc w:val="center"/>
                    <w:textAlignment w:val="center"/>
                    <w:rPr>
                      <w:color w:val="auto"/>
                      <w:spacing w:val="8"/>
                      <w:szCs w:val="21"/>
                    </w:rPr>
                  </w:pPr>
                  <w:r>
                    <w:rPr>
                      <w:rFonts w:hint="eastAsia"/>
                      <w:color w:val="auto"/>
                      <w:spacing w:val="8"/>
                      <w:szCs w:val="21"/>
                    </w:rPr>
                    <w:t>780</w:t>
                  </w:r>
                </w:p>
              </w:tc>
              <w:tc>
                <w:tcPr>
                  <w:tcW w:w="441" w:type="pct"/>
                  <w:vAlign w:val="center"/>
                </w:tcPr>
                <w:p>
                  <w:pPr>
                    <w:widowControl/>
                    <w:jc w:val="center"/>
                    <w:textAlignment w:val="center"/>
                    <w:rPr>
                      <w:color w:val="auto"/>
                      <w:spacing w:val="8"/>
                      <w:szCs w:val="21"/>
                    </w:rPr>
                  </w:pPr>
                  <w:r>
                    <w:rPr>
                      <w:color w:val="auto"/>
                      <w:kern w:val="0"/>
                      <w:szCs w:val="21"/>
                      <w:lang w:bidi="ar"/>
                    </w:rPr>
                    <w:t>/</w:t>
                  </w:r>
                </w:p>
              </w:tc>
              <w:tc>
                <w:tcPr>
                  <w:tcW w:w="509" w:type="pct"/>
                  <w:vAlign w:val="center"/>
                </w:tcPr>
                <w:p>
                  <w:pPr>
                    <w:widowControl/>
                    <w:jc w:val="center"/>
                    <w:textAlignment w:val="center"/>
                    <w:rPr>
                      <w:color w:val="auto"/>
                      <w:spacing w:val="8"/>
                      <w:szCs w:val="21"/>
                    </w:rPr>
                  </w:pPr>
                  <w:r>
                    <w:rPr>
                      <w:color w:val="auto"/>
                      <w:kern w:val="0"/>
                      <w:szCs w:val="21"/>
                      <w:lang w:bidi="ar"/>
                    </w:rPr>
                    <w:t>/</w:t>
                  </w:r>
                </w:p>
              </w:tc>
              <w:tc>
                <w:tcPr>
                  <w:tcW w:w="416" w:type="pct"/>
                  <w:vAlign w:val="center"/>
                </w:tcPr>
                <w:p>
                  <w:pPr>
                    <w:widowControl/>
                    <w:jc w:val="center"/>
                    <w:textAlignment w:val="center"/>
                    <w:rPr>
                      <w:color w:val="auto"/>
                      <w:spacing w:val="8"/>
                      <w:szCs w:val="21"/>
                    </w:rPr>
                  </w:pPr>
                  <w:r>
                    <w:rPr>
                      <w:rFonts w:hint="eastAsia"/>
                      <w:color w:val="auto"/>
                      <w:spacing w:val="8"/>
                      <w:szCs w:val="21"/>
                    </w:rPr>
                    <w:t>2.7</w:t>
                  </w:r>
                </w:p>
              </w:tc>
              <w:tc>
                <w:tcPr>
                  <w:tcW w:w="510" w:type="pct"/>
                  <w:vAlign w:val="center"/>
                </w:tcPr>
                <w:p>
                  <w:pPr>
                    <w:widowControl/>
                    <w:jc w:val="center"/>
                    <w:textAlignment w:val="center"/>
                    <w:rPr>
                      <w:color w:val="auto"/>
                      <w:spacing w:val="8"/>
                      <w:szCs w:val="21"/>
                    </w:rPr>
                  </w:pPr>
                  <w:r>
                    <w:rPr>
                      <w:rFonts w:hint="eastAsia"/>
                      <w:color w:val="auto"/>
                      <w:spacing w:val="8"/>
                      <w:szCs w:val="21"/>
                    </w:rPr>
                    <w:t>702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6" w:type="pct"/>
                  <w:vAlign w:val="center"/>
                </w:tcPr>
                <w:p>
                  <w:pPr>
                    <w:pStyle w:val="14"/>
                    <w:adjustRightInd w:val="0"/>
                    <w:snapToGrid w:val="0"/>
                    <w:jc w:val="center"/>
                    <w:rPr>
                      <w:rFonts w:ascii="Times New Roman" w:hAnsi="Times New Roman"/>
                      <w:color w:val="auto"/>
                      <w:spacing w:val="8"/>
                      <w:szCs w:val="21"/>
                    </w:rPr>
                  </w:pPr>
                  <w:r>
                    <w:rPr>
                      <w:rFonts w:ascii="Times New Roman" w:hAnsi="Times New Roman"/>
                      <w:color w:val="auto"/>
                      <w:spacing w:val="8"/>
                      <w:szCs w:val="21"/>
                    </w:rPr>
                    <w:t>4</w:t>
                  </w:r>
                </w:p>
              </w:tc>
              <w:tc>
                <w:tcPr>
                  <w:tcW w:w="585" w:type="pct"/>
                  <w:vAlign w:val="center"/>
                </w:tcPr>
                <w:p>
                  <w:pPr>
                    <w:widowControl/>
                    <w:tabs>
                      <w:tab w:val="left" w:pos="3077"/>
                      <w:tab w:val="center" w:pos="4770"/>
                    </w:tabs>
                    <w:jc w:val="center"/>
                    <w:rPr>
                      <w:color w:val="auto"/>
                      <w:szCs w:val="21"/>
                    </w:rPr>
                  </w:pPr>
                  <w:r>
                    <w:rPr>
                      <w:color w:val="auto"/>
                      <w:szCs w:val="21"/>
                    </w:rPr>
                    <w:t>车辆清洗用水</w:t>
                  </w:r>
                </w:p>
              </w:tc>
              <w:tc>
                <w:tcPr>
                  <w:tcW w:w="593" w:type="pct"/>
                  <w:vAlign w:val="center"/>
                </w:tcPr>
                <w:p>
                  <w:pPr>
                    <w:widowControl/>
                    <w:tabs>
                      <w:tab w:val="left" w:pos="3077"/>
                      <w:tab w:val="center" w:pos="4770"/>
                    </w:tabs>
                    <w:jc w:val="center"/>
                    <w:rPr>
                      <w:color w:val="auto"/>
                      <w:spacing w:val="8"/>
                      <w:szCs w:val="21"/>
                    </w:rPr>
                  </w:pPr>
                  <w:r>
                    <w:rPr>
                      <w:color w:val="auto"/>
                      <w:szCs w:val="21"/>
                    </w:rPr>
                    <w:t>0.05m</w:t>
                  </w:r>
                  <w:r>
                    <w:rPr>
                      <w:color w:val="auto"/>
                      <w:szCs w:val="21"/>
                      <w:vertAlign w:val="superscript"/>
                    </w:rPr>
                    <w:t>3</w:t>
                  </w:r>
                  <w:r>
                    <w:rPr>
                      <w:color w:val="auto"/>
                      <w:szCs w:val="21"/>
                    </w:rPr>
                    <w:t>/辆·次</w:t>
                  </w:r>
                </w:p>
              </w:tc>
              <w:tc>
                <w:tcPr>
                  <w:tcW w:w="521" w:type="pct"/>
                  <w:vAlign w:val="center"/>
                </w:tcPr>
                <w:p>
                  <w:pPr>
                    <w:widowControl/>
                    <w:tabs>
                      <w:tab w:val="left" w:pos="3077"/>
                      <w:tab w:val="center" w:pos="4770"/>
                    </w:tabs>
                    <w:jc w:val="center"/>
                    <w:rPr>
                      <w:color w:val="auto"/>
                      <w:spacing w:val="8"/>
                      <w:szCs w:val="21"/>
                    </w:rPr>
                  </w:pPr>
                  <w:r>
                    <w:rPr>
                      <w:color w:val="auto"/>
                      <w:spacing w:val="8"/>
                      <w:szCs w:val="21"/>
                    </w:rPr>
                    <w:t>192次/d</w:t>
                  </w:r>
                </w:p>
              </w:tc>
              <w:tc>
                <w:tcPr>
                  <w:tcW w:w="509" w:type="pct"/>
                  <w:vAlign w:val="center"/>
                </w:tcPr>
                <w:p>
                  <w:pPr>
                    <w:widowControl/>
                    <w:jc w:val="center"/>
                    <w:textAlignment w:val="center"/>
                    <w:rPr>
                      <w:color w:val="auto"/>
                      <w:spacing w:val="8"/>
                      <w:szCs w:val="21"/>
                    </w:rPr>
                  </w:pPr>
                  <w:r>
                    <w:rPr>
                      <w:color w:val="auto"/>
                      <w:spacing w:val="8"/>
                      <w:szCs w:val="21"/>
                    </w:rPr>
                    <w:t>9.6</w:t>
                  </w:r>
                </w:p>
              </w:tc>
              <w:tc>
                <w:tcPr>
                  <w:tcW w:w="646" w:type="pct"/>
                  <w:vAlign w:val="center"/>
                </w:tcPr>
                <w:p>
                  <w:pPr>
                    <w:widowControl/>
                    <w:jc w:val="center"/>
                    <w:textAlignment w:val="center"/>
                    <w:rPr>
                      <w:color w:val="auto"/>
                      <w:spacing w:val="8"/>
                      <w:szCs w:val="21"/>
                    </w:rPr>
                  </w:pPr>
                  <w:r>
                    <w:rPr>
                      <w:color w:val="auto"/>
                      <w:spacing w:val="8"/>
                      <w:szCs w:val="21"/>
                    </w:rPr>
                    <w:t>2496</w:t>
                  </w:r>
                </w:p>
              </w:tc>
              <w:tc>
                <w:tcPr>
                  <w:tcW w:w="441" w:type="pct"/>
                  <w:vAlign w:val="center"/>
                </w:tcPr>
                <w:p>
                  <w:pPr>
                    <w:widowControl/>
                    <w:jc w:val="center"/>
                    <w:textAlignment w:val="center"/>
                    <w:rPr>
                      <w:color w:val="auto"/>
                      <w:spacing w:val="8"/>
                      <w:szCs w:val="21"/>
                    </w:rPr>
                  </w:pPr>
                  <w:r>
                    <w:rPr>
                      <w:color w:val="auto"/>
                      <w:kern w:val="0"/>
                      <w:szCs w:val="21"/>
                      <w:lang w:bidi="ar"/>
                    </w:rPr>
                    <w:t>/</w:t>
                  </w:r>
                </w:p>
              </w:tc>
              <w:tc>
                <w:tcPr>
                  <w:tcW w:w="509" w:type="pct"/>
                  <w:vAlign w:val="center"/>
                </w:tcPr>
                <w:p>
                  <w:pPr>
                    <w:widowControl/>
                    <w:jc w:val="center"/>
                    <w:textAlignment w:val="center"/>
                    <w:rPr>
                      <w:color w:val="auto"/>
                      <w:spacing w:val="8"/>
                      <w:szCs w:val="21"/>
                    </w:rPr>
                  </w:pPr>
                </w:p>
              </w:tc>
              <w:tc>
                <w:tcPr>
                  <w:tcW w:w="416" w:type="pct"/>
                  <w:vAlign w:val="center"/>
                </w:tcPr>
                <w:p>
                  <w:pPr>
                    <w:widowControl/>
                    <w:jc w:val="center"/>
                    <w:textAlignment w:val="center"/>
                    <w:rPr>
                      <w:color w:val="auto"/>
                      <w:spacing w:val="8"/>
                      <w:szCs w:val="21"/>
                    </w:rPr>
                  </w:pPr>
                  <w:r>
                    <w:rPr>
                      <w:color w:val="auto"/>
                      <w:spacing w:val="8"/>
                      <w:szCs w:val="21"/>
                    </w:rPr>
                    <w:t>8.64</w:t>
                  </w:r>
                </w:p>
              </w:tc>
              <w:tc>
                <w:tcPr>
                  <w:tcW w:w="510" w:type="pct"/>
                  <w:vAlign w:val="center"/>
                </w:tcPr>
                <w:p>
                  <w:pPr>
                    <w:widowControl/>
                    <w:jc w:val="center"/>
                    <w:textAlignment w:val="center"/>
                    <w:rPr>
                      <w:color w:val="auto"/>
                      <w:spacing w:val="8"/>
                      <w:szCs w:val="21"/>
                    </w:rPr>
                  </w:pPr>
                  <w:r>
                    <w:rPr>
                      <w:color w:val="auto"/>
                      <w:spacing w:val="8"/>
                      <w:szCs w:val="21"/>
                    </w:rPr>
                    <w:t>2246.4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6" w:type="pct"/>
                  <w:vAlign w:val="center"/>
                </w:tcPr>
                <w:p>
                  <w:pPr>
                    <w:pStyle w:val="14"/>
                    <w:adjustRightInd w:val="0"/>
                    <w:snapToGrid w:val="0"/>
                    <w:jc w:val="center"/>
                    <w:rPr>
                      <w:rFonts w:ascii="Times New Roman" w:hAnsi="Times New Roman"/>
                      <w:color w:val="auto"/>
                      <w:spacing w:val="8"/>
                      <w:szCs w:val="21"/>
                    </w:rPr>
                  </w:pPr>
                  <w:r>
                    <w:rPr>
                      <w:rFonts w:ascii="Times New Roman" w:hAnsi="Times New Roman"/>
                      <w:color w:val="auto"/>
                      <w:spacing w:val="8"/>
                      <w:szCs w:val="21"/>
                    </w:rPr>
                    <w:t>5</w:t>
                  </w:r>
                </w:p>
              </w:tc>
              <w:tc>
                <w:tcPr>
                  <w:tcW w:w="585" w:type="pct"/>
                  <w:vAlign w:val="center"/>
                </w:tcPr>
                <w:p>
                  <w:pPr>
                    <w:widowControl/>
                    <w:tabs>
                      <w:tab w:val="left" w:pos="3077"/>
                      <w:tab w:val="center" w:pos="4770"/>
                    </w:tabs>
                    <w:jc w:val="center"/>
                    <w:rPr>
                      <w:color w:val="auto"/>
                      <w:szCs w:val="21"/>
                    </w:rPr>
                  </w:pPr>
                  <w:r>
                    <w:rPr>
                      <w:color w:val="auto"/>
                      <w:szCs w:val="21"/>
                    </w:rPr>
                    <w:t>预制构件养护用水</w:t>
                  </w:r>
                </w:p>
              </w:tc>
              <w:tc>
                <w:tcPr>
                  <w:tcW w:w="593" w:type="pct"/>
                  <w:vAlign w:val="center"/>
                </w:tcPr>
                <w:p>
                  <w:pPr>
                    <w:widowControl/>
                    <w:tabs>
                      <w:tab w:val="left" w:pos="3077"/>
                      <w:tab w:val="center" w:pos="4770"/>
                    </w:tabs>
                    <w:jc w:val="center"/>
                    <w:rPr>
                      <w:color w:val="auto"/>
                      <w:szCs w:val="21"/>
                    </w:rPr>
                  </w:pPr>
                  <w:r>
                    <w:rPr>
                      <w:snapToGrid w:val="0"/>
                      <w:color w:val="auto"/>
                      <w:szCs w:val="21"/>
                    </w:rPr>
                    <w:t>10L/m</w:t>
                  </w:r>
                  <w:r>
                    <w:rPr>
                      <w:snapToGrid w:val="0"/>
                      <w:color w:val="auto"/>
                      <w:szCs w:val="21"/>
                      <w:vertAlign w:val="superscript"/>
                    </w:rPr>
                    <w:t>3</w:t>
                  </w:r>
                </w:p>
              </w:tc>
              <w:tc>
                <w:tcPr>
                  <w:tcW w:w="521" w:type="pct"/>
                  <w:vAlign w:val="center"/>
                </w:tcPr>
                <w:p>
                  <w:pPr>
                    <w:widowControl/>
                    <w:tabs>
                      <w:tab w:val="left" w:pos="3077"/>
                      <w:tab w:val="center" w:pos="4770"/>
                    </w:tabs>
                    <w:jc w:val="center"/>
                    <w:rPr>
                      <w:color w:val="auto"/>
                      <w:spacing w:val="8"/>
                      <w:szCs w:val="21"/>
                    </w:rPr>
                  </w:pPr>
                  <w:r>
                    <w:rPr>
                      <w:color w:val="auto"/>
                      <w:spacing w:val="8"/>
                      <w:szCs w:val="21"/>
                    </w:rPr>
                    <w:t>300000m</w:t>
                  </w:r>
                  <w:r>
                    <w:rPr>
                      <w:color w:val="auto"/>
                      <w:spacing w:val="8"/>
                      <w:szCs w:val="21"/>
                      <w:vertAlign w:val="superscript"/>
                    </w:rPr>
                    <w:t>3</w:t>
                  </w:r>
                </w:p>
              </w:tc>
              <w:tc>
                <w:tcPr>
                  <w:tcW w:w="509" w:type="pct"/>
                  <w:vAlign w:val="center"/>
                </w:tcPr>
                <w:p>
                  <w:pPr>
                    <w:widowControl/>
                    <w:jc w:val="center"/>
                    <w:textAlignment w:val="center"/>
                    <w:rPr>
                      <w:color w:val="auto"/>
                      <w:kern w:val="0"/>
                      <w:szCs w:val="21"/>
                      <w:lang w:bidi="ar"/>
                    </w:rPr>
                  </w:pPr>
                  <w:r>
                    <w:rPr>
                      <w:color w:val="auto"/>
                      <w:kern w:val="0"/>
                      <w:szCs w:val="21"/>
                      <w:lang w:bidi="ar"/>
                    </w:rPr>
                    <w:t>11.54</w:t>
                  </w:r>
                </w:p>
              </w:tc>
              <w:tc>
                <w:tcPr>
                  <w:tcW w:w="646" w:type="pct"/>
                  <w:vAlign w:val="center"/>
                </w:tcPr>
                <w:p>
                  <w:pPr>
                    <w:widowControl/>
                    <w:jc w:val="center"/>
                    <w:textAlignment w:val="center"/>
                    <w:rPr>
                      <w:color w:val="auto"/>
                      <w:kern w:val="0"/>
                      <w:szCs w:val="21"/>
                      <w:lang w:bidi="ar"/>
                    </w:rPr>
                  </w:pPr>
                  <w:r>
                    <w:rPr>
                      <w:color w:val="auto"/>
                      <w:kern w:val="0"/>
                      <w:szCs w:val="21"/>
                      <w:lang w:bidi="ar"/>
                    </w:rPr>
                    <w:t>3000</w:t>
                  </w:r>
                </w:p>
              </w:tc>
              <w:tc>
                <w:tcPr>
                  <w:tcW w:w="441" w:type="pct"/>
                  <w:vAlign w:val="center"/>
                </w:tcPr>
                <w:p>
                  <w:pPr>
                    <w:widowControl/>
                    <w:jc w:val="center"/>
                    <w:textAlignment w:val="center"/>
                    <w:rPr>
                      <w:color w:val="auto"/>
                      <w:kern w:val="0"/>
                      <w:szCs w:val="21"/>
                      <w:lang w:bidi="ar"/>
                    </w:rPr>
                  </w:pPr>
                  <w:r>
                    <w:rPr>
                      <w:color w:val="auto"/>
                      <w:kern w:val="0"/>
                      <w:szCs w:val="21"/>
                      <w:lang w:bidi="ar"/>
                    </w:rPr>
                    <w:t>/</w:t>
                  </w:r>
                </w:p>
              </w:tc>
              <w:tc>
                <w:tcPr>
                  <w:tcW w:w="509" w:type="pct"/>
                  <w:vAlign w:val="center"/>
                </w:tcPr>
                <w:p>
                  <w:pPr>
                    <w:widowControl/>
                    <w:jc w:val="center"/>
                    <w:textAlignment w:val="center"/>
                    <w:rPr>
                      <w:color w:val="auto"/>
                      <w:spacing w:val="8"/>
                      <w:szCs w:val="21"/>
                    </w:rPr>
                  </w:pPr>
                  <w:r>
                    <w:rPr>
                      <w:color w:val="auto"/>
                      <w:spacing w:val="8"/>
                      <w:szCs w:val="21"/>
                    </w:rPr>
                    <w:t>/</w:t>
                  </w:r>
                </w:p>
              </w:tc>
              <w:tc>
                <w:tcPr>
                  <w:tcW w:w="416" w:type="pct"/>
                  <w:vAlign w:val="center"/>
                </w:tcPr>
                <w:p>
                  <w:pPr>
                    <w:widowControl/>
                    <w:jc w:val="center"/>
                    <w:textAlignment w:val="center"/>
                    <w:rPr>
                      <w:color w:val="auto"/>
                      <w:kern w:val="0"/>
                      <w:szCs w:val="21"/>
                      <w:lang w:bidi="ar"/>
                    </w:rPr>
                  </w:pPr>
                  <w:r>
                    <w:rPr>
                      <w:color w:val="auto"/>
                      <w:kern w:val="0"/>
                      <w:szCs w:val="21"/>
                      <w:lang w:bidi="ar"/>
                    </w:rPr>
                    <w:t>0</w:t>
                  </w:r>
                </w:p>
              </w:tc>
              <w:tc>
                <w:tcPr>
                  <w:tcW w:w="510" w:type="pct"/>
                  <w:vAlign w:val="center"/>
                </w:tcPr>
                <w:p>
                  <w:pPr>
                    <w:widowControl/>
                    <w:jc w:val="center"/>
                    <w:textAlignment w:val="center"/>
                    <w:rPr>
                      <w:color w:val="auto"/>
                      <w:kern w:val="0"/>
                      <w:szCs w:val="21"/>
                      <w:lang w:bidi="ar"/>
                    </w:rPr>
                  </w:pPr>
                  <w:r>
                    <w:rPr>
                      <w:color w:val="auto"/>
                      <w:kern w:val="0"/>
                      <w:szCs w:val="21"/>
                      <w:lang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6" w:type="pct"/>
                  <w:vAlign w:val="center"/>
                </w:tcPr>
                <w:p>
                  <w:pPr>
                    <w:pStyle w:val="14"/>
                    <w:adjustRightInd w:val="0"/>
                    <w:snapToGrid w:val="0"/>
                    <w:jc w:val="center"/>
                    <w:rPr>
                      <w:rFonts w:ascii="Times New Roman" w:hAnsi="Times New Roman"/>
                      <w:color w:val="auto"/>
                      <w:spacing w:val="8"/>
                      <w:szCs w:val="21"/>
                    </w:rPr>
                  </w:pPr>
                  <w:r>
                    <w:rPr>
                      <w:rFonts w:ascii="Times New Roman" w:hAnsi="Times New Roman"/>
                      <w:color w:val="auto"/>
                      <w:spacing w:val="8"/>
                      <w:szCs w:val="21"/>
                    </w:rPr>
                    <w:t>6</w:t>
                  </w:r>
                </w:p>
              </w:tc>
              <w:tc>
                <w:tcPr>
                  <w:tcW w:w="585" w:type="pct"/>
                  <w:vAlign w:val="center"/>
                </w:tcPr>
                <w:p>
                  <w:pPr>
                    <w:widowControl/>
                    <w:tabs>
                      <w:tab w:val="left" w:pos="3077"/>
                      <w:tab w:val="center" w:pos="4770"/>
                    </w:tabs>
                    <w:jc w:val="center"/>
                    <w:rPr>
                      <w:color w:val="auto"/>
                      <w:szCs w:val="21"/>
                    </w:rPr>
                  </w:pPr>
                  <w:r>
                    <w:rPr>
                      <w:color w:val="auto"/>
                      <w:szCs w:val="21"/>
                    </w:rPr>
                    <w:t>堆场抑尘用水</w:t>
                  </w:r>
                </w:p>
              </w:tc>
              <w:tc>
                <w:tcPr>
                  <w:tcW w:w="593" w:type="pct"/>
                  <w:vAlign w:val="center"/>
                </w:tcPr>
                <w:p>
                  <w:pPr>
                    <w:widowControl/>
                    <w:tabs>
                      <w:tab w:val="left" w:pos="3077"/>
                      <w:tab w:val="center" w:pos="4770"/>
                    </w:tabs>
                    <w:jc w:val="center"/>
                    <w:rPr>
                      <w:color w:val="auto"/>
                      <w:spacing w:val="8"/>
                      <w:szCs w:val="21"/>
                    </w:rPr>
                  </w:pPr>
                  <w:r>
                    <w:rPr>
                      <w:color w:val="auto"/>
                      <w:spacing w:val="8"/>
                      <w:szCs w:val="21"/>
                    </w:rPr>
                    <w:t>/</w:t>
                  </w:r>
                </w:p>
              </w:tc>
              <w:tc>
                <w:tcPr>
                  <w:tcW w:w="521" w:type="pct"/>
                  <w:vAlign w:val="center"/>
                </w:tcPr>
                <w:p>
                  <w:pPr>
                    <w:widowControl/>
                    <w:tabs>
                      <w:tab w:val="left" w:pos="3077"/>
                      <w:tab w:val="center" w:pos="4770"/>
                    </w:tabs>
                    <w:jc w:val="center"/>
                    <w:rPr>
                      <w:color w:val="auto"/>
                      <w:spacing w:val="8"/>
                      <w:szCs w:val="21"/>
                    </w:rPr>
                  </w:pPr>
                  <w:r>
                    <w:rPr>
                      <w:color w:val="auto"/>
                      <w:spacing w:val="8"/>
                      <w:szCs w:val="21"/>
                    </w:rPr>
                    <w:t>/</w:t>
                  </w:r>
                </w:p>
              </w:tc>
              <w:tc>
                <w:tcPr>
                  <w:tcW w:w="509" w:type="pct"/>
                  <w:vAlign w:val="center"/>
                </w:tcPr>
                <w:p>
                  <w:pPr>
                    <w:widowControl/>
                    <w:jc w:val="center"/>
                    <w:textAlignment w:val="center"/>
                    <w:rPr>
                      <w:color w:val="auto"/>
                      <w:spacing w:val="8"/>
                      <w:szCs w:val="21"/>
                    </w:rPr>
                  </w:pPr>
                  <w:r>
                    <w:rPr>
                      <w:color w:val="auto"/>
                      <w:kern w:val="0"/>
                      <w:szCs w:val="21"/>
                      <w:lang w:bidi="ar"/>
                    </w:rPr>
                    <w:t>8</w:t>
                  </w:r>
                </w:p>
              </w:tc>
              <w:tc>
                <w:tcPr>
                  <w:tcW w:w="646" w:type="pct"/>
                  <w:vAlign w:val="center"/>
                </w:tcPr>
                <w:p>
                  <w:pPr>
                    <w:widowControl/>
                    <w:jc w:val="center"/>
                    <w:textAlignment w:val="center"/>
                    <w:rPr>
                      <w:color w:val="auto"/>
                      <w:spacing w:val="8"/>
                      <w:szCs w:val="21"/>
                    </w:rPr>
                  </w:pPr>
                  <w:r>
                    <w:rPr>
                      <w:color w:val="auto"/>
                      <w:kern w:val="0"/>
                      <w:szCs w:val="21"/>
                      <w:lang w:bidi="ar"/>
                    </w:rPr>
                    <w:t>2080</w:t>
                  </w:r>
                </w:p>
              </w:tc>
              <w:tc>
                <w:tcPr>
                  <w:tcW w:w="441" w:type="pct"/>
                  <w:vAlign w:val="center"/>
                </w:tcPr>
                <w:p>
                  <w:pPr>
                    <w:widowControl/>
                    <w:jc w:val="center"/>
                    <w:textAlignment w:val="center"/>
                    <w:rPr>
                      <w:color w:val="auto"/>
                      <w:spacing w:val="8"/>
                      <w:szCs w:val="21"/>
                    </w:rPr>
                  </w:pPr>
                  <w:r>
                    <w:rPr>
                      <w:color w:val="auto"/>
                      <w:kern w:val="0"/>
                      <w:szCs w:val="21"/>
                      <w:lang w:bidi="ar"/>
                    </w:rPr>
                    <w:t>/</w:t>
                  </w:r>
                </w:p>
              </w:tc>
              <w:tc>
                <w:tcPr>
                  <w:tcW w:w="509" w:type="pct"/>
                  <w:vAlign w:val="center"/>
                </w:tcPr>
                <w:p>
                  <w:pPr>
                    <w:widowControl/>
                    <w:jc w:val="center"/>
                    <w:textAlignment w:val="center"/>
                    <w:rPr>
                      <w:color w:val="auto"/>
                      <w:spacing w:val="8"/>
                      <w:szCs w:val="21"/>
                    </w:rPr>
                  </w:pPr>
                  <w:r>
                    <w:rPr>
                      <w:color w:val="auto"/>
                      <w:kern w:val="0"/>
                      <w:szCs w:val="21"/>
                      <w:lang w:bidi="ar"/>
                    </w:rPr>
                    <w:t>/</w:t>
                  </w:r>
                </w:p>
              </w:tc>
              <w:tc>
                <w:tcPr>
                  <w:tcW w:w="416" w:type="pct"/>
                  <w:vAlign w:val="center"/>
                </w:tcPr>
                <w:p>
                  <w:pPr>
                    <w:widowControl/>
                    <w:jc w:val="center"/>
                    <w:textAlignment w:val="center"/>
                    <w:rPr>
                      <w:color w:val="auto"/>
                      <w:spacing w:val="8"/>
                      <w:szCs w:val="21"/>
                    </w:rPr>
                  </w:pPr>
                  <w:r>
                    <w:rPr>
                      <w:color w:val="auto"/>
                      <w:kern w:val="0"/>
                      <w:szCs w:val="21"/>
                      <w:lang w:bidi="ar"/>
                    </w:rPr>
                    <w:t>0</w:t>
                  </w:r>
                </w:p>
              </w:tc>
              <w:tc>
                <w:tcPr>
                  <w:tcW w:w="510" w:type="pct"/>
                  <w:vAlign w:val="center"/>
                </w:tcPr>
                <w:p>
                  <w:pPr>
                    <w:widowControl/>
                    <w:jc w:val="center"/>
                    <w:textAlignment w:val="center"/>
                    <w:rPr>
                      <w:color w:val="auto"/>
                      <w:spacing w:val="8"/>
                      <w:szCs w:val="21"/>
                      <w:highlight w:val="yellow"/>
                    </w:rPr>
                  </w:pPr>
                  <w:r>
                    <w:rPr>
                      <w:color w:val="auto"/>
                      <w:kern w:val="0"/>
                      <w:szCs w:val="21"/>
                      <w:lang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6" w:type="pct"/>
                  <w:vAlign w:val="center"/>
                </w:tcPr>
                <w:p>
                  <w:pPr>
                    <w:pStyle w:val="14"/>
                    <w:adjustRightInd w:val="0"/>
                    <w:snapToGrid w:val="0"/>
                    <w:jc w:val="center"/>
                    <w:rPr>
                      <w:rFonts w:ascii="Times New Roman" w:hAnsi="Times New Roman"/>
                      <w:color w:val="auto"/>
                      <w:spacing w:val="8"/>
                      <w:szCs w:val="21"/>
                    </w:rPr>
                  </w:pPr>
                  <w:r>
                    <w:rPr>
                      <w:rFonts w:ascii="Times New Roman" w:hAnsi="Times New Roman"/>
                      <w:color w:val="auto"/>
                      <w:spacing w:val="8"/>
                      <w:szCs w:val="21"/>
                    </w:rPr>
                    <w:t>7</w:t>
                  </w:r>
                </w:p>
              </w:tc>
              <w:tc>
                <w:tcPr>
                  <w:tcW w:w="585" w:type="pct"/>
                  <w:vAlign w:val="center"/>
                </w:tcPr>
                <w:p>
                  <w:pPr>
                    <w:widowControl/>
                    <w:tabs>
                      <w:tab w:val="left" w:pos="3077"/>
                      <w:tab w:val="center" w:pos="4770"/>
                    </w:tabs>
                    <w:jc w:val="center"/>
                    <w:rPr>
                      <w:color w:val="auto"/>
                      <w:szCs w:val="21"/>
                    </w:rPr>
                  </w:pPr>
                  <w:r>
                    <w:rPr>
                      <w:color w:val="auto"/>
                      <w:szCs w:val="21"/>
                    </w:rPr>
                    <w:t>绿化用水</w:t>
                  </w:r>
                </w:p>
              </w:tc>
              <w:tc>
                <w:tcPr>
                  <w:tcW w:w="593" w:type="pct"/>
                  <w:vAlign w:val="center"/>
                </w:tcPr>
                <w:p>
                  <w:pPr>
                    <w:widowControl/>
                    <w:tabs>
                      <w:tab w:val="left" w:pos="3077"/>
                      <w:tab w:val="center" w:pos="4770"/>
                    </w:tabs>
                    <w:jc w:val="center"/>
                    <w:rPr>
                      <w:color w:val="auto"/>
                      <w:spacing w:val="8"/>
                      <w:szCs w:val="21"/>
                    </w:rPr>
                  </w:pPr>
                  <w:r>
                    <w:rPr>
                      <w:color w:val="auto"/>
                      <w:szCs w:val="21"/>
                    </w:rPr>
                    <w:t>500m</w:t>
                  </w:r>
                  <w:r>
                    <w:rPr>
                      <w:color w:val="auto"/>
                      <w:szCs w:val="21"/>
                      <w:vertAlign w:val="superscript"/>
                    </w:rPr>
                    <w:t>3</w:t>
                  </w:r>
                  <w:r>
                    <w:rPr>
                      <w:color w:val="auto"/>
                      <w:szCs w:val="21"/>
                    </w:rPr>
                    <w:t>/亩·a</w:t>
                  </w:r>
                </w:p>
              </w:tc>
              <w:tc>
                <w:tcPr>
                  <w:tcW w:w="521" w:type="pct"/>
                  <w:vAlign w:val="center"/>
                </w:tcPr>
                <w:p>
                  <w:pPr>
                    <w:widowControl/>
                    <w:tabs>
                      <w:tab w:val="left" w:pos="3077"/>
                      <w:tab w:val="center" w:pos="4770"/>
                    </w:tabs>
                    <w:jc w:val="center"/>
                    <w:rPr>
                      <w:color w:val="auto"/>
                      <w:spacing w:val="8"/>
                      <w:szCs w:val="21"/>
                    </w:rPr>
                  </w:pPr>
                  <w:r>
                    <w:rPr>
                      <w:color w:val="auto"/>
                      <w:szCs w:val="21"/>
                    </w:rPr>
                    <w:t>17557m</w:t>
                  </w:r>
                  <w:r>
                    <w:rPr>
                      <w:color w:val="auto"/>
                      <w:szCs w:val="21"/>
                      <w:vertAlign w:val="superscript"/>
                    </w:rPr>
                    <w:t>2</w:t>
                  </w:r>
                </w:p>
              </w:tc>
              <w:tc>
                <w:tcPr>
                  <w:tcW w:w="509" w:type="pct"/>
                  <w:vAlign w:val="center"/>
                </w:tcPr>
                <w:p>
                  <w:pPr>
                    <w:widowControl/>
                    <w:jc w:val="center"/>
                    <w:textAlignment w:val="center"/>
                    <w:rPr>
                      <w:color w:val="auto"/>
                      <w:spacing w:val="8"/>
                      <w:szCs w:val="21"/>
                    </w:rPr>
                  </w:pPr>
                  <w:r>
                    <w:rPr>
                      <w:color w:val="auto"/>
                      <w:kern w:val="0"/>
                      <w:szCs w:val="21"/>
                      <w:lang w:bidi="ar"/>
                    </w:rPr>
                    <w:t>50.65</w:t>
                  </w:r>
                </w:p>
              </w:tc>
              <w:tc>
                <w:tcPr>
                  <w:tcW w:w="646" w:type="pct"/>
                  <w:vAlign w:val="center"/>
                </w:tcPr>
                <w:p>
                  <w:pPr>
                    <w:widowControl/>
                    <w:jc w:val="center"/>
                    <w:textAlignment w:val="center"/>
                    <w:rPr>
                      <w:color w:val="auto"/>
                      <w:spacing w:val="8"/>
                      <w:szCs w:val="21"/>
                    </w:rPr>
                  </w:pPr>
                  <w:r>
                    <w:rPr>
                      <w:color w:val="auto"/>
                      <w:kern w:val="0"/>
                      <w:szCs w:val="21"/>
                      <w:lang w:bidi="ar"/>
                    </w:rPr>
                    <w:t>13170</w:t>
                  </w:r>
                </w:p>
              </w:tc>
              <w:tc>
                <w:tcPr>
                  <w:tcW w:w="441" w:type="pct"/>
                  <w:vAlign w:val="center"/>
                </w:tcPr>
                <w:p>
                  <w:pPr>
                    <w:widowControl/>
                    <w:jc w:val="center"/>
                    <w:textAlignment w:val="center"/>
                    <w:rPr>
                      <w:color w:val="auto"/>
                      <w:spacing w:val="8"/>
                      <w:szCs w:val="21"/>
                    </w:rPr>
                  </w:pPr>
                  <w:r>
                    <w:rPr>
                      <w:color w:val="auto"/>
                      <w:kern w:val="0"/>
                      <w:szCs w:val="21"/>
                      <w:lang w:bidi="ar"/>
                    </w:rPr>
                    <w:t>/</w:t>
                  </w:r>
                </w:p>
              </w:tc>
              <w:tc>
                <w:tcPr>
                  <w:tcW w:w="509" w:type="pct"/>
                  <w:vAlign w:val="center"/>
                </w:tcPr>
                <w:p>
                  <w:pPr>
                    <w:widowControl/>
                    <w:jc w:val="center"/>
                    <w:textAlignment w:val="center"/>
                    <w:rPr>
                      <w:color w:val="auto"/>
                      <w:spacing w:val="8"/>
                      <w:szCs w:val="21"/>
                    </w:rPr>
                  </w:pPr>
                  <w:r>
                    <w:rPr>
                      <w:color w:val="auto"/>
                      <w:kern w:val="0"/>
                      <w:szCs w:val="21"/>
                      <w:lang w:bidi="ar"/>
                    </w:rPr>
                    <w:t>/</w:t>
                  </w:r>
                </w:p>
              </w:tc>
              <w:tc>
                <w:tcPr>
                  <w:tcW w:w="416" w:type="pct"/>
                  <w:vAlign w:val="center"/>
                </w:tcPr>
                <w:p>
                  <w:pPr>
                    <w:widowControl/>
                    <w:jc w:val="center"/>
                    <w:textAlignment w:val="center"/>
                    <w:rPr>
                      <w:color w:val="auto"/>
                      <w:spacing w:val="8"/>
                      <w:szCs w:val="21"/>
                    </w:rPr>
                  </w:pPr>
                  <w:r>
                    <w:rPr>
                      <w:color w:val="auto"/>
                      <w:kern w:val="0"/>
                      <w:szCs w:val="21"/>
                      <w:lang w:bidi="ar"/>
                    </w:rPr>
                    <w:t>0</w:t>
                  </w:r>
                </w:p>
              </w:tc>
              <w:tc>
                <w:tcPr>
                  <w:tcW w:w="510" w:type="pct"/>
                  <w:vAlign w:val="center"/>
                </w:tcPr>
                <w:p>
                  <w:pPr>
                    <w:widowControl/>
                    <w:jc w:val="center"/>
                    <w:textAlignment w:val="center"/>
                    <w:rPr>
                      <w:color w:val="auto"/>
                      <w:spacing w:val="8"/>
                      <w:szCs w:val="21"/>
                      <w:highlight w:val="yellow"/>
                    </w:rPr>
                  </w:pPr>
                  <w:r>
                    <w:rPr>
                      <w:color w:val="auto"/>
                      <w:kern w:val="0"/>
                      <w:szCs w:val="21"/>
                      <w:lang w:bidi="ar"/>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45" w:type="pct"/>
                  <w:gridSpan w:val="3"/>
                  <w:vAlign w:val="center"/>
                </w:tcPr>
                <w:p>
                  <w:pPr>
                    <w:widowControl/>
                    <w:tabs>
                      <w:tab w:val="left" w:pos="3077"/>
                      <w:tab w:val="center" w:pos="4770"/>
                    </w:tabs>
                    <w:jc w:val="center"/>
                    <w:rPr>
                      <w:b/>
                      <w:bCs/>
                      <w:color w:val="auto"/>
                      <w:spacing w:val="8"/>
                      <w:szCs w:val="21"/>
                    </w:rPr>
                  </w:pPr>
                  <w:r>
                    <w:rPr>
                      <w:color w:val="auto"/>
                      <w:spacing w:val="8"/>
                      <w:szCs w:val="21"/>
                    </w:rPr>
                    <w:t>合计</w:t>
                  </w:r>
                </w:p>
              </w:tc>
              <w:tc>
                <w:tcPr>
                  <w:tcW w:w="521" w:type="pct"/>
                  <w:vAlign w:val="center"/>
                </w:tcPr>
                <w:p>
                  <w:pPr>
                    <w:widowControl/>
                    <w:tabs>
                      <w:tab w:val="left" w:pos="3077"/>
                      <w:tab w:val="center" w:pos="4770"/>
                    </w:tabs>
                    <w:jc w:val="center"/>
                    <w:rPr>
                      <w:color w:val="auto"/>
                      <w:spacing w:val="8"/>
                      <w:szCs w:val="21"/>
                    </w:rPr>
                  </w:pPr>
                  <w:r>
                    <w:rPr>
                      <w:color w:val="auto"/>
                      <w:spacing w:val="8"/>
                      <w:szCs w:val="21"/>
                    </w:rPr>
                    <w:t>/</w:t>
                  </w:r>
                </w:p>
              </w:tc>
              <w:tc>
                <w:tcPr>
                  <w:tcW w:w="832" w:type="dxa"/>
                  <w:vAlign w:val="center"/>
                </w:tcPr>
                <w:p>
                  <w:pPr>
                    <w:widowControl/>
                    <w:jc w:val="center"/>
                    <w:textAlignment w:val="center"/>
                    <w:rPr>
                      <w:color w:val="auto"/>
                      <w:szCs w:val="21"/>
                    </w:rPr>
                  </w:pPr>
                  <w:r>
                    <w:rPr>
                      <w:color w:val="auto"/>
                      <w:kern w:val="0"/>
                      <w:szCs w:val="21"/>
                      <w:lang w:bidi="ar"/>
                    </w:rPr>
                    <w:t>482.58</w:t>
                  </w:r>
                </w:p>
              </w:tc>
              <w:tc>
                <w:tcPr>
                  <w:tcW w:w="1056" w:type="dxa"/>
                  <w:vAlign w:val="center"/>
                </w:tcPr>
                <w:p>
                  <w:pPr>
                    <w:widowControl/>
                    <w:jc w:val="center"/>
                    <w:textAlignment w:val="center"/>
                    <w:rPr>
                      <w:color w:val="auto"/>
                      <w:szCs w:val="21"/>
                    </w:rPr>
                  </w:pPr>
                  <w:r>
                    <w:rPr>
                      <w:color w:val="auto"/>
                      <w:kern w:val="0"/>
                      <w:szCs w:val="21"/>
                      <w:lang w:bidi="ar"/>
                    </w:rPr>
                    <w:t>125467.6</w:t>
                  </w:r>
                </w:p>
              </w:tc>
              <w:tc>
                <w:tcPr>
                  <w:tcW w:w="721" w:type="dxa"/>
                  <w:vAlign w:val="center"/>
                </w:tcPr>
                <w:p>
                  <w:pPr>
                    <w:widowControl/>
                    <w:jc w:val="center"/>
                    <w:textAlignment w:val="center"/>
                    <w:rPr>
                      <w:color w:val="auto"/>
                      <w:szCs w:val="21"/>
                    </w:rPr>
                  </w:pPr>
                  <w:r>
                    <w:rPr>
                      <w:color w:val="auto"/>
                      <w:kern w:val="0"/>
                      <w:szCs w:val="21"/>
                      <w:lang w:bidi="ar"/>
                    </w:rPr>
                    <w:t>11.34</w:t>
                  </w:r>
                </w:p>
              </w:tc>
              <w:tc>
                <w:tcPr>
                  <w:tcW w:w="832" w:type="dxa"/>
                  <w:vAlign w:val="center"/>
                </w:tcPr>
                <w:p>
                  <w:pPr>
                    <w:widowControl/>
                    <w:jc w:val="center"/>
                    <w:textAlignment w:val="center"/>
                    <w:rPr>
                      <w:color w:val="auto"/>
                      <w:szCs w:val="21"/>
                    </w:rPr>
                  </w:pPr>
                  <w:r>
                    <w:rPr>
                      <w:color w:val="auto"/>
                      <w:kern w:val="0"/>
                      <w:szCs w:val="21"/>
                      <w:lang w:bidi="ar"/>
                    </w:rPr>
                    <w:t>2948.4</w:t>
                  </w:r>
                </w:p>
              </w:tc>
              <w:tc>
                <w:tcPr>
                  <w:tcW w:w="680" w:type="dxa"/>
                  <w:vAlign w:val="center"/>
                </w:tcPr>
                <w:p>
                  <w:pPr>
                    <w:widowControl/>
                    <w:jc w:val="center"/>
                    <w:textAlignment w:val="center"/>
                    <w:rPr>
                      <w:color w:val="auto"/>
                      <w:szCs w:val="21"/>
                    </w:rPr>
                  </w:pPr>
                  <w:r>
                    <w:rPr>
                      <w:color w:val="auto"/>
                      <w:kern w:val="0"/>
                      <w:szCs w:val="21"/>
                      <w:lang w:bidi="ar"/>
                    </w:rPr>
                    <w:t>12.54</w:t>
                  </w:r>
                </w:p>
              </w:tc>
              <w:tc>
                <w:tcPr>
                  <w:tcW w:w="833" w:type="dxa"/>
                  <w:vAlign w:val="center"/>
                </w:tcPr>
                <w:p>
                  <w:pPr>
                    <w:widowControl/>
                    <w:jc w:val="center"/>
                    <w:textAlignment w:val="center"/>
                    <w:rPr>
                      <w:color w:val="auto"/>
                      <w:szCs w:val="21"/>
                    </w:rPr>
                  </w:pPr>
                  <w:r>
                    <w:rPr>
                      <w:color w:val="auto"/>
                      <w:kern w:val="0"/>
                      <w:szCs w:val="21"/>
                      <w:lang w:bidi="ar"/>
                    </w:rPr>
                    <w:t>3260.4</w:t>
                  </w:r>
                </w:p>
              </w:tc>
            </w:tr>
          </w:tbl>
          <w:p>
            <w:pPr>
              <w:pStyle w:val="83"/>
              <w:ind w:firstLine="560"/>
              <w:rPr>
                <w:rFonts w:eastAsia="宋体"/>
                <w:color w:val="auto"/>
              </w:rPr>
            </w:pPr>
            <w:r>
              <w:rPr>
                <w:rFonts w:eastAsia="宋体"/>
                <w:color w:val="auto"/>
              </w:rPr>
              <mc:AlternateContent>
                <mc:Choice Requires="wps">
                  <w:drawing>
                    <wp:anchor distT="0" distB="0" distL="114300" distR="114300" simplePos="0" relativeHeight="251666432" behindDoc="0" locked="0" layoutInCell="1" allowOverlap="1">
                      <wp:simplePos x="0" y="0"/>
                      <wp:positionH relativeFrom="column">
                        <wp:posOffset>702945</wp:posOffset>
                      </wp:positionH>
                      <wp:positionV relativeFrom="paragraph">
                        <wp:posOffset>301625</wp:posOffset>
                      </wp:positionV>
                      <wp:extent cx="720090" cy="259080"/>
                      <wp:effectExtent l="0" t="0" r="0" b="0"/>
                      <wp:wrapNone/>
                      <wp:docPr id="1458" name="Rectangle 1225"/>
                      <wp:cNvGraphicFramePr/>
                      <a:graphic xmlns:a="http://schemas.openxmlformats.org/drawingml/2006/main">
                        <a:graphicData uri="http://schemas.microsoft.com/office/word/2010/wordprocessingShape">
                          <wps:wsp>
                            <wps:cNvSpPr>
                              <a:spLocks noChangeArrowheads="1"/>
                            </wps:cNvSpPr>
                            <wps:spPr bwMode="auto">
                              <a:xfrm>
                                <a:off x="0" y="0"/>
                                <a:ext cx="720090" cy="259080"/>
                              </a:xfrm>
                              <a:prstGeom prst="rect">
                                <a:avLst/>
                              </a:prstGeom>
                              <a:noFill/>
                              <a:ln>
                                <a:noFill/>
                              </a:ln>
                            </wps:spPr>
                            <wps:txbx>
                              <w:txbxContent>
                                <w:p>
                                  <w:pPr>
                                    <w:rPr>
                                      <w:color w:val="000000"/>
                                    </w:rPr>
                                  </w:pPr>
                                  <w:r>
                                    <w:rPr>
                                      <w:rFonts w:hint="eastAsia"/>
                                      <w:color w:val="000000"/>
                                    </w:rPr>
                                    <w:t>103551.6</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55.35pt;margin-top:23.75pt;height:20.4pt;width:56.7pt;z-index:251666432;mso-width-relative:page;mso-height-relative:page;" filled="f" stroked="f" coordsize="21600,21600" o:gfxdata="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iT1P7aAAAACQEAAA8AAAAAAAAAAQAgAAAAIgAA&#10;AGRycy9kb3ducmV2LnhtbFBLAQIUABQAAAAIAIdO4kBbKngTBgIAABAEAAAOAAAAAAAAAAEAIAAA&#10;ACkBAABkcnMvZTJvRG9jLnhtbFBLBQYAAAAABgAGAFkBAAChBQAAAAA=&#10;">
                      <v:fill on="f" focussize="0,0"/>
                      <v:stroke on="f"/>
                      <v:imagedata o:title=""/>
                      <o:lock v:ext="edit" aspectratio="f"/>
                      <v:textbox>
                        <w:txbxContent>
                          <w:p>
                            <w:pPr>
                              <w:rPr>
                                <w:color w:val="000000"/>
                              </w:rPr>
                            </w:pPr>
                            <w:r>
                              <w:rPr>
                                <w:rFonts w:hint="eastAsia"/>
                                <w:color w:val="000000"/>
                              </w:rPr>
                              <w:t>103551.6</w:t>
                            </w:r>
                          </w:p>
                        </w:txbxContent>
                      </v:textbox>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33020</wp:posOffset>
                      </wp:positionH>
                      <wp:positionV relativeFrom="paragraph">
                        <wp:posOffset>217170</wp:posOffset>
                      </wp:positionV>
                      <wp:extent cx="5090795" cy="4100830"/>
                      <wp:effectExtent l="9525" t="9525" r="24130" b="23495"/>
                      <wp:wrapNone/>
                      <wp:docPr id="101" name="矩形 101"/>
                      <wp:cNvGraphicFramePr/>
                      <a:graphic xmlns:a="http://schemas.openxmlformats.org/drawingml/2006/main">
                        <a:graphicData uri="http://schemas.microsoft.com/office/word/2010/wordprocessingShape">
                          <wps:wsp>
                            <wps:cNvSpPr/>
                            <wps:spPr>
                              <a:xfrm>
                                <a:off x="1435735" y="5816600"/>
                                <a:ext cx="5090795" cy="410083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pt;margin-top:17.1pt;height:322.9pt;width:400.85pt;z-index:251716608;v-text-anchor:middle;mso-width-relative:page;mso-height-relative:page;" filled="f" stroked="t" coordsize="21600,21600" o:gfxdata="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6u932QAAAAgBAAAPAAAAAAAAAAEAIAAAACIAAABkcnMvZG93bnJldi54&#10;bWxQSwECFAAUAAAACACHTuJAcuXUzmsCAADFBAAADgAAAAAAAAABACAAAAAoAQAAZHJzL2Uyb0Rv&#10;Yy54bWxQSwUGAAAAAAYABgBZAQAABQYAAAAA&#10;">
                      <v:fill on="f" focussize="0,0"/>
                      <v:stroke weight="1.5pt" color="#000000 [3213]" joinstyle="round"/>
                      <v:imagedata o:title=""/>
                      <o:lock v:ext="edit" aspectratio="f"/>
                    </v:rect>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2717165</wp:posOffset>
                      </wp:positionH>
                      <wp:positionV relativeFrom="paragraph">
                        <wp:posOffset>173990</wp:posOffset>
                      </wp:positionV>
                      <wp:extent cx="421005" cy="1472565"/>
                      <wp:effectExtent l="0" t="38100" r="13335" b="17145"/>
                      <wp:wrapNone/>
                      <wp:docPr id="80" name="肘形连接符 80"/>
                      <wp:cNvGraphicFramePr/>
                      <a:graphic xmlns:a="http://schemas.openxmlformats.org/drawingml/2006/main">
                        <a:graphicData uri="http://schemas.microsoft.com/office/word/2010/wordprocessingShape">
                          <wps:wsp>
                            <wps:cNvCnPr/>
                            <wps:spPr>
                              <a:xfrm rot="16200000" flipV="1">
                                <a:off x="4119880" y="5904865"/>
                                <a:ext cx="421005" cy="147256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13.95pt;margin-top:13.7pt;height:115.95pt;width:33.15pt;rotation:5898240f;z-index:251705344;mso-width-relative:page;mso-height-relative:page;" filled="f" stroked="t" coordsize="21600,21600" o:gfxdata="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6hoDZAAAACgEAAA8A&#10;AAAAAAAAAQAgAAAAIgAAAGRycy9kb3ducmV2LnhtbFBLAQIUABQAAAAIAIdO4kA+Hqp1FgIAAOwD&#10;AAAOAAAAAAAAAAEAIAAAACgBAABkcnMvZTJvRG9jLnhtbFBLBQYAAAAABgAGAFkBAACwBQAAAAA=&#10;">
                      <v:fill on="f" focussize="0,0"/>
                      <v:stroke color="#000000 [3213]" joinstyle="round" endarrow="block"/>
                      <v:imagedata o:title=""/>
                      <o:lock v:ext="edit" aspectratio="f"/>
                    </v:shape>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667456" behindDoc="0" locked="0" layoutInCell="1" allowOverlap="1">
                      <wp:simplePos x="0" y="0"/>
                      <wp:positionH relativeFrom="column">
                        <wp:posOffset>2653030</wp:posOffset>
                      </wp:positionH>
                      <wp:positionV relativeFrom="paragraph">
                        <wp:posOffset>12065</wp:posOffset>
                      </wp:positionV>
                      <wp:extent cx="605790" cy="241935"/>
                      <wp:effectExtent l="0" t="0" r="0" b="0"/>
                      <wp:wrapNone/>
                      <wp:docPr id="1454" name="Rectangle 1228"/>
                      <wp:cNvGraphicFramePr/>
                      <a:graphic xmlns:a="http://schemas.openxmlformats.org/drawingml/2006/main">
                        <a:graphicData uri="http://schemas.microsoft.com/office/word/2010/wordprocessingShape">
                          <wps:wsp>
                            <wps:cNvSpPr>
                              <a:spLocks noChangeArrowheads="1"/>
                            </wps:cNvSpPr>
                            <wps:spPr bwMode="auto">
                              <a:xfrm>
                                <a:off x="0" y="0"/>
                                <a:ext cx="605790" cy="241935"/>
                              </a:xfrm>
                              <a:prstGeom prst="rect">
                                <a:avLst/>
                              </a:prstGeom>
                              <a:noFill/>
                              <a:ln>
                                <a:noFill/>
                              </a:ln>
                            </wps:spPr>
                            <wps:txbx>
                              <w:txbxContent>
                                <w:p>
                                  <w:pPr>
                                    <w:rPr>
                                      <w:color w:val="000000"/>
                                    </w:rPr>
                                  </w:pPr>
                                  <w:r>
                                    <w:rPr>
                                      <w:rFonts w:hint="eastAsia"/>
                                      <w:color w:val="000000"/>
                                    </w:rPr>
                                    <w:t>106500</w:t>
                                  </w:r>
                                </w:p>
                              </w:txbxContent>
                            </wps:txbx>
                            <wps:bodyPr rot="0" vert="horz" wrap="square" lIns="91440" tIns="45720" rIns="91440" bIns="45720" anchor="t" anchorCtr="0" upright="1">
                              <a:noAutofit/>
                            </wps:bodyPr>
                          </wps:wsp>
                        </a:graphicData>
                      </a:graphic>
                    </wp:anchor>
                  </w:drawing>
                </mc:Choice>
                <mc:Fallback>
                  <w:pict>
                    <v:rect id="Rectangle 1228" o:spid="_x0000_s1026" o:spt="1" style="position:absolute;left:0pt;margin-left:208.9pt;margin-top:0.95pt;height:19.05pt;width:47.7pt;z-index:251667456;mso-width-relative:page;mso-height-relative:page;" filled="f" stroked="f" coordsize="21600,21600" o:gfxdata="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taW42QAAAAgBAAAPAAAAAAAAAAEAIAAAACIA&#10;AABkcnMvZG93bnJldi54bWxQSwECFAAUAAAACACHTuJAn9kr8AgCAAAQBAAADgAAAAAAAAABACAA&#10;AAAoAQAAZHJzL2Uyb0RvYy54bWxQSwUGAAAAAAYABgBZAQAAogUAAAAA&#10;">
                      <v:fill on="f" focussize="0,0"/>
                      <v:stroke on="f"/>
                      <v:imagedata o:title=""/>
                      <o:lock v:ext="edit" aspectratio="f"/>
                      <v:textbox>
                        <w:txbxContent>
                          <w:p>
                            <w:pPr>
                              <w:rPr>
                                <w:color w:val="000000"/>
                              </w:rPr>
                            </w:pPr>
                            <w:r>
                              <w:rPr>
                                <w:rFonts w:hint="eastAsia"/>
                                <w:color w:val="000000"/>
                              </w:rPr>
                              <w:t>106500</w:t>
                            </w:r>
                          </w:p>
                        </w:txbxContent>
                      </v:textbox>
                    </v:rect>
                  </w:pict>
                </mc:Fallback>
              </mc:AlternateContent>
            </w:r>
            <w:r>
              <w:rPr>
                <w:rFonts w:eastAsia="宋体"/>
                <w:color w:val="auto"/>
              </w:rPr>
              <mc:AlternateContent>
                <mc:Choice Requires="wps">
                  <w:drawing>
                    <wp:anchor distT="0" distB="0" distL="114300" distR="114300" simplePos="0" relativeHeight="251706368" behindDoc="0" locked="0" layoutInCell="1" allowOverlap="1">
                      <wp:simplePos x="0" y="0"/>
                      <wp:positionH relativeFrom="column">
                        <wp:posOffset>2643505</wp:posOffset>
                      </wp:positionH>
                      <wp:positionV relativeFrom="paragraph">
                        <wp:posOffset>323215</wp:posOffset>
                      </wp:positionV>
                      <wp:extent cx="561340" cy="259080"/>
                      <wp:effectExtent l="0" t="0" r="0" b="0"/>
                      <wp:wrapNone/>
                      <wp:docPr id="81"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2948.4</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208.15pt;margin-top:25.45pt;height:20.4pt;width:44.2pt;z-index:251706368;mso-width-relative:page;mso-height-relative:page;" filled="f" stroked="f" coordsize="21600,21600" o:gfxdata="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H3Po7bAAAACQEAAA8AAAAAAAAAAQAgAAAAIgAA&#10;AGRycy9kb3ducmV2LnhtbFBLAQIUABQAAAAIAIdO4kB1LnAZBQIAAA4EAAAOAAAAAAAAAAEAIAAA&#10;ACoBAABkcnMvZTJvRG9jLnhtbFBLBQYAAAAABgAGAFkBAAChBQAAAAA=&#10;">
                      <v:fill on="f" focussize="0,0"/>
                      <v:stroke on="f"/>
                      <v:imagedata o:title=""/>
                      <o:lock v:ext="edit" aspectratio="f"/>
                      <v:textbox>
                        <w:txbxContent>
                          <w:p>
                            <w:pPr>
                              <w:rPr>
                                <w:color w:val="000000"/>
                              </w:rPr>
                            </w:pPr>
                            <w:r>
                              <w:rPr>
                                <w:rFonts w:hint="eastAsia"/>
                                <w:color w:val="000000"/>
                              </w:rPr>
                              <w:t>2948.4</w:t>
                            </w:r>
                          </w:p>
                        </w:txbxContent>
                      </v:textbox>
                    </v:rect>
                  </w:pict>
                </mc:Fallback>
              </mc:AlternateContent>
            </w:r>
            <w:r>
              <w:rPr>
                <w:rFonts w:eastAsia="宋体"/>
                <w:color w:val="auto"/>
              </w:rPr>
              <mc:AlternateContent>
                <mc:Choice Requires="wps">
                  <w:drawing>
                    <wp:anchor distT="0" distB="0" distL="114300" distR="114300" simplePos="0" relativeHeight="251698176" behindDoc="0" locked="0" layoutInCell="1" allowOverlap="1">
                      <wp:simplePos x="0" y="0"/>
                      <wp:positionH relativeFrom="column">
                        <wp:posOffset>3695700</wp:posOffset>
                      </wp:positionH>
                      <wp:positionV relativeFrom="paragraph">
                        <wp:posOffset>85725</wp:posOffset>
                      </wp:positionV>
                      <wp:extent cx="775970" cy="284480"/>
                      <wp:effectExtent l="4445" t="4445" r="19685" b="15875"/>
                      <wp:wrapNone/>
                      <wp:docPr id="68" name="Rectangle 1191"/>
                      <wp:cNvGraphicFramePr/>
                      <a:graphic xmlns:a="http://schemas.openxmlformats.org/drawingml/2006/main">
                        <a:graphicData uri="http://schemas.microsoft.com/office/word/2010/wordprocessingShape">
                          <wps:wsp>
                            <wps:cNvSpPr>
                              <a:spLocks noChangeArrowheads="1"/>
                            </wps:cNvSpPr>
                            <wps:spPr bwMode="auto">
                              <a:xfrm>
                                <a:off x="0" y="0"/>
                                <a:ext cx="775970" cy="284480"/>
                              </a:xfrm>
                              <a:prstGeom prst="rect">
                                <a:avLst/>
                              </a:prstGeom>
                              <a:solidFill>
                                <a:srgbClr val="FFFFFF"/>
                              </a:solidFill>
                              <a:ln w="9525">
                                <a:solidFill>
                                  <a:srgbClr val="000000"/>
                                </a:solidFill>
                                <a:miter lim="800000"/>
                              </a:ln>
                            </wps:spPr>
                            <wps:txbx>
                              <w:txbxContent>
                                <w:p>
                                  <w:pPr>
                                    <w:jc w:val="center"/>
                                  </w:pPr>
                                  <w:r>
                                    <w:rPr>
                                      <w:rFonts w:hint="eastAsia"/>
                                    </w:rPr>
                                    <w:t>产品</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291pt;margin-top:6.75pt;height:22.4pt;width:61.1pt;z-index:251698176;mso-width-relative:page;mso-height-relative:page;" fillcolor="#FFFFFF" filled="t" stroked="t" coordsize="21600,21600" o:gfxdata="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S2xGtYAAAAJAQAADwAAAAAAAAABACAAAAAiAAAAZHJzL2Rvd25yZXYueG1sUEsB&#10;AhQAFAAAAAgAh07iQBMHzRAwAgAAgAQAAA4AAAAAAAAAAQAgAAAAJQEAAGRycy9lMm9Eb2MueG1s&#10;UEsFBgAAAAAGAAYAWQEAAMcFAAAAAA==&#10;">
                      <v:fill on="t" focussize="0,0"/>
                      <v:stroke color="#000000" miterlimit="8" joinstyle="miter"/>
                      <v:imagedata o:title=""/>
                      <o:lock v:ext="edit" aspectratio="f"/>
                      <v:textbox>
                        <w:txbxContent>
                          <w:p>
                            <w:pPr>
                              <w:jc w:val="center"/>
                            </w:pPr>
                            <w:r>
                              <w:rPr>
                                <w:rFonts w:hint="eastAsia"/>
                              </w:rPr>
                              <w:t>产品</w:t>
                            </w:r>
                          </w:p>
                        </w:txbxContent>
                      </v:textbox>
                    </v:rect>
                  </w:pict>
                </mc:Fallback>
              </mc:AlternateContent>
            </w:r>
            <w:r>
              <w:rPr>
                <w:rFonts w:eastAsia="宋体"/>
                <w:color w:val="auto"/>
              </w:rPr>
              <mc:AlternateContent>
                <mc:Choice Requires="wps">
                  <w:drawing>
                    <wp:anchor distT="0" distB="0" distL="114300" distR="114300" simplePos="0" relativeHeight="251668480" behindDoc="0" locked="0" layoutInCell="1" allowOverlap="1">
                      <wp:simplePos x="0" y="0"/>
                      <wp:positionH relativeFrom="column">
                        <wp:posOffset>2184400</wp:posOffset>
                      </wp:positionH>
                      <wp:positionV relativeFrom="paragraph">
                        <wp:posOffset>208280</wp:posOffset>
                      </wp:positionV>
                      <wp:extent cx="1521460" cy="10795"/>
                      <wp:effectExtent l="0" t="37465" r="2540" b="27940"/>
                      <wp:wrapNone/>
                      <wp:docPr id="1453" name="AutoShape 1278"/>
                      <wp:cNvGraphicFramePr/>
                      <a:graphic xmlns:a="http://schemas.openxmlformats.org/drawingml/2006/main">
                        <a:graphicData uri="http://schemas.microsoft.com/office/word/2010/wordprocessingShape">
                          <wps:wsp>
                            <wps:cNvCnPr>
                              <a:cxnSpLocks noChangeShapeType="1"/>
                            </wps:cNvCnPr>
                            <wps:spPr bwMode="auto">
                              <a:xfrm flipV="1">
                                <a:off x="0" y="0"/>
                                <a:ext cx="1521460" cy="10795"/>
                              </a:xfrm>
                              <a:prstGeom prst="straightConnector1">
                                <a:avLst/>
                              </a:prstGeom>
                              <a:noFill/>
                              <a:ln w="9525">
                                <a:solidFill>
                                  <a:srgbClr val="000000"/>
                                </a:solidFill>
                                <a:round/>
                                <a:tailEnd type="triangle" w="med" len="med"/>
                              </a:ln>
                            </wps:spPr>
                            <wps:bodyPr/>
                          </wps:wsp>
                        </a:graphicData>
                      </a:graphic>
                    </wp:anchor>
                  </w:drawing>
                </mc:Choice>
                <mc:Fallback>
                  <w:pict>
                    <v:shape id="AutoShape 1278" o:spid="_x0000_s1026" o:spt="32" type="#_x0000_t32" style="position:absolute;left:0pt;flip:y;margin-left:172pt;margin-top:16.4pt;height:0.85pt;width:119.8pt;z-index:251668480;mso-width-relative:page;mso-height-relative:page;" filled="f" stroked="t" coordsize="21600,21600" o:gfxdata="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loKXdgAAAAJAQAADwAAAAAAAAABACAAAAAiAAAAZHJzL2Rvd25y&#10;ZXYueG1sUEsBAhQAFAAAAAgAh07iQITLnvX+AQAA9AMAAA4AAAAAAAAAAQAgAAAAJwEAAGRycy9l&#10;Mm9Eb2MueG1sUEsFBgAAAAAGAAYAWQEAAJcFAAAAAA==&#10;">
                      <v:fill on="f" focussize="0,0"/>
                      <v:stroke color="#000000" joinstyle="round"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664384" behindDoc="0" locked="0" layoutInCell="1" allowOverlap="1">
                      <wp:simplePos x="0" y="0"/>
                      <wp:positionH relativeFrom="column">
                        <wp:posOffset>1384300</wp:posOffset>
                      </wp:positionH>
                      <wp:positionV relativeFrom="paragraph">
                        <wp:posOffset>102870</wp:posOffset>
                      </wp:positionV>
                      <wp:extent cx="775970" cy="284480"/>
                      <wp:effectExtent l="7620" t="13335" r="6985" b="6985"/>
                      <wp:wrapNone/>
                      <wp:docPr id="1452" name="Rectangle 1191"/>
                      <wp:cNvGraphicFramePr/>
                      <a:graphic xmlns:a="http://schemas.openxmlformats.org/drawingml/2006/main">
                        <a:graphicData uri="http://schemas.microsoft.com/office/word/2010/wordprocessingShape">
                          <wps:wsp>
                            <wps:cNvSpPr>
                              <a:spLocks noChangeArrowheads="1"/>
                            </wps:cNvSpPr>
                            <wps:spPr bwMode="auto">
                              <a:xfrm>
                                <a:off x="0" y="0"/>
                                <a:ext cx="775970" cy="284480"/>
                              </a:xfrm>
                              <a:prstGeom prst="rect">
                                <a:avLst/>
                              </a:prstGeom>
                              <a:solidFill>
                                <a:srgbClr val="FFFFFF"/>
                              </a:solidFill>
                              <a:ln w="9525">
                                <a:solidFill>
                                  <a:srgbClr val="000000"/>
                                </a:solidFill>
                                <a:miter lim="800000"/>
                              </a:ln>
                            </wps:spPr>
                            <wps:txbx>
                              <w:txbxContent>
                                <w:p>
                                  <w:r>
                                    <w:rPr>
                                      <w:rFonts w:hint="eastAsia"/>
                                    </w:rPr>
                                    <w:t>生产用水</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109pt;margin-top:8.1pt;height:22.4pt;width:61.1pt;z-index:251664384;mso-width-relative:page;mso-height-relative:page;" fillcolor="#FFFFFF" filled="t" stroked="t" coordsize="21600,21600" o:gfxdata="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sauWtcAAAAJAQAADwAAAAAAAAABACAAAAAiAAAAZHJzL2Rvd25yZXYueG1s&#10;UEsBAhQAFAAAAAgAh07iQPVPwwcyAgAAggQAAA4AAAAAAAAAAQAgAAAAJgEAAGRycy9lMm9Eb2Mu&#10;eG1sUEsFBgAAAAAGAAYAWQEAAMoFAAAAAA==&#10;">
                      <v:fill on="t" focussize="0,0"/>
                      <v:stroke color="#000000" miterlimit="8" joinstyle="miter"/>
                      <v:imagedata o:title=""/>
                      <o:lock v:ext="edit" aspectratio="f"/>
                      <v:textbox>
                        <w:txbxContent>
                          <w:p>
                            <w:r>
                              <w:rPr>
                                <w:rFonts w:hint="eastAsia"/>
                              </w:rPr>
                              <w:t>生产用水</w:t>
                            </w:r>
                          </w:p>
                        </w:txbxContent>
                      </v:textbox>
                    </v:rect>
                  </w:pict>
                </mc:Fallback>
              </mc:AlternateContent>
            </w:r>
            <w:r>
              <w:rPr>
                <w:rFonts w:eastAsia="宋体"/>
                <w:color w:val="auto"/>
              </w:rPr>
              <mc:AlternateContent>
                <mc:Choice Requires="wps">
                  <w:drawing>
                    <wp:anchor distT="0" distB="0" distL="114300" distR="114300" simplePos="0" relativeHeight="251663360" behindDoc="0" locked="0" layoutInCell="1" allowOverlap="1">
                      <wp:simplePos x="0" y="0"/>
                      <wp:positionH relativeFrom="column">
                        <wp:posOffset>953770</wp:posOffset>
                      </wp:positionH>
                      <wp:positionV relativeFrom="paragraph">
                        <wp:posOffset>223520</wp:posOffset>
                      </wp:positionV>
                      <wp:extent cx="46355" cy="3588385"/>
                      <wp:effectExtent l="4445" t="0" r="6350" b="12065"/>
                      <wp:wrapNone/>
                      <wp:docPr id="1451" name="AutoShape 1185"/>
                      <wp:cNvGraphicFramePr/>
                      <a:graphic xmlns:a="http://schemas.openxmlformats.org/drawingml/2006/main">
                        <a:graphicData uri="http://schemas.microsoft.com/office/word/2010/wordprocessingShape">
                          <wps:wsp>
                            <wps:cNvCnPr>
                              <a:cxnSpLocks noChangeShapeType="1"/>
                            </wps:cNvCnPr>
                            <wps:spPr bwMode="auto">
                              <a:xfrm>
                                <a:off x="0" y="0"/>
                                <a:ext cx="46355" cy="3588385"/>
                              </a:xfrm>
                              <a:prstGeom prst="straightConnector1">
                                <a:avLst/>
                              </a:prstGeom>
                              <a:noFill/>
                              <a:ln w="9525">
                                <a:solidFill>
                                  <a:srgbClr val="000000"/>
                                </a:solidFill>
                                <a:round/>
                              </a:ln>
                            </wps:spPr>
                            <wps:bodyPr/>
                          </wps:wsp>
                        </a:graphicData>
                      </a:graphic>
                    </wp:anchor>
                  </w:drawing>
                </mc:Choice>
                <mc:Fallback>
                  <w:pict>
                    <v:shape id="AutoShape 1185" o:spid="_x0000_s1026" o:spt="32" type="#_x0000_t32" style="position:absolute;left:0pt;margin-left:75.1pt;margin-top:17.6pt;height:282.55pt;width:3.65pt;z-index:251663360;mso-width-relative:page;mso-height-relative:page;" filled="f" stroked="t" coordsize="21600,21600" o:gfxdata="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7P4grXAAAACgEAAA8A&#10;AAAAAAAAAQAgAAAAIgAAAGRycy9kb3ducmV2LnhtbFBLAQIUABQAAAAIAIdO4kDL9/im3wEAALwD&#10;AAAOAAAAAAAAAAEAIAAAACYBAABkcnMvZTJvRG9jLnhtbFBLBQYAAAAABgAGAFkBAAB3BQAAAAA=&#10;">
                      <v:fill on="f" focussize="0,0"/>
                      <v:stroke color="#000000" joinstyle="round"/>
                      <v:imagedata o:title=""/>
                      <o:lock v:ext="edit" aspectratio="f"/>
                    </v:shape>
                  </w:pict>
                </mc:Fallback>
              </mc:AlternateContent>
            </w:r>
            <w:r>
              <w:rPr>
                <w:rFonts w:eastAsia="宋体"/>
                <w:b/>
                <w:color w:val="auto"/>
                <w:szCs w:val="22"/>
              </w:rPr>
              <mc:AlternateContent>
                <mc:Choice Requires="wps">
                  <w:drawing>
                    <wp:anchor distT="0" distB="0" distL="114300" distR="114300" simplePos="0" relativeHeight="251669504" behindDoc="0" locked="0" layoutInCell="1" allowOverlap="1">
                      <wp:simplePos x="0" y="0"/>
                      <wp:positionH relativeFrom="column">
                        <wp:posOffset>948690</wp:posOffset>
                      </wp:positionH>
                      <wp:positionV relativeFrom="paragraph">
                        <wp:posOffset>223520</wp:posOffset>
                      </wp:positionV>
                      <wp:extent cx="410210" cy="0"/>
                      <wp:effectExtent l="10160" t="57785" r="17780" b="56515"/>
                      <wp:wrapNone/>
                      <wp:docPr id="1449" name="AutoShape 1448"/>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9525">
                                <a:solidFill>
                                  <a:srgbClr val="000000"/>
                                </a:solidFill>
                                <a:round/>
                                <a:tailEnd type="triangle" w="med" len="med"/>
                              </a:ln>
                            </wps:spPr>
                            <wps:bodyPr/>
                          </wps:wsp>
                        </a:graphicData>
                      </a:graphic>
                    </wp:anchor>
                  </w:drawing>
                </mc:Choice>
                <mc:Fallback>
                  <w:pict>
                    <v:shape id="AutoShape 1448" o:spid="_x0000_s1026" o:spt="32" type="#_x0000_t32" style="position:absolute;left:0pt;margin-left:74.7pt;margin-top:17.6pt;height:0pt;width:32.3pt;z-index:251669504;mso-width-relative:page;mso-height-relative:page;" filled="f" stroked="t" coordsize="21600,21600" o:gfxdata="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ejTz9gAAAAJAQAADwAAAAAAAAABACAAAAAiAAAAZHJzL2Rvd25yZXYueG1sUEsBAhQA&#10;FAAAAAgAh07iQJmkoyPyAQAA5QMAAA4AAAAAAAAAAQAgAAAAJwEAAGRycy9lMm9Eb2MueG1sUEsF&#10;BgAAAAAGAAYAWQEAAIsFAAAAAA==&#10;">
                      <v:fill on="f" focussize="0,0"/>
                      <v:stroke color="#000000" joinstyle="round" endarrow="block"/>
                      <v:imagedata o:title=""/>
                      <o:lock v:ext="edit" aspectratio="f"/>
                    </v:shape>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709440" behindDoc="0" locked="0" layoutInCell="1" allowOverlap="1">
                      <wp:simplePos x="0" y="0"/>
                      <wp:positionH relativeFrom="column">
                        <wp:posOffset>1849755</wp:posOffset>
                      </wp:positionH>
                      <wp:positionV relativeFrom="paragraph">
                        <wp:posOffset>127635</wp:posOffset>
                      </wp:positionV>
                      <wp:extent cx="561340" cy="259080"/>
                      <wp:effectExtent l="0" t="0" r="0" b="0"/>
                      <wp:wrapNone/>
                      <wp:docPr id="84"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249.6</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45.65pt;margin-top:10.05pt;height:20.4pt;width:44.2pt;z-index:251709440;mso-width-relative:page;mso-height-relative:page;" filled="f" stroked="f" coordsize="21600,21600" o:gfxdata="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oPpHNoAAAAJAQAADwAAAAAAAAABACAAAAAiAAAA&#10;ZHJzL2Rvd25yZXYueG1sUEsBAhQAFAAAAAgAh07iQDtIBt8FAgAADgQAAA4AAAAAAAAAAQAgAAAA&#10;KQEAAGRycy9lMm9Eb2MueG1sUEsFBgAAAAAGAAYAWQEAAKAFAAAAAA==&#10;">
                      <v:fill on="f" focussize="0,0"/>
                      <v:stroke on="f"/>
                      <v:imagedata o:title=""/>
                      <o:lock v:ext="edit" aspectratio="f"/>
                      <v:textbox>
                        <w:txbxContent>
                          <w:p>
                            <w:pPr>
                              <w:rPr>
                                <w:color w:val="000000"/>
                              </w:rPr>
                            </w:pPr>
                            <w:r>
                              <w:rPr>
                                <w:rFonts w:hint="eastAsia"/>
                                <w:color w:val="000000"/>
                              </w:rPr>
                              <w:t>249.6</w:t>
                            </w:r>
                          </w:p>
                        </w:txbxContent>
                      </v:textbox>
                    </v:rect>
                  </w:pict>
                </mc:Fallback>
              </mc:AlternateContent>
            </w:r>
            <w:r>
              <w:rPr>
                <w:rFonts w:eastAsia="宋体"/>
                <w:color w:val="auto"/>
              </w:rPr>
              <mc:AlternateContent>
                <mc:Choice Requires="wps">
                  <w:drawing>
                    <wp:anchor distT="0" distB="0" distL="114300" distR="114300" simplePos="0" relativeHeight="251707392" behindDoc="0" locked="0" layoutInCell="1" allowOverlap="1">
                      <wp:simplePos x="0" y="0"/>
                      <wp:positionH relativeFrom="column">
                        <wp:posOffset>2346960</wp:posOffset>
                      </wp:positionH>
                      <wp:positionV relativeFrom="paragraph">
                        <wp:posOffset>339725</wp:posOffset>
                      </wp:positionV>
                      <wp:extent cx="561340" cy="259080"/>
                      <wp:effectExtent l="0" t="0" r="0" b="0"/>
                      <wp:wrapNone/>
                      <wp:docPr id="82"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2246.4</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84.8pt;margin-top:26.75pt;height:20.4pt;width:44.2pt;z-index:251707392;mso-width-relative:page;mso-height-relative:page;" filled="f" stroked="f" coordsize="21600,21600" o:gfxdata="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RlKzbAAAACQEAAA8AAAAAAAAAAQAgAAAAIgAA&#10;AGRycy9kb3ducmV2LnhtbFBLAQIUABQAAAAIAIdO4kBwDo3tBQIAAA4EAAAOAAAAAAAAAAEAIAAA&#10;ACoBAABkcnMvZTJvRG9jLnhtbFBLBQYAAAAABgAGAFkBAAChBQAAAAA=&#10;">
                      <v:fill on="f" focussize="0,0"/>
                      <v:stroke on="f"/>
                      <v:imagedata o:title=""/>
                      <o:lock v:ext="edit" aspectratio="f"/>
                      <v:textbox>
                        <w:txbxContent>
                          <w:p>
                            <w:pPr>
                              <w:rPr>
                                <w:color w:val="000000"/>
                              </w:rPr>
                            </w:pPr>
                            <w:r>
                              <w:rPr>
                                <w:rFonts w:hint="eastAsia"/>
                                <w:color w:val="000000"/>
                              </w:rPr>
                              <w:t>2246.4</w:t>
                            </w:r>
                          </w:p>
                        </w:txbxContent>
                      </v:textbox>
                    </v:rect>
                  </w:pict>
                </mc:Fallback>
              </mc:AlternateContent>
            </w:r>
            <w:r>
              <w:rPr>
                <w:rFonts w:eastAsia="宋体"/>
                <w:color w:val="auto"/>
                <w:sz w:val="24"/>
                <w:szCs w:val="24"/>
              </w:rPr>
              <mc:AlternateContent>
                <mc:Choice Requires="wps">
                  <w:drawing>
                    <wp:anchor distT="0" distB="0" distL="114300" distR="114300" simplePos="0" relativeHeight="251699200" behindDoc="0" locked="0" layoutInCell="1" allowOverlap="1">
                      <wp:simplePos x="0" y="0"/>
                      <wp:positionH relativeFrom="column">
                        <wp:posOffset>1654175</wp:posOffset>
                      </wp:positionH>
                      <wp:positionV relativeFrom="paragraph">
                        <wp:posOffset>264795</wp:posOffset>
                      </wp:positionV>
                      <wp:extent cx="293370" cy="120015"/>
                      <wp:effectExtent l="0" t="27305" r="11430" b="5080"/>
                      <wp:wrapNone/>
                      <wp:docPr id="69" name="AutoShape 1203"/>
                      <wp:cNvGraphicFramePr/>
                      <a:graphic xmlns:a="http://schemas.openxmlformats.org/drawingml/2006/main">
                        <a:graphicData uri="http://schemas.microsoft.com/office/word/2010/wordprocessingShape">
                          <wps:wsp>
                            <wps:cNvCnPr>
                              <a:cxnSpLocks noChangeShapeType="1"/>
                            </wps:cNvCnPr>
                            <wps:spPr bwMode="auto">
                              <a:xfrm flipV="1">
                                <a:off x="0" y="0"/>
                                <a:ext cx="293370" cy="120015"/>
                              </a:xfrm>
                              <a:prstGeom prst="curvedConnector3">
                                <a:avLst>
                                  <a:gd name="adj1" fmla="val 50000"/>
                                </a:avLst>
                              </a:prstGeom>
                              <a:noFill/>
                              <a:ln w="9525">
                                <a:solidFill>
                                  <a:srgbClr val="000000"/>
                                </a:solidFill>
                                <a:prstDash val="dash"/>
                                <a:round/>
                                <a:tailEnd type="triangle" w="med" len="med"/>
                              </a:ln>
                            </wps:spPr>
                            <wps:bodyPr/>
                          </wps:wsp>
                        </a:graphicData>
                      </a:graphic>
                    </wp:anchor>
                  </w:drawing>
                </mc:Choice>
                <mc:Fallback>
                  <w:pict>
                    <v:shape id="AutoShape 1203" o:spid="_x0000_s1026" o:spt="38" type="#_x0000_t38" style="position:absolute;left:0pt;flip:y;margin-left:130.25pt;margin-top:20.85pt;height:9.45pt;width:23.1pt;z-index:251699200;mso-width-relative:page;mso-height-relative:page;" filled="f" stroked="t" coordsize="21600,21600" o:gfxdata="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73iw2AAAAAkB&#10;AAAPAAAAAAAAAAEAIAAAACIAAABkcnMvZG93bnJldi54bWxQSwECFAAUAAAACACHTuJA+ettGxsC&#10;AAA1BAAADgAAAAAAAAABACAAAAAnAQAAZHJzL2Uyb0RvYy54bWxQSwUGAAAAAAYABgBZAQAAtAUA&#10;AAAA&#10;" adj="10800">
                      <v:fill on="f" focussize="0,0"/>
                      <v:stroke color="#000000" joinstyle="round" dashstyle="dash"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693056" behindDoc="0" locked="0" layoutInCell="1" allowOverlap="1">
                      <wp:simplePos x="0" y="0"/>
                      <wp:positionH relativeFrom="column">
                        <wp:posOffset>903605</wp:posOffset>
                      </wp:positionH>
                      <wp:positionV relativeFrom="paragraph">
                        <wp:posOffset>240030</wp:posOffset>
                      </wp:positionV>
                      <wp:extent cx="561340" cy="259080"/>
                      <wp:effectExtent l="0" t="0" r="0" b="0"/>
                      <wp:wrapNone/>
                      <wp:docPr id="57"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2496</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71.15pt;margin-top:18.9pt;height:20.4pt;width:44.2pt;z-index:251693056;mso-width-relative:page;mso-height-relative:page;" filled="f" stroked="f" coordsize="21600,21600" o:gfxdata="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GV58dkAAAAJAQAADwAAAAAAAAABACAAAAAiAAAA&#10;ZHJzL2Rvd25yZXYueG1sUEsBAhQAFAAAAAgAh07iQKZPeB0GAgAADgQAAA4AAAAAAAAAAQAgAAAA&#10;KAEAAGRycy9lMm9Eb2MueG1sUEsFBgAAAAAGAAYAWQEAAKAFAAAAAA==&#10;">
                      <v:fill on="f" focussize="0,0"/>
                      <v:stroke on="f"/>
                      <v:imagedata o:title=""/>
                      <o:lock v:ext="edit" aspectratio="f"/>
                      <v:textbox>
                        <w:txbxContent>
                          <w:p>
                            <w:pPr>
                              <w:rPr>
                                <w:color w:val="000000"/>
                              </w:rPr>
                            </w:pPr>
                            <w:r>
                              <w:rPr>
                                <w:rFonts w:hint="eastAsia"/>
                                <w:color w:val="000000"/>
                              </w:rPr>
                              <w:t>2496</w:t>
                            </w:r>
                          </w:p>
                        </w:txbxContent>
                      </v:textbox>
                    </v:rect>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701248" behindDoc="0" locked="0" layoutInCell="1" allowOverlap="1">
                      <wp:simplePos x="0" y="0"/>
                      <wp:positionH relativeFrom="column">
                        <wp:posOffset>2146300</wp:posOffset>
                      </wp:positionH>
                      <wp:positionV relativeFrom="paragraph">
                        <wp:posOffset>200025</wp:posOffset>
                      </wp:positionV>
                      <wp:extent cx="1115060" cy="4445"/>
                      <wp:effectExtent l="0" t="38100" r="8890" b="33655"/>
                      <wp:wrapNone/>
                      <wp:docPr id="73" name="AutoShape 1278"/>
                      <wp:cNvGraphicFramePr/>
                      <a:graphic xmlns:a="http://schemas.openxmlformats.org/drawingml/2006/main">
                        <a:graphicData uri="http://schemas.microsoft.com/office/word/2010/wordprocessingShape">
                          <wps:wsp>
                            <wps:cNvCnPr>
                              <a:cxnSpLocks noChangeShapeType="1"/>
                            </wps:cNvCnPr>
                            <wps:spPr bwMode="auto">
                              <a:xfrm flipV="1">
                                <a:off x="0" y="0"/>
                                <a:ext cx="1115060" cy="4445"/>
                              </a:xfrm>
                              <a:prstGeom prst="straightConnector1">
                                <a:avLst/>
                              </a:prstGeom>
                              <a:noFill/>
                              <a:ln w="9525">
                                <a:solidFill>
                                  <a:srgbClr val="000000"/>
                                </a:solidFill>
                                <a:round/>
                                <a:tailEnd type="triangle" w="med" len="med"/>
                              </a:ln>
                            </wps:spPr>
                            <wps:bodyPr/>
                          </wps:wsp>
                        </a:graphicData>
                      </a:graphic>
                    </wp:anchor>
                  </w:drawing>
                </mc:Choice>
                <mc:Fallback>
                  <w:pict>
                    <v:shape id="AutoShape 1278" o:spid="_x0000_s1026" o:spt="32" type="#_x0000_t32" style="position:absolute;left:0pt;flip:y;margin-left:169pt;margin-top:15.75pt;height:0.35pt;width:87.8pt;z-index:251701248;mso-width-relative:page;mso-height-relative:page;" filled="f" stroked="t" coordsize="21600,21600" o:gfxdata="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bA2C2QAAAAkBAAAPAAAAAAAAAAEAIAAAACIAAABkcnMvZG93bnJl&#10;di54bWxQSwECFAAUAAAACACHTuJAqe1TBPwBAADxAwAADgAAAAAAAAABACAAAAAoAQAAZHJzL2Uy&#10;b0RvYy54bWxQSwUGAAAAAAYABgBZAQAAlgUAAAAA&#10;">
                      <v:fill on="f" focussize="0,0"/>
                      <v:stroke color="#000000" joinstyle="round"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704320" behindDoc="0" locked="0" layoutInCell="1" allowOverlap="1">
                      <wp:simplePos x="0" y="0"/>
                      <wp:positionH relativeFrom="column">
                        <wp:posOffset>3276600</wp:posOffset>
                      </wp:positionH>
                      <wp:positionV relativeFrom="paragraph">
                        <wp:posOffset>92075</wp:posOffset>
                      </wp:positionV>
                      <wp:extent cx="775970" cy="866775"/>
                      <wp:effectExtent l="5080" t="4445" r="19050" b="5080"/>
                      <wp:wrapNone/>
                      <wp:docPr id="79" name="Rectangle 1191"/>
                      <wp:cNvGraphicFramePr/>
                      <a:graphic xmlns:a="http://schemas.openxmlformats.org/drawingml/2006/main">
                        <a:graphicData uri="http://schemas.microsoft.com/office/word/2010/wordprocessingShape">
                          <wps:wsp>
                            <wps:cNvSpPr>
                              <a:spLocks noChangeArrowheads="1"/>
                            </wps:cNvSpPr>
                            <wps:spPr bwMode="auto">
                              <a:xfrm>
                                <a:off x="0" y="0"/>
                                <a:ext cx="775970" cy="866775"/>
                              </a:xfrm>
                              <a:prstGeom prst="rect">
                                <a:avLst/>
                              </a:prstGeom>
                              <a:solidFill>
                                <a:srgbClr val="FFFFFF"/>
                              </a:solidFill>
                              <a:ln w="9525">
                                <a:solidFill>
                                  <a:srgbClr val="000000"/>
                                </a:solidFill>
                                <a:miter lim="800000"/>
                              </a:ln>
                            </wps:spPr>
                            <wps:txbx>
                              <w:txbxContent>
                                <w:p>
                                  <w:pPr>
                                    <w:jc w:val="center"/>
                                  </w:pPr>
                                  <w:r>
                                    <w:rPr>
                                      <w:rFonts w:hint="eastAsia"/>
                                    </w:rPr>
                                    <w:t>沉淀池</w:t>
                                  </w:r>
                                </w:p>
                                <w:p>
                                  <w:pPr>
                                    <w:pStyle w:val="37"/>
                                  </w:pPr>
                                  <w:r>
                                    <w:rPr>
                                      <w:rFonts w:hint="eastAsia"/>
                                    </w:rPr>
                                    <w:t>2948.4</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258pt;margin-top:7.25pt;height:68.25pt;width:61.1pt;z-index:251704320;mso-width-relative:page;mso-height-relative:page;" fillcolor="#FFFFFF" filled="t" stroked="t" coordsize="21600,21600" o:gfxdata="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ogy2AAAAAoBAAAPAAAAAAAAAAEAIAAAACIAAABkcnMvZG93bnJldi54bWxQSwEC&#10;FAAUAAAACACHTuJAiViYnC0CAACABAAADgAAAAAAAAABACAAAAAnAQAAZHJzL2Uyb0RvYy54bWxQ&#10;SwUGAAAAAAYABgBZAQAAxgUAAAAA&#10;">
                      <v:fill on="t" focussize="0,0"/>
                      <v:stroke color="#000000" miterlimit="8" joinstyle="miter"/>
                      <v:imagedata o:title=""/>
                      <o:lock v:ext="edit" aspectratio="f"/>
                      <v:textbox>
                        <w:txbxContent>
                          <w:p>
                            <w:pPr>
                              <w:jc w:val="center"/>
                            </w:pPr>
                            <w:r>
                              <w:rPr>
                                <w:rFonts w:hint="eastAsia"/>
                              </w:rPr>
                              <w:t>沉淀池</w:t>
                            </w:r>
                          </w:p>
                          <w:p>
                            <w:pPr>
                              <w:pStyle w:val="37"/>
                            </w:pPr>
                            <w:r>
                              <w:rPr>
                                <w:rFonts w:hint="eastAsia"/>
                              </w:rPr>
                              <w:t>2948.4</w:t>
                            </w:r>
                          </w:p>
                        </w:txbxContent>
                      </v:textbox>
                    </v:rect>
                  </w:pict>
                </mc:Fallback>
              </mc:AlternateContent>
            </w:r>
            <w:r>
              <w:rPr>
                <w:rFonts w:eastAsia="宋体"/>
                <w:color w:val="auto"/>
              </w:rPr>
              <mc:AlternateContent>
                <mc:Choice Requires="wps">
                  <w:drawing>
                    <wp:anchor distT="0" distB="0" distL="114300" distR="114300" simplePos="0" relativeHeight="251687936" behindDoc="0" locked="0" layoutInCell="1" allowOverlap="1">
                      <wp:simplePos x="0" y="0"/>
                      <wp:positionH relativeFrom="column">
                        <wp:posOffset>1367155</wp:posOffset>
                      </wp:positionH>
                      <wp:positionV relativeFrom="paragraph">
                        <wp:posOffset>56515</wp:posOffset>
                      </wp:positionV>
                      <wp:extent cx="775970" cy="284480"/>
                      <wp:effectExtent l="4445" t="4445" r="19685" b="15875"/>
                      <wp:wrapNone/>
                      <wp:docPr id="52" name="Rectangle 1191"/>
                      <wp:cNvGraphicFramePr/>
                      <a:graphic xmlns:a="http://schemas.openxmlformats.org/drawingml/2006/main">
                        <a:graphicData uri="http://schemas.microsoft.com/office/word/2010/wordprocessingShape">
                          <wps:wsp>
                            <wps:cNvSpPr>
                              <a:spLocks noChangeArrowheads="1"/>
                            </wps:cNvSpPr>
                            <wps:spPr bwMode="auto">
                              <a:xfrm>
                                <a:off x="0" y="0"/>
                                <a:ext cx="775970" cy="284480"/>
                              </a:xfrm>
                              <a:prstGeom prst="rect">
                                <a:avLst/>
                              </a:prstGeom>
                              <a:solidFill>
                                <a:srgbClr val="FFFFFF"/>
                              </a:solidFill>
                              <a:ln w="9525">
                                <a:solidFill>
                                  <a:srgbClr val="000000"/>
                                </a:solidFill>
                                <a:miter lim="800000"/>
                              </a:ln>
                            </wps:spPr>
                            <wps:txbx>
                              <w:txbxContent>
                                <w:p>
                                  <w:r>
                                    <w:rPr>
                                      <w:rFonts w:hint="eastAsia"/>
                                    </w:rPr>
                                    <w:t>车辆冲洗</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107.65pt;margin-top:4.45pt;height:22.4pt;width:61.1pt;z-index:251687936;mso-width-relative:page;mso-height-relative:page;" fillcolor="#FFFFFF" filled="t" stroked="t" coordsize="21600,21600" o:gfxdata="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T6YZ1wAAAAgBAAAPAAAAAAAAAAEAIAAAACIAAABkcnMvZG93bnJldi54bWxQ&#10;SwECFAAUAAAACACHTuJAGxUW/DECAACABAAADgAAAAAAAAABACAAAAAmAQAAZHJzL2Uyb0RvYy54&#10;bWxQSwUGAAAAAAYABgBZAQAAyQUAAAAA&#10;">
                      <v:fill on="t" focussize="0,0"/>
                      <v:stroke color="#000000" miterlimit="8" joinstyle="miter"/>
                      <v:imagedata o:title=""/>
                      <o:lock v:ext="edit" aspectratio="f"/>
                      <v:textbox>
                        <w:txbxContent>
                          <w:p>
                            <w:r>
                              <w:rPr>
                                <w:rFonts w:hint="eastAsia"/>
                              </w:rPr>
                              <w:t>车辆冲洗</w:t>
                            </w:r>
                          </w:p>
                        </w:txbxContent>
                      </v:textbox>
                    </v:rect>
                  </w:pict>
                </mc:Fallback>
              </mc:AlternateContent>
            </w:r>
            <w:r>
              <w:rPr>
                <w:rFonts w:eastAsia="宋体"/>
                <w:b/>
                <w:color w:val="auto"/>
                <w:szCs w:val="22"/>
              </w:rPr>
              <mc:AlternateContent>
                <mc:Choice Requires="wps">
                  <w:drawing>
                    <wp:anchor distT="0" distB="0" distL="114300" distR="114300" simplePos="0" relativeHeight="251670528" behindDoc="0" locked="0" layoutInCell="1" allowOverlap="1">
                      <wp:simplePos x="0" y="0"/>
                      <wp:positionH relativeFrom="column">
                        <wp:posOffset>965835</wp:posOffset>
                      </wp:positionH>
                      <wp:positionV relativeFrom="paragraph">
                        <wp:posOffset>170180</wp:posOffset>
                      </wp:positionV>
                      <wp:extent cx="410210" cy="0"/>
                      <wp:effectExtent l="9525" t="55245" r="18415" b="59055"/>
                      <wp:wrapNone/>
                      <wp:docPr id="19" name="AutoShape 1449"/>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9525">
                                <a:solidFill>
                                  <a:srgbClr val="000000"/>
                                </a:solidFill>
                                <a:round/>
                                <a:tailEnd type="triangle" w="med" len="med"/>
                              </a:ln>
                            </wps:spPr>
                            <wps:bodyPr/>
                          </wps:wsp>
                        </a:graphicData>
                      </a:graphic>
                    </wp:anchor>
                  </w:drawing>
                </mc:Choice>
                <mc:Fallback>
                  <w:pict>
                    <v:shape id="AutoShape 1449" o:spid="_x0000_s1026" o:spt="32" type="#_x0000_t32" style="position:absolute;left:0pt;margin-left:76.05pt;margin-top:13.4pt;height:0pt;width:32.3pt;z-index:251670528;mso-width-relative:page;mso-height-relative:page;" filled="f" stroked="t" coordsize="21600,21600" o:gfxdata="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ML7b1wAAAAkBAAAPAAAAAAAAAAEAIAAAACIAAABkcnMvZG93bnJldi54bWxQSwECFAAU&#10;AAAACACHTuJA3kYvVfIBAADjAwAADgAAAAAAAAABACAAAAAmAQAAZHJzL2Uyb0RvYy54bWxQSwUG&#10;AAAAAAYABgBZAQAAigUAAAAA&#10;">
                      <v:fill on="f" focussize="0,0"/>
                      <v:stroke color="#000000" joinstyle="round" endarrow="block"/>
                      <v:imagedata o:title=""/>
                      <o:lock v:ext="edit" aspectratio="f"/>
                    </v:shape>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710464" behindDoc="0" locked="0" layoutInCell="1" allowOverlap="1">
                      <wp:simplePos x="0" y="0"/>
                      <wp:positionH relativeFrom="column">
                        <wp:posOffset>1849755</wp:posOffset>
                      </wp:positionH>
                      <wp:positionV relativeFrom="paragraph">
                        <wp:posOffset>45085</wp:posOffset>
                      </wp:positionV>
                      <wp:extent cx="561340" cy="259080"/>
                      <wp:effectExtent l="0" t="0" r="0" b="0"/>
                      <wp:wrapNone/>
                      <wp:docPr id="85"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78</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45.65pt;margin-top:3.55pt;height:20.4pt;width:44.2pt;z-index:251710464;mso-width-relative:page;mso-height-relative:page;" filled="f" stroked="f" coordsize="21600,21600" o:gfxdata="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oAA/doAAAAIAQAADwAAAAAAAAABACAAAAAiAAAA&#10;ZHJzL2Rvd25yZXYueG1sUEsBAhQAFAAAAAgAh07iQAeqfToFAgAADgQAAA4AAAAAAAAAAQAgAAAA&#10;KQEAAGRycy9lMm9Eb2MueG1sUEsFBgAAAAAGAAYAWQEAAKAFAAAAAA==&#10;">
                      <v:fill on="f" focussize="0,0"/>
                      <v:stroke on="f"/>
                      <v:imagedata o:title=""/>
                      <o:lock v:ext="edit" aspectratio="f"/>
                      <v:textbox>
                        <w:txbxContent>
                          <w:p>
                            <w:pPr>
                              <w:rPr>
                                <w:color w:val="000000"/>
                              </w:rPr>
                            </w:pPr>
                            <w:r>
                              <w:rPr>
                                <w:rFonts w:hint="eastAsia"/>
                                <w:color w:val="000000"/>
                              </w:rPr>
                              <w:t>78</w:t>
                            </w:r>
                          </w:p>
                        </w:txbxContent>
                      </v:textbox>
                    </v:rect>
                  </w:pict>
                </mc:Fallback>
              </mc:AlternateContent>
            </w:r>
            <w:r>
              <w:rPr>
                <w:rFonts w:eastAsia="宋体"/>
                <w:color w:val="auto"/>
              </w:rPr>
              <mc:AlternateContent>
                <mc:Choice Requires="wps">
                  <w:drawing>
                    <wp:anchor distT="0" distB="0" distL="114300" distR="114300" simplePos="0" relativeHeight="251708416" behindDoc="0" locked="0" layoutInCell="1" allowOverlap="1">
                      <wp:simplePos x="0" y="0"/>
                      <wp:positionH relativeFrom="column">
                        <wp:posOffset>2368550</wp:posOffset>
                      </wp:positionH>
                      <wp:positionV relativeFrom="paragraph">
                        <wp:posOffset>267335</wp:posOffset>
                      </wp:positionV>
                      <wp:extent cx="561340" cy="259080"/>
                      <wp:effectExtent l="0" t="0" r="0" b="0"/>
                      <wp:wrapNone/>
                      <wp:docPr id="83"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702</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86.5pt;margin-top:21.05pt;height:20.4pt;width:44.2pt;z-index:251708416;mso-width-relative:page;mso-height-relative:page;" filled="f" stroked="f" coordsize="21600,21600" o:gfxdata="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gTTbAAAACQEAAA8AAAAAAAAAAQAgAAAAIgAA&#10;AGRycy9kb3ducmV2LnhtbFBLAQIUABQAAAAIAIdO4kBM7PYIBQIAAA4EAAAOAAAAAAAAAAEAIAAA&#10;ACoBAABkcnMvZTJvRG9jLnhtbFBLBQYAAAAABgAGAFkBAAChBQAAAAA=&#10;">
                      <v:fill on="f" focussize="0,0"/>
                      <v:stroke on="f"/>
                      <v:imagedata o:title=""/>
                      <o:lock v:ext="edit" aspectratio="f"/>
                      <v:textbox>
                        <w:txbxContent>
                          <w:p>
                            <w:pPr>
                              <w:rPr>
                                <w:color w:val="000000"/>
                              </w:rPr>
                            </w:pPr>
                            <w:r>
                              <w:rPr>
                                <w:rFonts w:hint="eastAsia"/>
                                <w:color w:val="000000"/>
                              </w:rPr>
                              <w:t>702</w:t>
                            </w:r>
                          </w:p>
                        </w:txbxContent>
                      </v:textbox>
                    </v:rect>
                  </w:pict>
                </mc:Fallback>
              </mc:AlternateContent>
            </w:r>
            <w:r>
              <w:rPr>
                <w:rFonts w:eastAsia="宋体"/>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1643380</wp:posOffset>
                      </wp:positionH>
                      <wp:positionV relativeFrom="paragraph">
                        <wp:posOffset>213995</wp:posOffset>
                      </wp:positionV>
                      <wp:extent cx="293370" cy="120015"/>
                      <wp:effectExtent l="13970" t="61595" r="16510" b="8890"/>
                      <wp:wrapNone/>
                      <wp:docPr id="1456" name="AutoShape 1203"/>
                      <wp:cNvGraphicFramePr/>
                      <a:graphic xmlns:a="http://schemas.openxmlformats.org/drawingml/2006/main">
                        <a:graphicData uri="http://schemas.microsoft.com/office/word/2010/wordprocessingShape">
                          <wps:wsp>
                            <wps:cNvCnPr>
                              <a:cxnSpLocks noChangeShapeType="1"/>
                            </wps:cNvCnPr>
                            <wps:spPr bwMode="auto">
                              <a:xfrm flipV="1">
                                <a:off x="0" y="0"/>
                                <a:ext cx="293370" cy="120015"/>
                              </a:xfrm>
                              <a:prstGeom prst="curvedConnector3">
                                <a:avLst>
                                  <a:gd name="adj1" fmla="val 50000"/>
                                </a:avLst>
                              </a:prstGeom>
                              <a:noFill/>
                              <a:ln w="9525">
                                <a:solidFill>
                                  <a:srgbClr val="000000"/>
                                </a:solidFill>
                                <a:prstDash val="dash"/>
                                <a:round/>
                                <a:tailEnd type="triangle" w="med" len="med"/>
                              </a:ln>
                            </wps:spPr>
                            <wps:bodyPr/>
                          </wps:wsp>
                        </a:graphicData>
                      </a:graphic>
                    </wp:anchor>
                  </w:drawing>
                </mc:Choice>
                <mc:Fallback>
                  <w:pict>
                    <v:shape id="AutoShape 1203" o:spid="_x0000_s1026" o:spt="38" type="#_x0000_t38" style="position:absolute;left:0pt;flip:y;margin-left:129.4pt;margin-top:16.85pt;height:9.45pt;width:23.1pt;z-index:251665408;mso-width-relative:page;mso-height-relative:page;" filled="f" stroked="t" coordsize="21600,21600" o:gfxdata="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bm6J2QAA&#10;AAkBAAAPAAAAAAAAAAEAIAAAACIAAABkcnMvZG93bnJldi54bWxQSwECFAAUAAAACACHTuJAGxBJ&#10;iR0CAAA3BAAADgAAAAAAAAABACAAAAAoAQAAZHJzL2Uyb0RvYy54bWxQSwUGAAAAAAYABgBZAQAA&#10;twUAAAAA&#10;" adj="10800">
                      <v:fill on="f" focussize="0,0"/>
                      <v:stroke color="#000000" joinstyle="round" dashstyle="dash"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694080" behindDoc="0" locked="0" layoutInCell="1" allowOverlap="1">
                      <wp:simplePos x="0" y="0"/>
                      <wp:positionH relativeFrom="column">
                        <wp:posOffset>935990</wp:posOffset>
                      </wp:positionH>
                      <wp:positionV relativeFrom="paragraph">
                        <wp:posOffset>210185</wp:posOffset>
                      </wp:positionV>
                      <wp:extent cx="561340" cy="259080"/>
                      <wp:effectExtent l="0" t="0" r="0" b="0"/>
                      <wp:wrapNone/>
                      <wp:docPr id="58"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780</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73.7pt;margin-top:16.55pt;height:20.4pt;width:44.2pt;z-index:251694080;mso-width-relative:page;mso-height-relative:page;" filled="f" stroked="f" coordsize="21600,21600" o:gfxdata="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uinitoAAAAJAQAADwAAAAAAAAABACAAAAAiAAAA&#10;ZHJzL2Rvd25yZXYueG1sUEsBAhQAFAAAAAgAh07iQDXjk4wFAgAADgQAAA4AAAAAAAAAAQAgAAAA&#10;KQEAAGRycy9lMm9Eb2MueG1sUEsFBgAAAAAGAAYAWQEAAKAFAAAAAA==&#10;">
                      <v:fill on="f" focussize="0,0"/>
                      <v:stroke on="f"/>
                      <v:imagedata o:title=""/>
                      <o:lock v:ext="edit" aspectratio="f"/>
                      <v:textbox>
                        <w:txbxContent>
                          <w:p>
                            <w:pPr>
                              <w:rPr>
                                <w:color w:val="000000"/>
                              </w:rPr>
                            </w:pPr>
                            <w:r>
                              <w:rPr>
                                <w:rFonts w:hint="eastAsia"/>
                                <w:color w:val="000000"/>
                              </w:rPr>
                              <w:t>780</w:t>
                            </w:r>
                          </w:p>
                        </w:txbxContent>
                      </v:textbox>
                    </v:rect>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662336" behindDoc="0" locked="0" layoutInCell="1" allowOverlap="1">
                      <wp:simplePos x="0" y="0"/>
                      <wp:positionH relativeFrom="column">
                        <wp:posOffset>480695</wp:posOffset>
                      </wp:positionH>
                      <wp:positionV relativeFrom="paragraph">
                        <wp:posOffset>282575</wp:posOffset>
                      </wp:positionV>
                      <wp:extent cx="410210" cy="0"/>
                      <wp:effectExtent l="13970" t="52705" r="23495" b="61595"/>
                      <wp:wrapNone/>
                      <wp:docPr id="1443" name="AutoShape 1184"/>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9525">
                                <a:solidFill>
                                  <a:srgbClr val="000000"/>
                                </a:solidFill>
                                <a:round/>
                                <a:tailEnd type="triangle" w="med" len="med"/>
                              </a:ln>
                            </wps:spPr>
                            <wps:bodyPr/>
                          </wps:wsp>
                        </a:graphicData>
                      </a:graphic>
                    </wp:anchor>
                  </w:drawing>
                </mc:Choice>
                <mc:Fallback>
                  <w:pict>
                    <v:shape id="AutoShape 1184" o:spid="_x0000_s1026" o:spt="32" type="#_x0000_t32" style="position:absolute;left:0pt;margin-left:37.85pt;margin-top:22.25pt;height:0pt;width:32.3pt;z-index:251662336;mso-width-relative:page;mso-height-relative:page;" filled="f" stroked="t" coordsize="21600,21600" o:gfxdata="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9mV+/2AAAAAgBAAAPAAAAAAAAAAEAIAAAACIAAABkcnMvZG93bnJldi54bWxQSwEC&#10;FAAUAAAACACHTuJArg4kx/QBAADlAwAADgAAAAAAAAABACAAAAAnAQAAZHJzL2Uyb0RvYy54bWxQ&#10;SwUGAAAAAAYABgBZAQAAjQUAAAAA&#10;">
                      <v:fill on="f" focussize="0,0"/>
                      <v:stroke color="#000000" joinstyle="round"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712512" behindDoc="0" locked="0" layoutInCell="1" allowOverlap="1">
                      <wp:simplePos x="0" y="0"/>
                      <wp:positionH relativeFrom="column">
                        <wp:posOffset>1829435</wp:posOffset>
                      </wp:positionH>
                      <wp:positionV relativeFrom="paragraph">
                        <wp:posOffset>337185</wp:posOffset>
                      </wp:positionV>
                      <wp:extent cx="767080" cy="259080"/>
                      <wp:effectExtent l="0" t="0" r="0" b="0"/>
                      <wp:wrapNone/>
                      <wp:docPr id="88" name="Rectangle 1225"/>
                      <wp:cNvGraphicFramePr/>
                      <a:graphic xmlns:a="http://schemas.openxmlformats.org/drawingml/2006/main">
                        <a:graphicData uri="http://schemas.microsoft.com/office/word/2010/wordprocessingShape">
                          <wps:wsp>
                            <wps:cNvSpPr>
                              <a:spLocks noChangeArrowheads="1"/>
                            </wps:cNvSpPr>
                            <wps:spPr bwMode="auto">
                              <a:xfrm>
                                <a:off x="0" y="0"/>
                                <a:ext cx="767080" cy="259080"/>
                              </a:xfrm>
                              <a:prstGeom prst="rect">
                                <a:avLst/>
                              </a:prstGeom>
                              <a:noFill/>
                              <a:ln>
                                <a:noFill/>
                              </a:ln>
                            </wps:spPr>
                            <wps:txbx>
                              <w:txbxContent>
                                <w:p>
                                  <w:pPr>
                                    <w:rPr>
                                      <w:color w:val="000000"/>
                                    </w:rPr>
                                  </w:pPr>
                                  <w:r>
                                    <w:rPr>
                                      <w:rFonts w:hint="eastAsia"/>
                                      <w:color w:val="000000"/>
                                    </w:rPr>
                                    <w:t>蒸发消耗</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44.05pt;margin-top:26.55pt;height:20.4pt;width:60.4pt;z-index:251712512;mso-width-relative:page;mso-height-relative:page;" filled="f" stroked="f" coordsize="21600,21600" o:gfxdata="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&#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x68f2wAAAAkBAAAPAAAAAAAAAAEAIAAAACIAAABk&#10;cnMvZG93bnJldi54bWxQSwECFAAUAAAACACHTuJAuNAGVQMCAAAOBAAADgAAAAAAAAABACAAAAAq&#10;AQAAZHJzL2Uyb0RvYy54bWxQSwUGAAAAAAYABgBZAQAAnwUAAAAA&#10;">
                      <v:fill on="f" focussize="0,0"/>
                      <v:stroke on="f"/>
                      <v:imagedata o:title=""/>
                      <o:lock v:ext="edit" aspectratio="f"/>
                      <v:textbox>
                        <w:txbxContent>
                          <w:p>
                            <w:pPr>
                              <w:rPr>
                                <w:color w:val="000000"/>
                              </w:rPr>
                            </w:pPr>
                            <w:r>
                              <w:rPr>
                                <w:rFonts w:hint="eastAsia"/>
                                <w:color w:val="000000"/>
                              </w:rPr>
                              <w:t>蒸发消耗</w:t>
                            </w:r>
                          </w:p>
                        </w:txbxContent>
                      </v:textbox>
                    </v:rect>
                  </w:pict>
                </mc:Fallback>
              </mc:AlternateContent>
            </w:r>
            <w:r>
              <w:rPr>
                <w:rFonts w:eastAsia="宋体"/>
                <w:color w:val="auto"/>
              </w:rPr>
              <mc:AlternateContent>
                <mc:Choice Requires="wps">
                  <w:drawing>
                    <wp:anchor distT="0" distB="0" distL="114300" distR="114300" simplePos="0" relativeHeight="251702272" behindDoc="0" locked="0" layoutInCell="1" allowOverlap="1">
                      <wp:simplePos x="0" y="0"/>
                      <wp:positionH relativeFrom="column">
                        <wp:posOffset>2241550</wp:posOffset>
                      </wp:positionH>
                      <wp:positionV relativeFrom="paragraph">
                        <wp:posOffset>128270</wp:posOffset>
                      </wp:positionV>
                      <wp:extent cx="1019810" cy="3810"/>
                      <wp:effectExtent l="0" t="38100" r="8890" b="34290"/>
                      <wp:wrapNone/>
                      <wp:docPr id="74" name="AutoShape 1278"/>
                      <wp:cNvGraphicFramePr/>
                      <a:graphic xmlns:a="http://schemas.openxmlformats.org/drawingml/2006/main">
                        <a:graphicData uri="http://schemas.microsoft.com/office/word/2010/wordprocessingShape">
                          <wps:wsp>
                            <wps:cNvCnPr>
                              <a:cxnSpLocks noChangeShapeType="1"/>
                            </wps:cNvCnPr>
                            <wps:spPr bwMode="auto">
                              <a:xfrm flipV="1">
                                <a:off x="0" y="0"/>
                                <a:ext cx="1019810" cy="3810"/>
                              </a:xfrm>
                              <a:prstGeom prst="straightConnector1">
                                <a:avLst/>
                              </a:prstGeom>
                              <a:noFill/>
                              <a:ln w="9525">
                                <a:solidFill>
                                  <a:srgbClr val="000000"/>
                                </a:solidFill>
                                <a:round/>
                                <a:tailEnd type="triangle" w="med" len="med"/>
                              </a:ln>
                            </wps:spPr>
                            <wps:bodyPr/>
                          </wps:wsp>
                        </a:graphicData>
                      </a:graphic>
                    </wp:anchor>
                  </w:drawing>
                </mc:Choice>
                <mc:Fallback>
                  <w:pict>
                    <v:shape id="AutoShape 1278" o:spid="_x0000_s1026" o:spt="32" type="#_x0000_t32" style="position:absolute;left:0pt;flip:y;margin-left:176.5pt;margin-top:10.1pt;height:0.3pt;width:80.3pt;z-index:251702272;mso-width-relative:page;mso-height-relative:page;" filled="f" stroked="t" coordsize="21600,21600" o:gfxdata="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TstA9gAAAAJAQAADwAAAAAAAAABACAAAAAiAAAAZHJzL2Rvd25yZXYu&#10;eG1sUEsBAhQAFAAAAAgAh07iQEjjpL77AQAA8QMAAA4AAAAAAAAAAQAgAAAAJwEAAGRycy9lMm9E&#10;b2MueG1sUEsFBgAAAAAGAAYAWQEAAJQFAAAAAA==&#10;">
                      <v:fill on="f" focussize="0,0"/>
                      <v:stroke color="#000000" joinstyle="round"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32385</wp:posOffset>
                      </wp:positionV>
                      <wp:extent cx="733425" cy="452755"/>
                      <wp:effectExtent l="0" t="0" r="4445" b="4445"/>
                      <wp:wrapNone/>
                      <wp:docPr id="1447" name="Rectangle 1183"/>
                      <wp:cNvGraphicFramePr/>
                      <a:graphic xmlns:a="http://schemas.openxmlformats.org/drawingml/2006/main">
                        <a:graphicData uri="http://schemas.microsoft.com/office/word/2010/wordprocessingShape">
                          <wps:wsp>
                            <wps:cNvSpPr>
                              <a:spLocks noChangeArrowheads="1"/>
                            </wps:cNvSpPr>
                            <wps:spPr bwMode="auto">
                              <a:xfrm>
                                <a:off x="0" y="0"/>
                                <a:ext cx="733425" cy="452755"/>
                              </a:xfrm>
                              <a:prstGeom prst="rect">
                                <a:avLst/>
                              </a:prstGeom>
                              <a:noFill/>
                              <a:ln>
                                <a:noFill/>
                              </a:ln>
                            </wps:spPr>
                            <wps:txbx>
                              <w:txbxContent>
                                <w:p>
                                  <w:pPr>
                                    <w:jc w:val="center"/>
                                  </w:pPr>
                                  <w:r>
                                    <w:rPr>
                                      <w:rFonts w:hint="eastAsia"/>
                                    </w:rPr>
                                    <w:t>新鲜水176506.6</w:t>
                                  </w:r>
                                </w:p>
                              </w:txbxContent>
                            </wps:txbx>
                            <wps:bodyPr rot="0" vert="horz" wrap="square" lIns="91440" tIns="45720" rIns="91440" bIns="45720" anchor="t" anchorCtr="0" upright="1">
                              <a:noAutofit/>
                            </wps:bodyPr>
                          </wps:wsp>
                        </a:graphicData>
                      </a:graphic>
                    </wp:anchor>
                  </w:drawing>
                </mc:Choice>
                <mc:Fallback>
                  <w:pict>
                    <v:rect id="Rectangle 1183" o:spid="_x0000_s1026" o:spt="1" style="position:absolute;left:0pt;margin-left:-4.7pt;margin-top:2.55pt;height:35.65pt;width:57.75pt;z-index:251661312;mso-width-relative:page;mso-height-relative:page;" filled="f" stroked="f" coordsize="21600,21600" o:gfxdata="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&#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tzFk1wAAAAcBAAAPAAAAAAAAAAEAIAAAACIAAABk&#10;cnMvZG93bnJldi54bWxQSwECFAAUAAAACACHTuJAm7uWOwcCAAAQBAAADgAAAAAAAAABACAAAAAm&#10;AQAAZHJzL2Uyb0RvYy54bWxQSwUGAAAAAAYABgBZAQAAnwUAAAAA&#10;">
                      <v:fill on="f" focussize="0,0"/>
                      <v:stroke on="f"/>
                      <v:imagedata o:title=""/>
                      <o:lock v:ext="edit" aspectratio="f"/>
                      <v:textbox>
                        <w:txbxContent>
                          <w:p>
                            <w:pPr>
                              <w:jc w:val="center"/>
                            </w:pPr>
                            <w:r>
                              <w:rPr>
                                <w:rFonts w:hint="eastAsia"/>
                              </w:rPr>
                              <w:t>新鲜水176506.6</w:t>
                            </w:r>
                          </w:p>
                        </w:txbxContent>
                      </v:textbox>
                    </v:rect>
                  </w:pict>
                </mc:Fallback>
              </mc:AlternateContent>
            </w:r>
            <w:r>
              <w:rPr>
                <w:rFonts w:eastAsia="宋体"/>
                <w:color w:val="auto"/>
              </w:rPr>
              <mc:AlternateContent>
                <mc:Choice Requires="wps">
                  <w:drawing>
                    <wp:anchor distT="0" distB="0" distL="114300" distR="114300" simplePos="0" relativeHeight="251688960" behindDoc="0" locked="0" layoutInCell="1" allowOverlap="1">
                      <wp:simplePos x="0" y="0"/>
                      <wp:positionH relativeFrom="column">
                        <wp:posOffset>1377950</wp:posOffset>
                      </wp:positionH>
                      <wp:positionV relativeFrom="paragraph">
                        <wp:posOffset>5080</wp:posOffset>
                      </wp:positionV>
                      <wp:extent cx="859155" cy="284480"/>
                      <wp:effectExtent l="4445" t="5080" r="12700" b="15240"/>
                      <wp:wrapNone/>
                      <wp:docPr id="53" name="Rectangle 1191"/>
                      <wp:cNvGraphicFramePr/>
                      <a:graphic xmlns:a="http://schemas.openxmlformats.org/drawingml/2006/main">
                        <a:graphicData uri="http://schemas.microsoft.com/office/word/2010/wordprocessingShape">
                          <wps:wsp>
                            <wps:cNvSpPr>
                              <a:spLocks noChangeArrowheads="1"/>
                            </wps:cNvSpPr>
                            <wps:spPr bwMode="auto">
                              <a:xfrm>
                                <a:off x="0" y="0"/>
                                <a:ext cx="859155" cy="284480"/>
                              </a:xfrm>
                              <a:prstGeom prst="rect">
                                <a:avLst/>
                              </a:prstGeom>
                              <a:solidFill>
                                <a:srgbClr val="FFFFFF"/>
                              </a:solidFill>
                              <a:ln w="9525">
                                <a:solidFill>
                                  <a:srgbClr val="000000"/>
                                </a:solidFill>
                                <a:miter lim="800000"/>
                              </a:ln>
                            </wps:spPr>
                            <wps:txbx>
                              <w:txbxContent>
                                <w:p>
                                  <w:r>
                                    <w:rPr>
                                      <w:rFonts w:hint="eastAsia"/>
                                    </w:rPr>
                                    <w:t>搅拌机冲洗</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108.5pt;margin-top:0.4pt;height:22.4pt;width:67.65pt;z-index:251688960;mso-width-relative:page;mso-height-relative:page;" fillcolor="#FFFFFF" filled="t" stroked="t" coordsize="21600,21600" o:gfxdata="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Onr7NYAAAAHAQAADwAAAAAAAAABACAAAAAiAAAAZHJzL2Rvd25yZXYueG1sUEsB&#10;AhQAFAAAAAgAh07iQJP24bYwAgAAgAQAAA4AAAAAAAAAAQAgAAAAJQEAAGRycy9lMm9Eb2MueG1s&#10;UEsFBgAAAAAGAAYAWQEAAMcFAAAAAA==&#10;">
                      <v:fill on="t" focussize="0,0"/>
                      <v:stroke color="#000000" miterlimit="8" joinstyle="miter"/>
                      <v:imagedata o:title=""/>
                      <o:lock v:ext="edit" aspectratio="f"/>
                      <v:textbox>
                        <w:txbxContent>
                          <w:p>
                            <w:r>
                              <w:rPr>
                                <w:rFonts w:hint="eastAsia"/>
                              </w:rPr>
                              <w:t>搅拌机冲洗</w:t>
                            </w:r>
                          </w:p>
                        </w:txbxContent>
                      </v:textbox>
                    </v:rect>
                  </w:pict>
                </mc:Fallback>
              </mc:AlternateContent>
            </w:r>
            <w:r>
              <w:rPr>
                <w:rFonts w:eastAsia="宋体"/>
                <w:b/>
                <w:color w:val="auto"/>
                <w:szCs w:val="22"/>
              </w:rPr>
              <mc:AlternateContent>
                <mc:Choice Requires="wps">
                  <w:drawing>
                    <wp:anchor distT="0" distB="0" distL="114300" distR="114300" simplePos="0" relativeHeight="251683840" behindDoc="0" locked="0" layoutInCell="1" allowOverlap="1">
                      <wp:simplePos x="0" y="0"/>
                      <wp:positionH relativeFrom="column">
                        <wp:posOffset>959485</wp:posOffset>
                      </wp:positionH>
                      <wp:positionV relativeFrom="paragraph">
                        <wp:posOffset>144780</wp:posOffset>
                      </wp:positionV>
                      <wp:extent cx="410210" cy="0"/>
                      <wp:effectExtent l="0" t="38100" r="8890" b="38100"/>
                      <wp:wrapNone/>
                      <wp:docPr id="37" name="AutoShape 1449"/>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9525">
                                <a:solidFill>
                                  <a:srgbClr val="000000"/>
                                </a:solidFill>
                                <a:round/>
                                <a:tailEnd type="triangle" w="med" len="med"/>
                              </a:ln>
                            </wps:spPr>
                            <wps:bodyPr/>
                          </wps:wsp>
                        </a:graphicData>
                      </a:graphic>
                    </wp:anchor>
                  </w:drawing>
                </mc:Choice>
                <mc:Fallback>
                  <w:pict>
                    <v:shape id="AutoShape 1449" o:spid="_x0000_s1026" o:spt="32" type="#_x0000_t32" style="position:absolute;left:0pt;margin-left:75.55pt;margin-top:11.4pt;height:0pt;width:32.3pt;z-index:251683840;mso-width-relative:page;mso-height-relative:page;" filled="f" stroked="t" coordsize="21600,21600" o:gfxdata="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19BXG1wAAAAkBAAAPAAAAAAAAAAEAIAAAACIAAABkcnMvZG93bnJldi54bWxQSwECFAAU&#10;AAAACACHTuJA9hWVGvIBAADjAwAADgAAAAAAAAABACAAAAAmAQAAZHJzL2Uyb0RvYy54bWxQSwUG&#10;AAAAAAYABgBZAQAAigUAAAAA&#10;">
                      <v:fill on="f" focussize="0,0"/>
                      <v:stroke color="#000000" joinstyle="round" endarrow="block"/>
                      <v:imagedata o:title=""/>
                      <o:lock v:ext="edit" aspectratio="f"/>
                    </v:shape>
                  </w:pict>
                </mc:Fallback>
              </mc:AlternateContent>
            </w:r>
          </w:p>
          <w:p>
            <w:pPr>
              <w:pStyle w:val="83"/>
              <w:ind w:firstLine="480"/>
              <w:rPr>
                <w:rFonts w:eastAsia="宋体"/>
                <w:color w:val="auto"/>
              </w:rPr>
            </w:pPr>
            <w:r>
              <w:rPr>
                <w:rFonts w:eastAsia="宋体"/>
                <w:color w:val="auto"/>
                <w:sz w:val="24"/>
                <w:szCs w:val="24"/>
              </w:rPr>
              <mc:AlternateContent>
                <mc:Choice Requires="wps">
                  <w:drawing>
                    <wp:anchor distT="0" distB="0" distL="114300" distR="114300" simplePos="0" relativeHeight="251711488" behindDoc="0" locked="0" layoutInCell="1" allowOverlap="1">
                      <wp:simplePos x="0" y="0"/>
                      <wp:positionH relativeFrom="column">
                        <wp:posOffset>1626235</wp:posOffset>
                      </wp:positionH>
                      <wp:positionV relativeFrom="paragraph">
                        <wp:posOffset>93345</wp:posOffset>
                      </wp:positionV>
                      <wp:extent cx="293370" cy="120015"/>
                      <wp:effectExtent l="0" t="27305" r="11430" b="5080"/>
                      <wp:wrapNone/>
                      <wp:docPr id="86" name="AutoShape 1203"/>
                      <wp:cNvGraphicFramePr/>
                      <a:graphic xmlns:a="http://schemas.openxmlformats.org/drawingml/2006/main">
                        <a:graphicData uri="http://schemas.microsoft.com/office/word/2010/wordprocessingShape">
                          <wps:wsp>
                            <wps:cNvCnPr>
                              <a:cxnSpLocks noChangeShapeType="1"/>
                            </wps:cNvCnPr>
                            <wps:spPr bwMode="auto">
                              <a:xfrm flipV="1">
                                <a:off x="0" y="0"/>
                                <a:ext cx="293370" cy="120015"/>
                              </a:xfrm>
                              <a:prstGeom prst="curvedConnector3">
                                <a:avLst>
                                  <a:gd name="adj1" fmla="val 50000"/>
                                </a:avLst>
                              </a:prstGeom>
                              <a:noFill/>
                              <a:ln w="9525">
                                <a:solidFill>
                                  <a:srgbClr val="000000"/>
                                </a:solidFill>
                                <a:prstDash val="dash"/>
                                <a:round/>
                                <a:tailEnd type="triangle" w="med" len="med"/>
                              </a:ln>
                            </wps:spPr>
                            <wps:bodyPr/>
                          </wps:wsp>
                        </a:graphicData>
                      </a:graphic>
                    </wp:anchor>
                  </w:drawing>
                </mc:Choice>
                <mc:Fallback>
                  <w:pict>
                    <v:shape id="AutoShape 1203" o:spid="_x0000_s1026" o:spt="38" type="#_x0000_t38" style="position:absolute;left:0pt;flip:y;margin-left:128.05pt;margin-top:7.35pt;height:9.45pt;width:23.1pt;z-index:251711488;mso-width-relative:page;mso-height-relative:page;" filled="f" stroked="t" coordsize="21600,21600" o:gfxdata="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S5Oa2AAAAAkB&#10;AAAPAAAAAAAAAAEAIAAAACIAAABkcnMvZG93bnJldi54bWxQSwECFAAUAAAACACHTuJAEF/uuRsC&#10;AAA1BAAADgAAAAAAAAABACAAAAAnAQAAZHJzL2Uyb0RvYy54bWxQSwUGAAAAAAYABgBZAQAAtAUA&#10;AAAA&#10;" adj="10800">
                      <v:fill on="f" focussize="0,0"/>
                      <v:stroke color="#000000" joinstyle="round" dashstyle="dash"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695104" behindDoc="0" locked="0" layoutInCell="1" allowOverlap="1">
                      <wp:simplePos x="0" y="0"/>
                      <wp:positionH relativeFrom="column">
                        <wp:posOffset>935990</wp:posOffset>
                      </wp:positionH>
                      <wp:positionV relativeFrom="paragraph">
                        <wp:posOffset>53975</wp:posOffset>
                      </wp:positionV>
                      <wp:extent cx="561340" cy="259080"/>
                      <wp:effectExtent l="0" t="0" r="0" b="0"/>
                      <wp:wrapNone/>
                      <wp:docPr id="64"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2080</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73.7pt;margin-top:4.25pt;height:20.4pt;width:44.2pt;z-index:251695104;mso-width-relative:page;mso-height-relative:page;" filled="f" stroked="f" coordsize="21600,21600" o:gfxdata="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&#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aBMX2QAAAAgBAAAPAAAAAAAAAAEAIAAAACIAAABk&#10;cnMvZG93bnJldi54bWxQSwECFAAUAAAACACHTuJADGYbmQUCAAAOBAAADgAAAAAAAAABACAAAAAo&#10;AQAAZHJzL2Uyb0RvYy54bWxQSwUGAAAAAAYABgBZAQAAnwUAAAAA&#10;">
                      <v:fill on="f" focussize="0,0"/>
                      <v:stroke on="f"/>
                      <v:imagedata o:title=""/>
                      <o:lock v:ext="edit" aspectratio="f"/>
                      <v:textbox>
                        <w:txbxContent>
                          <w:p>
                            <w:pPr>
                              <w:rPr>
                                <w:color w:val="000000"/>
                              </w:rPr>
                            </w:pPr>
                            <w:r>
                              <w:rPr>
                                <w:rFonts w:hint="eastAsia"/>
                                <w:color w:val="000000"/>
                              </w:rPr>
                              <w:t>2080</w:t>
                            </w:r>
                          </w:p>
                        </w:txbxContent>
                      </v:textbox>
                    </v:rect>
                  </w:pict>
                </mc:Fallback>
              </mc:AlternateContent>
            </w:r>
            <w:r>
              <w:rPr>
                <w:rFonts w:eastAsia="宋体"/>
                <w:color w:val="auto"/>
              </w:rPr>
              <mc:AlternateContent>
                <mc:Choice Requires="wps">
                  <w:drawing>
                    <wp:anchor distT="0" distB="0" distL="114300" distR="114300" simplePos="0" relativeHeight="251689984" behindDoc="0" locked="0" layoutInCell="1" allowOverlap="1">
                      <wp:simplePos x="0" y="0"/>
                      <wp:positionH relativeFrom="column">
                        <wp:posOffset>1367790</wp:posOffset>
                      </wp:positionH>
                      <wp:positionV relativeFrom="paragraph">
                        <wp:posOffset>223520</wp:posOffset>
                      </wp:positionV>
                      <wp:extent cx="775970" cy="284480"/>
                      <wp:effectExtent l="4445" t="4445" r="19685" b="15875"/>
                      <wp:wrapNone/>
                      <wp:docPr id="54" name="Rectangle 1191"/>
                      <wp:cNvGraphicFramePr/>
                      <a:graphic xmlns:a="http://schemas.openxmlformats.org/drawingml/2006/main">
                        <a:graphicData uri="http://schemas.microsoft.com/office/word/2010/wordprocessingShape">
                          <wps:wsp>
                            <wps:cNvSpPr>
                              <a:spLocks noChangeArrowheads="1"/>
                            </wps:cNvSpPr>
                            <wps:spPr bwMode="auto">
                              <a:xfrm>
                                <a:off x="0" y="0"/>
                                <a:ext cx="775970" cy="284480"/>
                              </a:xfrm>
                              <a:prstGeom prst="rect">
                                <a:avLst/>
                              </a:prstGeom>
                              <a:solidFill>
                                <a:srgbClr val="FFFFFF"/>
                              </a:solidFill>
                              <a:ln w="9525">
                                <a:solidFill>
                                  <a:srgbClr val="000000"/>
                                </a:solidFill>
                                <a:miter lim="800000"/>
                              </a:ln>
                            </wps:spPr>
                            <wps:txbx>
                              <w:txbxContent>
                                <w:p>
                                  <w:r>
                                    <w:rPr>
                                      <w:rFonts w:hint="eastAsia"/>
                                    </w:rPr>
                                    <w:t>料堆抑尘</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107.7pt;margin-top:17.6pt;height:22.4pt;width:61.1pt;z-index:251689984;mso-width-relative:page;mso-height-relative:page;" fillcolor="#FFFFFF" filled="t" stroked="t" coordsize="21600,21600" o:gfxdata="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pEyFdgAAAAJAQAADwAAAAAAAAABACAAAAAiAAAAZHJzL2Rvd25yZXYueG1s&#10;UEsBAhQAFAAAAAgAh07iQGbL/PExAgAAgAQAAA4AAAAAAAAAAQAgAAAAJwEAAGRycy9lMm9Eb2Mu&#10;eG1sUEsFBgAAAAAGAAYAWQEAAMoFAAAAAA==&#10;">
                      <v:fill on="t" focussize="0,0"/>
                      <v:stroke color="#000000" miterlimit="8" joinstyle="miter"/>
                      <v:imagedata o:title=""/>
                      <o:lock v:ext="edit" aspectratio="f"/>
                      <v:textbox>
                        <w:txbxContent>
                          <w:p>
                            <w:r>
                              <w:rPr>
                                <w:rFonts w:hint="eastAsia"/>
                              </w:rPr>
                              <w:t>料堆抑尘</w:t>
                            </w:r>
                          </w:p>
                        </w:txbxContent>
                      </v:textbox>
                    </v:rect>
                  </w:pict>
                </mc:Fallback>
              </mc:AlternateContent>
            </w:r>
            <w:r>
              <w:rPr>
                <w:rFonts w:eastAsia="宋体"/>
                <w:b/>
                <w:color w:val="auto"/>
                <w:szCs w:val="22"/>
              </w:rPr>
              <mc:AlternateContent>
                <mc:Choice Requires="wps">
                  <w:drawing>
                    <wp:anchor distT="0" distB="0" distL="114300" distR="114300" simplePos="0" relativeHeight="251684864" behindDoc="0" locked="0" layoutInCell="1" allowOverlap="1">
                      <wp:simplePos x="0" y="0"/>
                      <wp:positionH relativeFrom="column">
                        <wp:posOffset>970280</wp:posOffset>
                      </wp:positionH>
                      <wp:positionV relativeFrom="paragraph">
                        <wp:posOffset>341630</wp:posOffset>
                      </wp:positionV>
                      <wp:extent cx="410210" cy="0"/>
                      <wp:effectExtent l="0" t="38100" r="8890" b="38100"/>
                      <wp:wrapNone/>
                      <wp:docPr id="49" name="AutoShape 1449"/>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9525">
                                <a:solidFill>
                                  <a:srgbClr val="000000"/>
                                </a:solidFill>
                                <a:round/>
                                <a:tailEnd type="triangle" w="med" len="med"/>
                              </a:ln>
                            </wps:spPr>
                            <wps:bodyPr/>
                          </wps:wsp>
                        </a:graphicData>
                      </a:graphic>
                    </wp:anchor>
                  </w:drawing>
                </mc:Choice>
                <mc:Fallback>
                  <w:pict>
                    <v:shape id="AutoShape 1449" o:spid="_x0000_s1026" o:spt="32" type="#_x0000_t32" style="position:absolute;left:0pt;margin-left:76.4pt;margin-top:26.9pt;height:0pt;width:32.3pt;z-index:251684864;mso-width-relative:page;mso-height-relative:page;" filled="f" stroked="t" coordsize="21600,21600" o:gfxdata="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Rc9kAAAAJAQAADwAAAAAAAAABACAAAAAiAAAAZHJzL2Rvd25yZXYueG1sUEsBAhQA&#10;FAAAAAgAh07iQM8mir3xAQAA4wMAAA4AAAAAAAAAAQAgAAAAKAEAAGRycy9lMm9Eb2MueG1sUEsF&#10;BgAAAAAGAAYAWQEAAIsFAAAAAA==&#10;">
                      <v:fill on="f" focussize="0,0"/>
                      <v:stroke color="#000000" joinstyle="round" endarrow="block"/>
                      <v:imagedata o:title=""/>
                      <o:lock v:ext="edit" aspectratio="f"/>
                    </v:shape>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766784" behindDoc="0" locked="0" layoutInCell="1" allowOverlap="1">
                      <wp:simplePos x="0" y="0"/>
                      <wp:positionH relativeFrom="column">
                        <wp:posOffset>2129790</wp:posOffset>
                      </wp:positionH>
                      <wp:positionV relativeFrom="paragraph">
                        <wp:posOffset>252095</wp:posOffset>
                      </wp:positionV>
                      <wp:extent cx="1653540" cy="259080"/>
                      <wp:effectExtent l="0" t="0" r="0" b="0"/>
                      <wp:wrapNone/>
                      <wp:docPr id="158" name="Rectangle 1225"/>
                      <wp:cNvGraphicFramePr/>
                      <a:graphic xmlns:a="http://schemas.openxmlformats.org/drawingml/2006/main">
                        <a:graphicData uri="http://schemas.microsoft.com/office/word/2010/wordprocessingShape">
                          <wps:wsp>
                            <wps:cNvSpPr>
                              <a:spLocks noChangeArrowheads="1"/>
                            </wps:cNvSpPr>
                            <wps:spPr bwMode="auto">
                              <a:xfrm>
                                <a:off x="0" y="0"/>
                                <a:ext cx="1653540" cy="259080"/>
                              </a:xfrm>
                              <a:prstGeom prst="rect">
                                <a:avLst/>
                              </a:prstGeom>
                              <a:noFill/>
                              <a:ln>
                                <a:noFill/>
                              </a:ln>
                            </wps:spPr>
                            <wps:txbx>
                              <w:txbxContent>
                                <w:p>
                                  <w:pPr>
                                    <w:rPr>
                                      <w:color w:val="000000"/>
                                    </w:rPr>
                                  </w:pPr>
                                  <w:r>
                                    <w:rPr>
                                      <w:rFonts w:hint="eastAsia"/>
                                      <w:color w:val="000000"/>
                                    </w:rPr>
                                    <w:t>蒸发消耗</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67.7pt;margin-top:19.85pt;height:20.4pt;width:130.2pt;z-index:251766784;mso-width-relative:page;mso-height-relative:page;" filled="f" stroked="f" coordsize="21600,21600" o:gfxdata="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USdnHaAAAACQEAAA8AAAAAAAAAAQAgAAAAIgAA&#10;AGRycy9kb3ducmV2LnhtbFBLAQIUABQAAAAIAIdO4kDSYwElBgIAABAEAAAOAAAAAAAAAAEAIAAA&#10;ACkBAABkcnMvZTJvRG9jLnhtbFBLBQYAAAAABgAGAFkBAAChBQAAAAA=&#10;">
                      <v:fill on="f" focussize="0,0"/>
                      <v:stroke on="f"/>
                      <v:imagedata o:title=""/>
                      <o:lock v:ext="edit" aspectratio="f"/>
                      <v:textbox>
                        <w:txbxContent>
                          <w:p>
                            <w:pPr>
                              <w:rPr>
                                <w:color w:val="000000"/>
                              </w:rPr>
                            </w:pPr>
                            <w:r>
                              <w:rPr>
                                <w:rFonts w:hint="eastAsia"/>
                                <w:color w:val="000000"/>
                              </w:rPr>
                              <w:t>蒸发消耗</w:t>
                            </w:r>
                          </w:p>
                        </w:txbxContent>
                      </v:textbox>
                    </v:rect>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764736" behindDoc="0" locked="0" layoutInCell="1" allowOverlap="1">
                      <wp:simplePos x="0" y="0"/>
                      <wp:positionH relativeFrom="column">
                        <wp:posOffset>988695</wp:posOffset>
                      </wp:positionH>
                      <wp:positionV relativeFrom="paragraph">
                        <wp:posOffset>116205</wp:posOffset>
                      </wp:positionV>
                      <wp:extent cx="561340" cy="259080"/>
                      <wp:effectExtent l="0" t="0" r="0" b="0"/>
                      <wp:wrapNone/>
                      <wp:docPr id="156"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3000</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77.85pt;margin-top:9.15pt;height:20.4pt;width:44.2pt;z-index:251764736;mso-width-relative:page;mso-height-relative:page;" filled="f" stroked="f" coordsize="21600,21600" o:gfxdata="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Mo0UXaAAAACQEAAA8AAAAAAAAAAQAgAAAAIgAA&#10;AGRycy9kb3ducmV2LnhtbFBLAQIUABQAAAAIAIdO4kCJ3LsRBgIAAA8EAAAOAAAAAAAAAAEAIAAA&#10;ACkBAABkcnMvZTJvRG9jLnhtbFBLBQYAAAAABgAGAFkBAAChBQAAAAA=&#10;">
                      <v:fill on="f" focussize="0,0"/>
                      <v:stroke on="f"/>
                      <v:imagedata o:title=""/>
                      <o:lock v:ext="edit" aspectratio="f"/>
                      <v:textbox>
                        <w:txbxContent>
                          <w:p>
                            <w:pPr>
                              <w:rPr>
                                <w:color w:val="000000"/>
                              </w:rPr>
                            </w:pPr>
                            <w:r>
                              <w:rPr>
                                <w:rFonts w:hint="eastAsia"/>
                                <w:color w:val="000000"/>
                              </w:rPr>
                              <w:t>3000</w:t>
                            </w:r>
                          </w:p>
                        </w:txbxContent>
                      </v:textbox>
                    </v:rect>
                  </w:pict>
                </mc:Fallback>
              </mc:AlternateContent>
            </w:r>
            <w:r>
              <w:rPr>
                <w:rFonts w:eastAsia="宋体"/>
                <w:color w:val="auto"/>
                <w:sz w:val="24"/>
                <w:szCs w:val="24"/>
              </w:rPr>
              <mc:AlternateContent>
                <mc:Choice Requires="wps">
                  <w:drawing>
                    <wp:anchor distT="0" distB="0" distL="114300" distR="114300" simplePos="0" relativeHeight="251763712" behindDoc="0" locked="0" layoutInCell="1" allowOverlap="1">
                      <wp:simplePos x="0" y="0"/>
                      <wp:positionH relativeFrom="column">
                        <wp:posOffset>1898650</wp:posOffset>
                      </wp:positionH>
                      <wp:positionV relativeFrom="paragraph">
                        <wp:posOffset>66040</wp:posOffset>
                      </wp:positionV>
                      <wp:extent cx="293370" cy="120015"/>
                      <wp:effectExtent l="0" t="27305" r="11430" b="5080"/>
                      <wp:wrapNone/>
                      <wp:docPr id="155" name="AutoShape 1203"/>
                      <wp:cNvGraphicFramePr/>
                      <a:graphic xmlns:a="http://schemas.openxmlformats.org/drawingml/2006/main">
                        <a:graphicData uri="http://schemas.microsoft.com/office/word/2010/wordprocessingShape">
                          <wps:wsp>
                            <wps:cNvCnPr>
                              <a:cxnSpLocks noChangeShapeType="1"/>
                            </wps:cNvCnPr>
                            <wps:spPr bwMode="auto">
                              <a:xfrm flipV="1">
                                <a:off x="0" y="0"/>
                                <a:ext cx="293370" cy="120015"/>
                              </a:xfrm>
                              <a:prstGeom prst="curvedConnector3">
                                <a:avLst>
                                  <a:gd name="adj1" fmla="val 50000"/>
                                </a:avLst>
                              </a:prstGeom>
                              <a:noFill/>
                              <a:ln w="9525">
                                <a:solidFill>
                                  <a:srgbClr val="000000"/>
                                </a:solidFill>
                                <a:prstDash val="dash"/>
                                <a:round/>
                                <a:tailEnd type="triangle" w="med" len="med"/>
                              </a:ln>
                            </wps:spPr>
                            <wps:bodyPr/>
                          </wps:wsp>
                        </a:graphicData>
                      </a:graphic>
                    </wp:anchor>
                  </w:drawing>
                </mc:Choice>
                <mc:Fallback>
                  <w:pict>
                    <v:shape id="AutoShape 1203" o:spid="_x0000_s1026" o:spt="38" type="#_x0000_t38" style="position:absolute;left:0pt;flip:y;margin-left:149.5pt;margin-top:5.2pt;height:9.45pt;width:23.1pt;z-index:251763712;mso-width-relative:page;mso-height-relative:page;" filled="f" stroked="t" coordsize="21600,21600" o:gfxdata="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Ea53dgAAAAJ&#10;AQAADwAAAAAAAAABACAAAAAiAAAAZHJzL2Rvd25yZXYueG1sUEsBAhQAFAAAAAgAh07iQKR2afIc&#10;AgAANgQAAA4AAAAAAAAAAQAgAAAAJwEAAGRycy9lMm9Eb2MueG1sUEsFBgAAAAAGAAYAWQEAALUF&#10;AAAAAA==&#10;" adj="10800">
                      <v:fill on="f" focussize="0,0"/>
                      <v:stroke color="#000000" joinstyle="round" dashstyle="dash"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762688" behindDoc="0" locked="0" layoutInCell="1" allowOverlap="1">
                      <wp:simplePos x="0" y="0"/>
                      <wp:positionH relativeFrom="column">
                        <wp:posOffset>1409065</wp:posOffset>
                      </wp:positionH>
                      <wp:positionV relativeFrom="paragraph">
                        <wp:posOffset>179070</wp:posOffset>
                      </wp:positionV>
                      <wp:extent cx="1456055" cy="284480"/>
                      <wp:effectExtent l="4445" t="5080" r="6350" b="15240"/>
                      <wp:wrapNone/>
                      <wp:docPr id="154" name="Rectangle 1191"/>
                      <wp:cNvGraphicFramePr/>
                      <a:graphic xmlns:a="http://schemas.openxmlformats.org/drawingml/2006/main">
                        <a:graphicData uri="http://schemas.microsoft.com/office/word/2010/wordprocessingShape">
                          <wps:wsp>
                            <wps:cNvSpPr>
                              <a:spLocks noChangeArrowheads="1"/>
                            </wps:cNvSpPr>
                            <wps:spPr bwMode="auto">
                              <a:xfrm>
                                <a:off x="0" y="0"/>
                                <a:ext cx="1456055" cy="284480"/>
                              </a:xfrm>
                              <a:prstGeom prst="rect">
                                <a:avLst/>
                              </a:prstGeom>
                              <a:solidFill>
                                <a:srgbClr val="FFFFFF"/>
                              </a:solidFill>
                              <a:ln w="9525">
                                <a:solidFill>
                                  <a:srgbClr val="000000"/>
                                </a:solidFill>
                                <a:miter lim="800000"/>
                              </a:ln>
                            </wps:spPr>
                            <wps:txbx>
                              <w:txbxContent>
                                <w:p>
                                  <w:r>
                                    <w:rPr>
                                      <w:rFonts w:hint="eastAsia"/>
                                    </w:rPr>
                                    <w:t>预制构件养护用水</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110.95pt;margin-top:14.1pt;height:22.4pt;width:114.65pt;z-index:251762688;mso-width-relative:page;mso-height-relative:page;" fillcolor="#FFFFFF" filled="t" stroked="t" coordsize="21600,21600" o:gfxdata="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lFlGLYAAAACQEAAA8AAAAAAAAAAQAgAAAAIgAAAGRycy9kb3ducmV2Lnht&#10;bFBLAQIUABQAAAAIAIdO4kCNQSJ9MgIAAIIEAAAOAAAAAAAAAAEAIAAAACcBAABkcnMvZTJvRG9j&#10;LnhtbFBLBQYAAAAABgAGAFkBAADLBQAAAAA=&#10;">
                      <v:fill on="t" focussize="0,0"/>
                      <v:stroke color="#000000" miterlimit="8" joinstyle="miter"/>
                      <v:imagedata o:title=""/>
                      <o:lock v:ext="edit" aspectratio="f"/>
                      <v:textbox>
                        <w:txbxContent>
                          <w:p>
                            <w:r>
                              <w:rPr>
                                <w:rFonts w:hint="eastAsia"/>
                              </w:rPr>
                              <w:t>预制构件养护用水</w:t>
                            </w:r>
                          </w:p>
                        </w:txbxContent>
                      </v:textbox>
                    </v:rect>
                  </w:pict>
                </mc:Fallback>
              </mc:AlternateContent>
            </w:r>
            <w:r>
              <w:rPr>
                <w:rFonts w:eastAsia="宋体"/>
                <w:b/>
                <w:color w:val="auto"/>
                <w:szCs w:val="22"/>
              </w:rPr>
              <mc:AlternateContent>
                <mc:Choice Requires="wps">
                  <w:drawing>
                    <wp:anchor distT="0" distB="0" distL="114300" distR="114300" simplePos="0" relativeHeight="251761664" behindDoc="0" locked="0" layoutInCell="1" allowOverlap="1">
                      <wp:simplePos x="0" y="0"/>
                      <wp:positionH relativeFrom="column">
                        <wp:posOffset>991235</wp:posOffset>
                      </wp:positionH>
                      <wp:positionV relativeFrom="paragraph">
                        <wp:posOffset>313690</wp:posOffset>
                      </wp:positionV>
                      <wp:extent cx="410210" cy="0"/>
                      <wp:effectExtent l="0" t="38100" r="8890" b="38100"/>
                      <wp:wrapNone/>
                      <wp:docPr id="152" name="AutoShape 1449"/>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9525">
                                <a:solidFill>
                                  <a:srgbClr val="000000"/>
                                </a:solidFill>
                                <a:round/>
                                <a:tailEnd type="triangle" w="med" len="med"/>
                              </a:ln>
                            </wps:spPr>
                            <wps:bodyPr/>
                          </wps:wsp>
                        </a:graphicData>
                      </a:graphic>
                    </wp:anchor>
                  </w:drawing>
                </mc:Choice>
                <mc:Fallback>
                  <w:pict>
                    <v:shape id="AutoShape 1449" o:spid="_x0000_s1026" o:spt="32" type="#_x0000_t32" style="position:absolute;left:0pt;margin-left:78.05pt;margin-top:24.7pt;height:0pt;width:32.3pt;z-index:251761664;mso-width-relative:page;mso-height-relative:page;" filled="f" stroked="t" coordsize="21600,21600" o:gfxdata="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rYeydgAAAAJAQAADwAAAAAAAAABACAAAAAiAAAAZHJzL2Rvd25yZXYueG1sUEsBAhQA&#10;FAAAAAgAh07iQGIJRRHyAQAA5AMAAA4AAAAAAAAAAQAgAAAAJwEAAGRycy9lMm9Eb2MueG1sUEsF&#10;BgAAAAAGAAYAWQEAAIsFAAAAAA==&#10;">
                      <v:fill on="f" focussize="0,0"/>
                      <v:stroke color="#000000" joinstyle="round" endarrow="block"/>
                      <v:imagedata o:title=""/>
                      <o:lock v:ext="edit" aspectratio="f"/>
                    </v:shape>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767808" behindDoc="0" locked="0" layoutInCell="1" allowOverlap="1">
                      <wp:simplePos x="0" y="0"/>
                      <wp:positionH relativeFrom="column">
                        <wp:posOffset>3206750</wp:posOffset>
                      </wp:positionH>
                      <wp:positionV relativeFrom="paragraph">
                        <wp:posOffset>292100</wp:posOffset>
                      </wp:positionV>
                      <wp:extent cx="1653540" cy="697865"/>
                      <wp:effectExtent l="0" t="0" r="0" b="0"/>
                      <wp:wrapNone/>
                      <wp:docPr id="159" name="Rectangle 1225"/>
                      <wp:cNvGraphicFramePr/>
                      <a:graphic xmlns:a="http://schemas.openxmlformats.org/drawingml/2006/main">
                        <a:graphicData uri="http://schemas.microsoft.com/office/word/2010/wordprocessingShape">
                          <wps:wsp>
                            <wps:cNvSpPr>
                              <a:spLocks noChangeArrowheads="1"/>
                            </wps:cNvSpPr>
                            <wps:spPr bwMode="auto">
                              <a:xfrm>
                                <a:off x="0" y="0"/>
                                <a:ext cx="1653540" cy="697865"/>
                              </a:xfrm>
                              <a:prstGeom prst="rect">
                                <a:avLst/>
                              </a:prstGeom>
                              <a:noFill/>
                              <a:ln>
                                <a:noFill/>
                              </a:ln>
                            </wps:spPr>
                            <wps:txbx>
                              <w:txbxContent>
                                <w:p>
                                  <w:pPr>
                                    <w:rPr>
                                      <w:rFonts w:hint="default"/>
                                      <w:color w:val="000000"/>
                                      <w:lang w:val="en-US"/>
                                    </w:rPr>
                                  </w:pPr>
                                  <w:r>
                                    <w:rPr>
                                      <w:rFonts w:hint="default"/>
                                      <w:color w:val="000000"/>
                                      <w:lang w:val="en-US"/>
                                    </w:rPr>
                                    <w:t>化粪池收集后定期清运至奎屯市中区污水处理厂</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252.5pt;margin-top:23pt;height:54.95pt;width:130.2pt;z-index:251767808;mso-width-relative:page;mso-height-relative:page;" filled="f" stroked="f" coordsize="21600,21600" o:gfxdata="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8Q6YdsAAAAKAQAADwAAAAAAAAABACAAAAAi&#10;AAAAZHJzL2Rvd25yZXYueG1sUEsBAhQAFAAAAAgAh07iQMsmv2sHAgAAEAQAAA4AAAAAAAAAAQAg&#10;AAAAKgEAAGRycy9lMm9Eb2MueG1sUEsFBgAAAAAGAAYAWQEAAKMFAAAAAA==&#10;">
                      <v:fill on="f" focussize="0,0"/>
                      <v:stroke on="f"/>
                      <v:imagedata o:title=""/>
                      <o:lock v:ext="edit" aspectratio="f"/>
                      <v:textbox>
                        <w:txbxContent>
                          <w:p>
                            <w:pPr>
                              <w:rPr>
                                <w:rFonts w:hint="default"/>
                                <w:color w:val="000000"/>
                                <w:lang w:val="en-US"/>
                              </w:rPr>
                            </w:pPr>
                            <w:r>
                              <w:rPr>
                                <w:rFonts w:hint="default"/>
                                <w:color w:val="000000"/>
                                <w:lang w:val="en-US"/>
                              </w:rPr>
                              <w:t>化粪池收集后定期清运至奎屯市中区污水处理厂</w:t>
                            </w:r>
                          </w:p>
                        </w:txbxContent>
                      </v:textbox>
                    </v:rect>
                  </w:pict>
                </mc:Fallback>
              </mc:AlternateContent>
            </w:r>
            <w:r>
              <w:rPr>
                <w:rFonts w:eastAsia="宋体"/>
                <w:color w:val="auto"/>
              </w:rPr>
              <mc:AlternateContent>
                <mc:Choice Requires="wps">
                  <w:drawing>
                    <wp:anchor distT="0" distB="0" distL="114300" distR="114300" simplePos="0" relativeHeight="251715584" behindDoc="0" locked="0" layoutInCell="1" allowOverlap="1">
                      <wp:simplePos x="0" y="0"/>
                      <wp:positionH relativeFrom="column">
                        <wp:posOffset>2478405</wp:posOffset>
                      </wp:positionH>
                      <wp:positionV relativeFrom="paragraph">
                        <wp:posOffset>328295</wp:posOffset>
                      </wp:positionV>
                      <wp:extent cx="561340" cy="259080"/>
                      <wp:effectExtent l="0" t="0" r="0" b="0"/>
                      <wp:wrapNone/>
                      <wp:docPr id="93"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312</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95.15pt;margin-top:25.85pt;height:20.4pt;width:44.2pt;z-index:251715584;mso-width-relative:page;mso-height-relative:page;" filled="f" stroked="f" coordsize="21600,21600" o:gfxdata="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QA61vbAAAACQEAAA8AAAAAAAAAAQAgAAAAIgAA&#10;AGRycy9kb3ducmV2LnhtbFBLAQIUABQAAAAIAIdO4kAp63wnBQIAAA4EAAAOAAAAAAAAAAEAIAAA&#10;ACoBAABkcnMvZTJvRG9jLnhtbFBLBQYAAAAABgAGAFkBAAChBQAAAAA=&#10;">
                      <v:fill on="f" focussize="0,0"/>
                      <v:stroke on="f"/>
                      <v:imagedata o:title=""/>
                      <o:lock v:ext="edit" aspectratio="f"/>
                      <v:textbox>
                        <w:txbxContent>
                          <w:p>
                            <w:pPr>
                              <w:rPr>
                                <w:color w:val="000000"/>
                              </w:rPr>
                            </w:pPr>
                            <w:r>
                              <w:rPr>
                                <w:rFonts w:hint="eastAsia"/>
                                <w:color w:val="000000"/>
                              </w:rPr>
                              <w:t>312</w:t>
                            </w:r>
                          </w:p>
                        </w:txbxContent>
                      </v:textbox>
                    </v:rect>
                  </w:pict>
                </mc:Fallback>
              </mc:AlternateContent>
            </w:r>
            <w:r>
              <w:rPr>
                <w:rFonts w:eastAsia="宋体"/>
                <w:color w:val="auto"/>
              </w:rPr>
              <mc:AlternateContent>
                <mc:Choice Requires="wps">
                  <w:drawing>
                    <wp:anchor distT="0" distB="0" distL="114300" distR="114300" simplePos="0" relativeHeight="251714560" behindDoc="0" locked="0" layoutInCell="1" allowOverlap="1">
                      <wp:simplePos x="0" y="0"/>
                      <wp:positionH relativeFrom="column">
                        <wp:posOffset>1910715</wp:posOffset>
                      </wp:positionH>
                      <wp:positionV relativeFrom="paragraph">
                        <wp:posOffset>141605</wp:posOffset>
                      </wp:positionV>
                      <wp:extent cx="561340" cy="259080"/>
                      <wp:effectExtent l="0" t="0" r="0" b="0"/>
                      <wp:wrapNone/>
                      <wp:docPr id="92"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78</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50.45pt;margin-top:11.15pt;height:20.4pt;width:44.2pt;z-index:251714560;mso-width-relative:page;mso-height-relative:page;" filled="f" stroked="f" coordsize="21600,21600" o:gfxdata="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i7zj9oAAAAJAQAADwAAAAAAAAABACAAAAAiAAAA&#10;ZHJzL2Rvd25yZXYueG1sUEsBAhQAFAAAAAgAh07iQBUJB8IFAgAADgQAAA4AAAAAAAAAAQAgAAAA&#10;KQEAAGRycy9lMm9Eb2MueG1sUEsFBgAAAAAGAAYAWQEAAKAFAAAAAA==&#10;">
                      <v:fill on="f" focussize="0,0"/>
                      <v:stroke on="f"/>
                      <v:imagedata o:title=""/>
                      <o:lock v:ext="edit" aspectratio="f"/>
                      <v:textbox>
                        <w:txbxContent>
                          <w:p>
                            <w:pPr>
                              <w:rPr>
                                <w:color w:val="000000"/>
                              </w:rPr>
                            </w:pPr>
                            <w:r>
                              <w:rPr>
                                <w:rFonts w:hint="eastAsia"/>
                                <w:color w:val="000000"/>
                              </w:rPr>
                              <w:t>78</w:t>
                            </w:r>
                          </w:p>
                        </w:txbxContent>
                      </v:textbox>
                    </v:rect>
                  </w:pict>
                </mc:Fallback>
              </mc:AlternateContent>
            </w:r>
            <w:r>
              <w:rPr>
                <w:rFonts w:eastAsia="宋体"/>
                <w:color w:val="auto"/>
                <w:sz w:val="24"/>
                <w:szCs w:val="24"/>
              </w:rPr>
              <mc:AlternateContent>
                <mc:Choice Requires="wps">
                  <w:drawing>
                    <wp:anchor distT="0" distB="0" distL="114300" distR="114300" simplePos="0" relativeHeight="251700224" behindDoc="0" locked="0" layoutInCell="1" allowOverlap="1">
                      <wp:simplePos x="0" y="0"/>
                      <wp:positionH relativeFrom="column">
                        <wp:posOffset>1628775</wp:posOffset>
                      </wp:positionH>
                      <wp:positionV relativeFrom="paragraph">
                        <wp:posOffset>303530</wp:posOffset>
                      </wp:positionV>
                      <wp:extent cx="293370" cy="120015"/>
                      <wp:effectExtent l="0" t="27305" r="11430" b="5080"/>
                      <wp:wrapNone/>
                      <wp:docPr id="71" name="AutoShape 1203"/>
                      <wp:cNvGraphicFramePr/>
                      <a:graphic xmlns:a="http://schemas.openxmlformats.org/drawingml/2006/main">
                        <a:graphicData uri="http://schemas.microsoft.com/office/word/2010/wordprocessingShape">
                          <wps:wsp>
                            <wps:cNvCnPr>
                              <a:cxnSpLocks noChangeShapeType="1"/>
                            </wps:cNvCnPr>
                            <wps:spPr bwMode="auto">
                              <a:xfrm flipV="1">
                                <a:off x="0" y="0"/>
                                <a:ext cx="293370" cy="120015"/>
                              </a:xfrm>
                              <a:prstGeom prst="curvedConnector3">
                                <a:avLst>
                                  <a:gd name="adj1" fmla="val 50000"/>
                                </a:avLst>
                              </a:prstGeom>
                              <a:noFill/>
                              <a:ln w="9525">
                                <a:solidFill>
                                  <a:srgbClr val="000000"/>
                                </a:solidFill>
                                <a:prstDash val="dash"/>
                                <a:round/>
                                <a:tailEnd type="triangle" w="med" len="med"/>
                              </a:ln>
                            </wps:spPr>
                            <wps:bodyPr/>
                          </wps:wsp>
                        </a:graphicData>
                      </a:graphic>
                    </wp:anchor>
                  </w:drawing>
                </mc:Choice>
                <mc:Fallback>
                  <w:pict>
                    <v:shape id="AutoShape 1203" o:spid="_x0000_s1026" o:spt="38" type="#_x0000_t38" style="position:absolute;left:0pt;flip:y;margin-left:128.25pt;margin-top:23.9pt;height:9.45pt;width:23.1pt;z-index:251700224;mso-width-relative:page;mso-height-relative:page;" filled="f" stroked="t" coordsize="21600,21600" o:gfxdata="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btwgtkAAAAJ&#10;AQAADwAAAAAAAAABACAAAAAiAAAAZHJzL2Rvd25yZXYueG1sUEsBAhQAFAAAAAgAh07iQGMZETgb&#10;AgAANQQAAA4AAAAAAAAAAQAgAAAAKAEAAGRycy9lMm9Eb2MueG1sUEsFBgAAAAAGAAYAWQEAALUF&#10;AAAAAA==&#10;" adj="10800">
                      <v:fill on="f" focussize="0,0"/>
                      <v:stroke color="#000000" joinstyle="round" dashstyle="dash" endarrow="block"/>
                      <v:imagedata o:title=""/>
                      <o:lock v:ext="edit" aspectratio="f"/>
                    </v:shape>
                  </w:pict>
                </mc:Fallback>
              </mc:AlternateContent>
            </w:r>
          </w:p>
          <w:p>
            <w:pPr>
              <w:pStyle w:val="83"/>
              <w:ind w:firstLine="560"/>
              <w:rPr>
                <w:rFonts w:eastAsia="宋体"/>
                <w:color w:val="auto"/>
              </w:rPr>
            </w:pPr>
            <w:r>
              <w:rPr>
                <w:rFonts w:eastAsia="宋体"/>
                <w:color w:val="auto"/>
              </w:rPr>
              <mc:AlternateContent>
                <mc:Choice Requires="wps">
                  <w:drawing>
                    <wp:anchor distT="0" distB="0" distL="114300" distR="114300" simplePos="0" relativeHeight="251765760" behindDoc="0" locked="0" layoutInCell="1" allowOverlap="1">
                      <wp:simplePos x="0" y="0"/>
                      <wp:positionH relativeFrom="column">
                        <wp:posOffset>2101850</wp:posOffset>
                      </wp:positionH>
                      <wp:positionV relativeFrom="paragraph">
                        <wp:posOffset>323850</wp:posOffset>
                      </wp:positionV>
                      <wp:extent cx="1653540" cy="259080"/>
                      <wp:effectExtent l="0" t="0" r="0" b="0"/>
                      <wp:wrapNone/>
                      <wp:docPr id="157" name="Rectangle 1225"/>
                      <wp:cNvGraphicFramePr/>
                      <a:graphic xmlns:a="http://schemas.openxmlformats.org/drawingml/2006/main">
                        <a:graphicData uri="http://schemas.microsoft.com/office/word/2010/wordprocessingShape">
                          <wps:wsp>
                            <wps:cNvSpPr>
                              <a:spLocks noChangeArrowheads="1"/>
                            </wps:cNvSpPr>
                            <wps:spPr bwMode="auto">
                              <a:xfrm>
                                <a:off x="0" y="0"/>
                                <a:ext cx="1653540" cy="259080"/>
                              </a:xfrm>
                              <a:prstGeom prst="rect">
                                <a:avLst/>
                              </a:prstGeom>
                              <a:noFill/>
                              <a:ln>
                                <a:noFill/>
                              </a:ln>
                            </wps:spPr>
                            <wps:txbx>
                              <w:txbxContent>
                                <w:p>
                                  <w:pPr>
                                    <w:rPr>
                                      <w:color w:val="000000"/>
                                    </w:rPr>
                                  </w:pPr>
                                  <w:r>
                                    <w:rPr>
                                      <w:rFonts w:hint="eastAsia"/>
                                      <w:color w:val="000000"/>
                                    </w:rPr>
                                    <w:t>植物蒸腾作用消耗</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165.5pt;margin-top:25.5pt;height:20.4pt;width:130.2pt;z-index:251765760;mso-width-relative:page;mso-height-relative:page;" filled="f" stroked="f" coordsize="21600,21600" o:gfxdata="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t1lJ2gAAAAkBAAAPAAAAAAAAAAEAIAAAACIA&#10;AABkcnMvZG93bnJldi54bWxQSwECFAAUAAAACACHTuJAgEqWTAcCAAAQBAAADgAAAAAAAAABACAA&#10;AAApAQAAZHJzL2Uyb0RvYy54bWxQSwUGAAAAAAYABgBZAQAAogUAAAAA&#10;">
                      <v:fill on="f" focussize="0,0"/>
                      <v:stroke on="f"/>
                      <v:imagedata o:title=""/>
                      <o:lock v:ext="edit" aspectratio="f"/>
                      <v:textbox>
                        <w:txbxContent>
                          <w:p>
                            <w:pPr>
                              <w:rPr>
                                <w:color w:val="000000"/>
                              </w:rPr>
                            </w:pPr>
                            <w:r>
                              <w:rPr>
                                <w:rFonts w:hint="eastAsia"/>
                                <w:color w:val="000000"/>
                              </w:rPr>
                              <w:t>植物蒸腾作用消耗</w:t>
                            </w:r>
                          </w:p>
                        </w:txbxContent>
                      </v:textbox>
                    </v:rect>
                  </w:pict>
                </mc:Fallback>
              </mc:AlternateContent>
            </w:r>
            <w:r>
              <w:rPr>
                <w:rFonts w:eastAsia="宋体"/>
                <w:color w:val="auto"/>
              </w:rPr>
              <mc:AlternateContent>
                <mc:Choice Requires="wps">
                  <w:drawing>
                    <wp:anchor distT="0" distB="0" distL="114300" distR="114300" simplePos="0" relativeHeight="251703296" behindDoc="0" locked="0" layoutInCell="1" allowOverlap="1">
                      <wp:simplePos x="0" y="0"/>
                      <wp:positionH relativeFrom="column">
                        <wp:posOffset>2204720</wp:posOffset>
                      </wp:positionH>
                      <wp:positionV relativeFrom="paragraph">
                        <wp:posOffset>220980</wp:posOffset>
                      </wp:positionV>
                      <wp:extent cx="1082675" cy="3810"/>
                      <wp:effectExtent l="0" t="38100" r="3175" b="34290"/>
                      <wp:wrapNone/>
                      <wp:docPr id="77" name="AutoShape 1278"/>
                      <wp:cNvGraphicFramePr/>
                      <a:graphic xmlns:a="http://schemas.openxmlformats.org/drawingml/2006/main">
                        <a:graphicData uri="http://schemas.microsoft.com/office/word/2010/wordprocessingShape">
                          <wps:wsp>
                            <wps:cNvCnPr>
                              <a:cxnSpLocks noChangeShapeType="1"/>
                            </wps:cNvCnPr>
                            <wps:spPr bwMode="auto">
                              <a:xfrm flipV="1">
                                <a:off x="0" y="0"/>
                                <a:ext cx="1082675" cy="3810"/>
                              </a:xfrm>
                              <a:prstGeom prst="straightConnector1">
                                <a:avLst/>
                              </a:prstGeom>
                              <a:noFill/>
                              <a:ln w="9525">
                                <a:solidFill>
                                  <a:srgbClr val="000000"/>
                                </a:solidFill>
                                <a:round/>
                                <a:tailEnd type="triangle" w="med" len="med"/>
                              </a:ln>
                            </wps:spPr>
                            <wps:bodyPr/>
                          </wps:wsp>
                        </a:graphicData>
                      </a:graphic>
                    </wp:anchor>
                  </w:drawing>
                </mc:Choice>
                <mc:Fallback>
                  <w:pict>
                    <v:shape id="AutoShape 1278" o:spid="_x0000_s1026" o:spt="32" type="#_x0000_t32" style="position:absolute;left:0pt;flip:y;margin-left:173.6pt;margin-top:17.4pt;height:0.3pt;width:85.25pt;z-index:251703296;mso-width-relative:page;mso-height-relative:page;" filled="f" stroked="t" coordsize="21600,21600" o:gfxdata="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iVpXYAAAACQEAAA8AAAAAAAAAAQAgAAAAIgAAAGRycy9kb3ducmV2&#10;LnhtbFBLAQIUABQAAAAIAIdO4kAjM2Vo/AEAAPEDAAAOAAAAAAAAAAEAIAAAACcBAABkcnMvZTJv&#10;RG9jLnhtbFBLBQYAAAAABgAGAFkBAACVBQAAAAA=&#10;">
                      <v:fill on="f" focussize="0,0"/>
                      <v:stroke color="#000000" joinstyle="round"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696128" behindDoc="0" locked="0" layoutInCell="1" allowOverlap="1">
                      <wp:simplePos x="0" y="0"/>
                      <wp:positionH relativeFrom="column">
                        <wp:posOffset>1026795</wp:posOffset>
                      </wp:positionH>
                      <wp:positionV relativeFrom="paragraph">
                        <wp:posOffset>61595</wp:posOffset>
                      </wp:positionV>
                      <wp:extent cx="561340" cy="259080"/>
                      <wp:effectExtent l="0" t="0" r="0" b="0"/>
                      <wp:wrapNone/>
                      <wp:docPr id="66"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390</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80.85pt;margin-top:4.85pt;height:20.4pt;width:44.2pt;z-index:251696128;mso-width-relative:page;mso-height-relative:page;" filled="f" stroked="f" coordsize="21600,21600" o:gfxdata="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&#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V9XQ/YAAAACAEAAA8AAAAAAAAAAQAgAAAAIgAAAGRy&#10;cy9kb3ducmV2LnhtbFBLAQIUABQAAAAIAIdO4kA1pJ2IBQIAAA4EAAAOAAAAAAAAAAEAIAAAACcB&#10;AABkcnMvZTJvRG9jLnhtbFBLBQYAAAAABgAGAFkBAACeBQAAAAA=&#10;">
                      <v:fill on="f" focussize="0,0"/>
                      <v:stroke on="f"/>
                      <v:imagedata o:title=""/>
                      <o:lock v:ext="edit" aspectratio="f"/>
                      <v:textbox>
                        <w:txbxContent>
                          <w:p>
                            <w:pPr>
                              <w:rPr>
                                <w:color w:val="000000"/>
                              </w:rPr>
                            </w:pPr>
                            <w:r>
                              <w:rPr>
                                <w:rFonts w:hint="eastAsia"/>
                                <w:color w:val="000000"/>
                              </w:rPr>
                              <w:t>390</w:t>
                            </w:r>
                          </w:p>
                        </w:txbxContent>
                      </v:textbox>
                    </v:rect>
                  </w:pict>
                </mc:Fallback>
              </mc:AlternateContent>
            </w:r>
            <w:r>
              <w:rPr>
                <w:rFonts w:eastAsia="宋体"/>
                <w:b/>
                <w:color w:val="auto"/>
                <w:szCs w:val="22"/>
              </w:rPr>
              <mc:AlternateContent>
                <mc:Choice Requires="wps">
                  <w:drawing>
                    <wp:anchor distT="0" distB="0" distL="114300" distR="114300" simplePos="0" relativeHeight="251685888" behindDoc="0" locked="0" layoutInCell="1" allowOverlap="1">
                      <wp:simplePos x="0" y="0"/>
                      <wp:positionH relativeFrom="column">
                        <wp:posOffset>1009650</wp:posOffset>
                      </wp:positionH>
                      <wp:positionV relativeFrom="paragraph">
                        <wp:posOffset>236220</wp:posOffset>
                      </wp:positionV>
                      <wp:extent cx="410210" cy="0"/>
                      <wp:effectExtent l="0" t="38100" r="8890" b="38100"/>
                      <wp:wrapNone/>
                      <wp:docPr id="50" name="AutoShape 1449"/>
                      <wp:cNvGraphicFramePr/>
                      <a:graphic xmlns:a="http://schemas.openxmlformats.org/drawingml/2006/main">
                        <a:graphicData uri="http://schemas.microsoft.com/office/word/2010/wordprocessingShape">
                          <wps:wsp>
                            <wps:cNvCnPr>
                              <a:cxnSpLocks noChangeShapeType="1"/>
                            </wps:cNvCnPr>
                            <wps:spPr bwMode="auto">
                              <a:xfrm>
                                <a:off x="0" y="0"/>
                                <a:ext cx="410210" cy="0"/>
                              </a:xfrm>
                              <a:prstGeom prst="straightConnector1">
                                <a:avLst/>
                              </a:prstGeom>
                              <a:noFill/>
                              <a:ln w="9525">
                                <a:solidFill>
                                  <a:srgbClr val="000000"/>
                                </a:solidFill>
                                <a:round/>
                                <a:tailEnd type="triangle" w="med" len="med"/>
                              </a:ln>
                            </wps:spPr>
                            <wps:bodyPr/>
                          </wps:wsp>
                        </a:graphicData>
                      </a:graphic>
                    </wp:anchor>
                  </w:drawing>
                </mc:Choice>
                <mc:Fallback>
                  <w:pict>
                    <v:shape id="AutoShape 1449" o:spid="_x0000_s1026" o:spt="32" type="#_x0000_t32" style="position:absolute;left:0pt;margin-left:79.5pt;margin-top:18.6pt;height:0pt;width:32.3pt;z-index:251685888;mso-width-relative:page;mso-height-relative:page;" filled="f" stroked="t" coordsize="21600,21600" o:gfxdata="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Cb0V2AAAAAkBAAAPAAAAAAAAAAEAIAAAACIAAABkcnMvZG93bnJldi54bWxQSwECFAAU&#10;AAAACACHTuJAeZxQuvEBAADjAwAADgAAAAAAAAABACAAAAAnAQAAZHJzL2Uyb0RvYy54bWxQSwUG&#10;AAAAAAYABgBZAQAAigUAAAAA&#10;">
                      <v:fill on="f" focussize="0,0"/>
                      <v:stroke color="#000000" joinstyle="round" endarrow="block"/>
                      <v:imagedata o:title=""/>
                      <o:lock v:ext="edit" aspectratio="f"/>
                    </v:shape>
                  </w:pict>
                </mc:Fallback>
              </mc:AlternateContent>
            </w:r>
            <w:r>
              <w:rPr>
                <w:rFonts w:eastAsia="宋体"/>
                <w:color w:val="auto"/>
              </w:rPr>
              <mc:AlternateContent>
                <mc:Choice Requires="wps">
                  <w:drawing>
                    <wp:anchor distT="0" distB="0" distL="114300" distR="114300" simplePos="0" relativeHeight="251691008" behindDoc="0" locked="0" layoutInCell="1" allowOverlap="1">
                      <wp:simplePos x="0" y="0"/>
                      <wp:positionH relativeFrom="column">
                        <wp:posOffset>1432560</wp:posOffset>
                      </wp:positionH>
                      <wp:positionV relativeFrom="paragraph">
                        <wp:posOffset>88265</wp:posOffset>
                      </wp:positionV>
                      <wp:extent cx="775970" cy="284480"/>
                      <wp:effectExtent l="4445" t="4445" r="19685" b="15875"/>
                      <wp:wrapNone/>
                      <wp:docPr id="55" name="Rectangle 1191"/>
                      <wp:cNvGraphicFramePr/>
                      <a:graphic xmlns:a="http://schemas.openxmlformats.org/drawingml/2006/main">
                        <a:graphicData uri="http://schemas.microsoft.com/office/word/2010/wordprocessingShape">
                          <wps:wsp>
                            <wps:cNvSpPr>
                              <a:spLocks noChangeArrowheads="1"/>
                            </wps:cNvSpPr>
                            <wps:spPr bwMode="auto">
                              <a:xfrm>
                                <a:off x="0" y="0"/>
                                <a:ext cx="775970" cy="284480"/>
                              </a:xfrm>
                              <a:prstGeom prst="rect">
                                <a:avLst/>
                              </a:prstGeom>
                              <a:solidFill>
                                <a:srgbClr val="FFFFFF"/>
                              </a:solidFill>
                              <a:ln w="9525">
                                <a:solidFill>
                                  <a:srgbClr val="000000"/>
                                </a:solidFill>
                                <a:miter lim="800000"/>
                              </a:ln>
                            </wps:spPr>
                            <wps:txbx>
                              <w:txbxContent>
                                <w:p>
                                  <w:r>
                                    <w:rPr>
                                      <w:rFonts w:hint="eastAsia"/>
                                    </w:rPr>
                                    <w:t>员工</w:t>
                                  </w:r>
                                  <w:r>
                                    <w:t>用水</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112.8pt;margin-top:6.95pt;height:22.4pt;width:61.1pt;z-index:251691008;mso-width-relative:page;mso-height-relative:page;" fillcolor="#FFFFFF" filled="t" stroked="t" coordsize="21600,21600" o:gfxdata="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FVTUtgAAAAJAQAADwAAAAAAAAABACAAAAAiAAAAZHJzL2Rvd25yZXYueG1s&#10;UEsBAhQAFAAAAAgAh07iQFNtFx4xAgAAgAQAAA4AAAAAAAAAAQAgAAAAJwEAAGRycy9lMm9Eb2Mu&#10;eG1sUEsFBgAAAAAGAAYAWQEAAMoFAAAAAA==&#10;">
                      <v:fill on="t" focussize="0,0"/>
                      <v:stroke color="#000000" miterlimit="8" joinstyle="miter"/>
                      <v:imagedata o:title=""/>
                      <o:lock v:ext="edit" aspectratio="f"/>
                      <v:textbox>
                        <w:txbxContent>
                          <w:p>
                            <w:r>
                              <w:rPr>
                                <w:rFonts w:hint="eastAsia"/>
                              </w:rPr>
                              <w:t>员工</w:t>
                            </w:r>
                            <w:r>
                              <w:t>用水</w:t>
                            </w:r>
                          </w:p>
                        </w:txbxContent>
                      </v:textbox>
                    </v:rect>
                  </w:pict>
                </mc:Fallback>
              </mc:AlternateContent>
            </w:r>
          </w:p>
          <w:p>
            <w:pPr>
              <w:pStyle w:val="64"/>
              <w:spacing w:before="100" w:beforeAutospacing="1" w:line="240" w:lineRule="auto"/>
              <w:jc w:val="center"/>
              <w:rPr>
                <w:rFonts w:hAnsi="Times New Roman" w:eastAsia="黑体"/>
                <w:b w:val="0"/>
                <w:bCs w:val="0"/>
                <w:color w:val="auto"/>
                <w:szCs w:val="24"/>
              </w:rPr>
            </w:pPr>
            <w:r>
              <w:rPr>
                <w:color w:val="auto"/>
              </w:rPr>
              <mc:AlternateContent>
                <mc:Choice Requires="wps">
                  <w:drawing>
                    <wp:anchor distT="0" distB="0" distL="114300" distR="114300" simplePos="0" relativeHeight="251697152" behindDoc="0" locked="0" layoutInCell="1" allowOverlap="1">
                      <wp:simplePos x="0" y="0"/>
                      <wp:positionH relativeFrom="column">
                        <wp:posOffset>987425</wp:posOffset>
                      </wp:positionH>
                      <wp:positionV relativeFrom="paragraph">
                        <wp:posOffset>152400</wp:posOffset>
                      </wp:positionV>
                      <wp:extent cx="561340" cy="259080"/>
                      <wp:effectExtent l="0" t="0" r="0" b="0"/>
                      <wp:wrapNone/>
                      <wp:docPr id="67" name="Rectangle 1225"/>
                      <wp:cNvGraphicFramePr/>
                      <a:graphic xmlns:a="http://schemas.openxmlformats.org/drawingml/2006/main">
                        <a:graphicData uri="http://schemas.microsoft.com/office/word/2010/wordprocessingShape">
                          <wps:wsp>
                            <wps:cNvSpPr>
                              <a:spLocks noChangeArrowheads="1"/>
                            </wps:cNvSpPr>
                            <wps:spPr bwMode="auto">
                              <a:xfrm>
                                <a:off x="0" y="0"/>
                                <a:ext cx="561340" cy="259080"/>
                              </a:xfrm>
                              <a:prstGeom prst="rect">
                                <a:avLst/>
                              </a:prstGeom>
                              <a:noFill/>
                              <a:ln>
                                <a:noFill/>
                              </a:ln>
                            </wps:spPr>
                            <wps:txbx>
                              <w:txbxContent>
                                <w:p>
                                  <w:pPr>
                                    <w:rPr>
                                      <w:color w:val="000000"/>
                                    </w:rPr>
                                  </w:pPr>
                                  <w:r>
                                    <w:rPr>
                                      <w:rFonts w:hint="eastAsia"/>
                                      <w:color w:val="000000"/>
                                    </w:rPr>
                                    <w:t>13170</w:t>
                                  </w:r>
                                </w:p>
                              </w:txbxContent>
                            </wps:txbx>
                            <wps:bodyPr rot="0" vert="horz" wrap="square" lIns="91440" tIns="45720" rIns="91440" bIns="45720" anchor="t" anchorCtr="0" upright="1">
                              <a:noAutofit/>
                            </wps:bodyPr>
                          </wps:wsp>
                        </a:graphicData>
                      </a:graphic>
                    </wp:anchor>
                  </w:drawing>
                </mc:Choice>
                <mc:Fallback>
                  <w:pict>
                    <v:rect id="Rectangle 1225" o:spid="_x0000_s1026" o:spt="1" style="position:absolute;left:0pt;margin-left:77.75pt;margin-top:12pt;height:20.4pt;width:44.2pt;z-index:251697152;mso-width-relative:page;mso-height-relative:page;" filled="f" stroked="f" coordsize="21600,21600" o:gfxdata="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eT7X9oAAAAJAQAADwAAAAAAAAABACAAAAAiAAAA&#10;ZHJzL2Rvd25yZXYueG1sUEsBAhQAFAAAAAgAh07iQAlG5m0FAgAADgQAAA4AAAAAAAAAAQAgAAAA&#10;KQEAAGRycy9lMm9Eb2MueG1sUEsFBgAAAAAGAAYAWQEAAKAFAAAAAA==&#10;">
                      <v:fill on="f" focussize="0,0"/>
                      <v:stroke on="f"/>
                      <v:imagedata o:title=""/>
                      <o:lock v:ext="edit" aspectratio="f"/>
                      <v:textbox>
                        <w:txbxContent>
                          <w:p>
                            <w:pPr>
                              <w:rPr>
                                <w:color w:val="000000"/>
                              </w:rPr>
                            </w:pPr>
                            <w:r>
                              <w:rPr>
                                <w:rFonts w:hint="eastAsia"/>
                                <w:color w:val="000000"/>
                              </w:rPr>
                              <w:t>13170</w:t>
                            </w:r>
                          </w:p>
                        </w:txbxContent>
                      </v:textbox>
                    </v:rect>
                  </w:pict>
                </mc:Fallback>
              </mc:AlternateContent>
            </w:r>
            <w:r>
              <w:rPr>
                <w:color w:val="auto"/>
                <w:szCs w:val="24"/>
              </w:rPr>
              <mc:AlternateContent>
                <mc:Choice Requires="wps">
                  <w:drawing>
                    <wp:anchor distT="0" distB="0" distL="114300" distR="114300" simplePos="0" relativeHeight="251713536" behindDoc="0" locked="0" layoutInCell="1" allowOverlap="1">
                      <wp:simplePos x="0" y="0"/>
                      <wp:positionH relativeFrom="column">
                        <wp:posOffset>1816100</wp:posOffset>
                      </wp:positionH>
                      <wp:positionV relativeFrom="paragraph">
                        <wp:posOffset>93345</wp:posOffset>
                      </wp:positionV>
                      <wp:extent cx="293370" cy="120015"/>
                      <wp:effectExtent l="0" t="27305" r="11430" b="5080"/>
                      <wp:wrapNone/>
                      <wp:docPr id="89" name="AutoShape 1203"/>
                      <wp:cNvGraphicFramePr/>
                      <a:graphic xmlns:a="http://schemas.openxmlformats.org/drawingml/2006/main">
                        <a:graphicData uri="http://schemas.microsoft.com/office/word/2010/wordprocessingShape">
                          <wps:wsp>
                            <wps:cNvCnPr>
                              <a:cxnSpLocks noChangeShapeType="1"/>
                            </wps:cNvCnPr>
                            <wps:spPr bwMode="auto">
                              <a:xfrm flipV="1">
                                <a:off x="0" y="0"/>
                                <a:ext cx="293370" cy="120015"/>
                              </a:xfrm>
                              <a:prstGeom prst="curvedConnector3">
                                <a:avLst>
                                  <a:gd name="adj1" fmla="val 50000"/>
                                </a:avLst>
                              </a:prstGeom>
                              <a:noFill/>
                              <a:ln w="9525">
                                <a:solidFill>
                                  <a:srgbClr val="000000"/>
                                </a:solidFill>
                                <a:prstDash val="dash"/>
                                <a:round/>
                                <a:tailEnd type="triangle" w="med" len="med"/>
                              </a:ln>
                            </wps:spPr>
                            <wps:bodyPr/>
                          </wps:wsp>
                        </a:graphicData>
                      </a:graphic>
                    </wp:anchor>
                  </w:drawing>
                </mc:Choice>
                <mc:Fallback>
                  <w:pict>
                    <v:shape id="AutoShape 1203" o:spid="_x0000_s1026" o:spt="38" type="#_x0000_t38" style="position:absolute;left:0pt;flip:y;margin-left:143pt;margin-top:7.35pt;height:9.45pt;width:23.1pt;z-index:251713536;mso-width-relative:page;mso-height-relative:page;" filled="f" stroked="t" coordsize="21600,21600" o:gfxdata="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vIA9o2AAAAAkB&#10;AAAPAAAAAAAAAAEAIAAAACIAAABkcnMvZG93bnJldi54bWxQSwECFAAUAAAACACHTuJAc/bDSxsC&#10;AAA1BAAADgAAAAAAAAABACAAAAAnAQAAZHJzL2Uyb0RvYy54bWxQSwUGAAAAAAYABgBZAQAAtAUA&#10;AAAA&#10;" adj="10800">
                      <v:fill on="f" focussize="0,0"/>
                      <v:stroke color="#000000" joinstyle="round" dashstyle="dash" endarrow="block"/>
                      <v:imagedata o:title=""/>
                      <o:lock v:ext="edit" aspectratio="f"/>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1454150</wp:posOffset>
                      </wp:positionH>
                      <wp:positionV relativeFrom="paragraph">
                        <wp:posOffset>227330</wp:posOffset>
                      </wp:positionV>
                      <wp:extent cx="775970" cy="284480"/>
                      <wp:effectExtent l="4445" t="4445" r="19685" b="15875"/>
                      <wp:wrapNone/>
                      <wp:docPr id="56" name="Rectangle 1191"/>
                      <wp:cNvGraphicFramePr/>
                      <a:graphic xmlns:a="http://schemas.openxmlformats.org/drawingml/2006/main">
                        <a:graphicData uri="http://schemas.microsoft.com/office/word/2010/wordprocessingShape">
                          <wps:wsp>
                            <wps:cNvSpPr>
                              <a:spLocks noChangeArrowheads="1"/>
                            </wps:cNvSpPr>
                            <wps:spPr bwMode="auto">
                              <a:xfrm>
                                <a:off x="0" y="0"/>
                                <a:ext cx="775970" cy="284480"/>
                              </a:xfrm>
                              <a:prstGeom prst="rect">
                                <a:avLst/>
                              </a:prstGeom>
                              <a:solidFill>
                                <a:srgbClr val="FFFFFF"/>
                              </a:solidFill>
                              <a:ln w="9525">
                                <a:solidFill>
                                  <a:srgbClr val="000000"/>
                                </a:solidFill>
                                <a:miter lim="800000"/>
                              </a:ln>
                            </wps:spPr>
                            <wps:txbx>
                              <w:txbxContent>
                                <w:p>
                                  <w:r>
                                    <w:rPr>
                                      <w:rFonts w:hint="eastAsia"/>
                                    </w:rPr>
                                    <w:t>绿化用水</w:t>
                                  </w:r>
                                </w:p>
                              </w:txbxContent>
                            </wps:txbx>
                            <wps:bodyPr rot="0" vert="horz" wrap="square" lIns="91440" tIns="45720" rIns="91440" bIns="45720" anchor="t" anchorCtr="0" upright="1">
                              <a:noAutofit/>
                            </wps:bodyPr>
                          </wps:wsp>
                        </a:graphicData>
                      </a:graphic>
                    </wp:anchor>
                  </w:drawing>
                </mc:Choice>
                <mc:Fallback>
                  <w:pict>
                    <v:rect id="Rectangle 1191" o:spid="_x0000_s1026" o:spt="1" style="position:absolute;left:0pt;margin-left:114.5pt;margin-top:17.9pt;height:22.4pt;width:61.1pt;z-index:251692032;mso-width-relative:page;mso-height-relative:page;" fillcolor="#FFFFFF" filled="t" stroked="t" coordsize="21600,21600" o:gfxdata="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4aVK9gAAAAJAQAADwAAAAAAAAABACAAAAAiAAAAZHJzL2Rvd25yZXYueG1s&#10;UEsBAhQAFAAAAAgAh07iQE2BWvUxAgAAgAQAAA4AAAAAAAAAAQAgAAAAJwEAAGRycy9lMm9Eb2Mu&#10;eG1sUEsFBgAAAAAGAAYAWQEAAMoFAAAAAA==&#10;">
                      <v:fill on="t" focussize="0,0"/>
                      <v:stroke color="#000000" miterlimit="8" joinstyle="miter"/>
                      <v:imagedata o:title=""/>
                      <o:lock v:ext="edit" aspectratio="f"/>
                      <v:textbox>
                        <w:txbxContent>
                          <w:p>
                            <w:r>
                              <w:rPr>
                                <w:rFonts w:hint="eastAsia"/>
                              </w:rPr>
                              <w:t>绿化用水</w:t>
                            </w:r>
                          </w:p>
                        </w:txbxContent>
                      </v:textbox>
                    </v:rect>
                  </w:pict>
                </mc:Fallback>
              </mc:AlternateContent>
            </w:r>
          </w:p>
          <w:p>
            <w:pPr>
              <w:pStyle w:val="64"/>
              <w:spacing w:before="100" w:beforeAutospacing="1" w:line="240" w:lineRule="auto"/>
              <w:jc w:val="center"/>
              <w:rPr>
                <w:rFonts w:hint="eastAsia" w:hAnsi="Times New Roman" w:eastAsia="黑体"/>
                <w:b w:val="0"/>
                <w:bCs w:val="0"/>
                <w:color w:val="auto"/>
                <w:szCs w:val="24"/>
              </w:rPr>
            </w:pPr>
            <w:r>
              <w:rPr>
                <w:color w:val="auto"/>
                <w:szCs w:val="22"/>
              </w:rPr>
              <mc:AlternateContent>
                <mc:Choice Requires="wps">
                  <w:drawing>
                    <wp:anchor distT="0" distB="0" distL="114300" distR="114300" simplePos="0" relativeHeight="251686912" behindDoc="0" locked="0" layoutInCell="1" allowOverlap="1">
                      <wp:simplePos x="0" y="0"/>
                      <wp:positionH relativeFrom="column">
                        <wp:posOffset>1007745</wp:posOffset>
                      </wp:positionH>
                      <wp:positionV relativeFrom="paragraph">
                        <wp:posOffset>26035</wp:posOffset>
                      </wp:positionV>
                      <wp:extent cx="432435" cy="6985"/>
                      <wp:effectExtent l="0" t="32385" r="5715" b="36830"/>
                      <wp:wrapNone/>
                      <wp:docPr id="51" name="AutoShape 1449"/>
                      <wp:cNvGraphicFramePr/>
                      <a:graphic xmlns:a="http://schemas.openxmlformats.org/drawingml/2006/main">
                        <a:graphicData uri="http://schemas.microsoft.com/office/word/2010/wordprocessingShape">
                          <wps:wsp>
                            <wps:cNvCnPr>
                              <a:cxnSpLocks noChangeShapeType="1"/>
                            </wps:cNvCnPr>
                            <wps:spPr bwMode="auto">
                              <a:xfrm>
                                <a:off x="0" y="0"/>
                                <a:ext cx="432435" cy="6985"/>
                              </a:xfrm>
                              <a:prstGeom prst="straightConnector1">
                                <a:avLst/>
                              </a:prstGeom>
                              <a:noFill/>
                              <a:ln w="9525">
                                <a:solidFill>
                                  <a:srgbClr val="000000"/>
                                </a:solidFill>
                                <a:round/>
                                <a:tailEnd type="triangle" w="med" len="med"/>
                              </a:ln>
                            </wps:spPr>
                            <wps:bodyPr/>
                          </wps:wsp>
                        </a:graphicData>
                      </a:graphic>
                    </wp:anchor>
                  </w:drawing>
                </mc:Choice>
                <mc:Fallback>
                  <w:pict>
                    <v:shape id="AutoShape 1449" o:spid="_x0000_s1026" o:spt="32" type="#_x0000_t32" style="position:absolute;left:0pt;margin-left:79.35pt;margin-top:2.05pt;height:0.55pt;width:34.05pt;z-index:251686912;mso-width-relative:page;mso-height-relative:page;" filled="f" stroked="t" coordsize="21600,21600" o:gfxdata="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3hFQm1wAAAAcBAAAPAAAAAAAAAAEAIAAAACIAAABkcnMvZG93bnJldi54bWxQSwEC&#10;FAAUAAAACACHTuJAWgUE4/UBAADmAwAADgAAAAAAAAABACAAAAAmAQAAZHJzL2Uyb0RvYy54bWxQ&#10;SwUGAAAAAAYABgBZAQAAjQUAAAAA&#10;">
                      <v:fill on="f" focussize="0,0"/>
                      <v:stroke color="#000000" joinstyle="round" endarrow="block"/>
                      <v:imagedata o:title=""/>
                      <o:lock v:ext="edit" aspectratio="f"/>
                    </v:shape>
                  </w:pict>
                </mc:Fallback>
              </mc:AlternateContent>
            </w:r>
            <w:r>
              <w:rPr>
                <w:rFonts w:hint="eastAsia" w:hAnsi="Times New Roman" w:eastAsia="黑体"/>
                <w:b w:val="0"/>
                <w:bCs w:val="0"/>
                <w:color w:val="auto"/>
                <w:szCs w:val="24"/>
              </w:rPr>
              <w:t>图2-</w:t>
            </w:r>
            <w:r>
              <w:rPr>
                <w:rFonts w:hint="eastAsia" w:hAnsi="Times New Roman" w:eastAsia="黑体"/>
                <w:b w:val="0"/>
                <w:bCs w:val="0"/>
                <w:color w:val="auto"/>
                <w:szCs w:val="24"/>
                <w:lang w:val="en-US" w:eastAsia="zh-CN"/>
              </w:rPr>
              <w:t>2</w:t>
            </w:r>
            <w:r>
              <w:rPr>
                <w:rFonts w:hint="eastAsia" w:hAnsi="Times New Roman" w:eastAsia="黑体"/>
                <w:b w:val="0"/>
                <w:bCs w:val="0"/>
                <w:color w:val="auto"/>
                <w:szCs w:val="24"/>
              </w:rPr>
              <w:t xml:space="preserve"> </w:t>
            </w:r>
            <w:r>
              <w:rPr>
                <w:rFonts w:hAnsi="Times New Roman" w:eastAsia="黑体"/>
                <w:b w:val="0"/>
                <w:bCs w:val="0"/>
                <w:color w:val="auto"/>
                <w:szCs w:val="24"/>
              </w:rPr>
              <w:t xml:space="preserve">    </w:t>
            </w:r>
            <w:r>
              <w:rPr>
                <w:rFonts w:hint="eastAsia" w:hAnsi="Times New Roman" w:eastAsia="黑体"/>
                <w:b w:val="0"/>
                <w:bCs w:val="0"/>
                <w:color w:val="auto"/>
                <w:szCs w:val="24"/>
              </w:rPr>
              <w:t>项目水平衡图（m</w:t>
            </w:r>
            <w:r>
              <w:rPr>
                <w:rFonts w:hint="eastAsia" w:hAnsi="Times New Roman" w:eastAsia="黑体"/>
                <w:b w:val="0"/>
                <w:bCs w:val="0"/>
                <w:color w:val="auto"/>
                <w:szCs w:val="24"/>
                <w:vertAlign w:val="superscript"/>
              </w:rPr>
              <w:t>3</w:t>
            </w:r>
            <w:r>
              <w:rPr>
                <w:rFonts w:hint="eastAsia" w:hAnsi="Times New Roman" w:eastAsia="黑体"/>
                <w:b w:val="0"/>
                <w:bCs w:val="0"/>
                <w:color w:val="auto"/>
                <w:szCs w:val="24"/>
              </w:rPr>
              <w:t>/a）</w:t>
            </w:r>
          </w:p>
          <w:p>
            <w:pPr>
              <w:adjustRightInd w:val="0"/>
              <w:snapToGrid w:val="0"/>
              <w:spacing w:line="520" w:lineRule="exact"/>
              <w:ind w:firstLine="480" w:firstLineChars="200"/>
              <w:rPr>
                <w:rFonts w:hint="default"/>
                <w:color w:val="auto"/>
                <w:sz w:val="24"/>
                <w:lang w:val="en-US" w:eastAsia="zh-CN"/>
              </w:rPr>
            </w:pPr>
            <w:r>
              <w:rPr>
                <w:rFonts w:hint="eastAsia"/>
                <w:color w:val="auto"/>
                <w:sz w:val="24"/>
                <w:lang w:val="en-US" w:eastAsia="zh-CN"/>
              </w:rPr>
              <w:t>依据水平衡分析，本项目废水回用率为90.43%，水重复利用率为2.34%。</w:t>
            </w:r>
          </w:p>
          <w:p>
            <w:pPr>
              <w:numPr>
                <w:ilvl w:val="0"/>
                <w:numId w:val="5"/>
              </w:numPr>
              <w:adjustRightInd w:val="0"/>
              <w:snapToGrid w:val="0"/>
              <w:spacing w:line="520" w:lineRule="exact"/>
              <w:ind w:firstLine="480" w:firstLineChars="200"/>
              <w:rPr>
                <w:color w:val="auto"/>
                <w:sz w:val="24"/>
              </w:rPr>
            </w:pPr>
            <w:r>
              <w:rPr>
                <w:color w:val="auto"/>
                <w:sz w:val="24"/>
              </w:rPr>
              <w:t>供电</w:t>
            </w:r>
          </w:p>
          <w:p>
            <w:pPr>
              <w:adjustRightInd w:val="0"/>
              <w:snapToGrid w:val="0"/>
              <w:spacing w:line="520" w:lineRule="exact"/>
              <w:ind w:firstLine="480" w:firstLineChars="200"/>
              <w:rPr>
                <w:color w:val="auto"/>
                <w:sz w:val="24"/>
              </w:rPr>
            </w:pPr>
            <w:r>
              <w:rPr>
                <w:rFonts w:hint="eastAsia"/>
                <w:color w:val="auto"/>
                <w:sz w:val="24"/>
              </w:rPr>
              <w:t>项目用电由市政供电网供给。</w:t>
            </w:r>
          </w:p>
          <w:p>
            <w:pPr>
              <w:numPr>
                <w:ilvl w:val="0"/>
                <w:numId w:val="5"/>
              </w:numPr>
              <w:adjustRightInd w:val="0"/>
              <w:snapToGrid w:val="0"/>
              <w:spacing w:line="520" w:lineRule="exact"/>
              <w:ind w:firstLine="480" w:firstLineChars="200"/>
              <w:rPr>
                <w:color w:val="auto"/>
                <w:sz w:val="24"/>
              </w:rPr>
            </w:pPr>
            <w:r>
              <w:rPr>
                <w:color w:val="auto"/>
                <w:sz w:val="24"/>
              </w:rPr>
              <w:t>供</w:t>
            </w:r>
            <w:r>
              <w:rPr>
                <w:rFonts w:hint="eastAsia"/>
                <w:color w:val="auto"/>
                <w:sz w:val="24"/>
              </w:rPr>
              <w:t>暖</w:t>
            </w:r>
          </w:p>
          <w:p>
            <w:pPr>
              <w:adjustRightInd w:val="0"/>
              <w:snapToGrid w:val="0"/>
              <w:spacing w:line="520" w:lineRule="exact"/>
              <w:ind w:firstLine="480" w:firstLineChars="200"/>
              <w:rPr>
                <w:color w:val="auto"/>
                <w:sz w:val="24"/>
              </w:rPr>
            </w:pPr>
            <w:r>
              <w:rPr>
                <w:rFonts w:hint="eastAsia" w:hAnsi="宋体"/>
                <w:color w:val="auto"/>
                <w:kern w:val="0"/>
                <w:sz w:val="24"/>
              </w:rPr>
              <w:t>本项目冬季不生产。</w:t>
            </w:r>
          </w:p>
          <w:p>
            <w:pPr>
              <w:adjustRightInd w:val="0"/>
              <w:snapToGrid w:val="0"/>
              <w:spacing w:line="520" w:lineRule="exact"/>
              <w:ind w:firstLine="482" w:firstLineChars="200"/>
              <w:rPr>
                <w:color w:val="auto"/>
                <w:sz w:val="24"/>
              </w:rPr>
            </w:pPr>
            <w:r>
              <w:rPr>
                <w:rFonts w:hint="eastAsia"/>
                <w:b/>
                <w:bCs/>
                <w:color w:val="auto"/>
                <w:sz w:val="24"/>
              </w:rPr>
              <w:t>8</w:t>
            </w:r>
            <w:r>
              <w:rPr>
                <w:b/>
                <w:bCs/>
                <w:color w:val="auto"/>
                <w:sz w:val="24"/>
              </w:rPr>
              <w:t>、劳动定员及工作制度</w:t>
            </w:r>
          </w:p>
          <w:p>
            <w:pPr>
              <w:adjustRightInd w:val="0"/>
              <w:snapToGrid w:val="0"/>
              <w:spacing w:line="520" w:lineRule="exact"/>
              <w:ind w:firstLine="480" w:firstLineChars="200"/>
              <w:rPr>
                <w:color w:val="auto"/>
                <w:sz w:val="24"/>
              </w:rPr>
            </w:pPr>
            <w:r>
              <w:rPr>
                <w:color w:val="auto"/>
                <w:sz w:val="24"/>
              </w:rPr>
              <w:t>本项目</w:t>
            </w:r>
            <w:r>
              <w:rPr>
                <w:rFonts w:hint="eastAsia"/>
                <w:color w:val="auto"/>
                <w:sz w:val="24"/>
              </w:rPr>
              <w:t>定员50</w:t>
            </w:r>
            <w:r>
              <w:rPr>
                <w:color w:val="auto"/>
                <w:sz w:val="24"/>
              </w:rPr>
              <w:t>人</w:t>
            </w:r>
            <w:r>
              <w:rPr>
                <w:rFonts w:hint="eastAsia"/>
                <w:color w:val="auto"/>
                <w:sz w:val="24"/>
              </w:rPr>
              <w:t>（在厂区内食宿）</w:t>
            </w:r>
            <w:r>
              <w:rPr>
                <w:color w:val="auto"/>
                <w:sz w:val="24"/>
              </w:rPr>
              <w:t>，年工作时间为</w:t>
            </w:r>
            <w:r>
              <w:rPr>
                <w:rFonts w:hint="eastAsia"/>
                <w:color w:val="auto"/>
                <w:sz w:val="24"/>
              </w:rPr>
              <w:t>260</w:t>
            </w:r>
            <w:r>
              <w:rPr>
                <w:color w:val="auto"/>
                <w:sz w:val="24"/>
              </w:rPr>
              <w:t>天，</w:t>
            </w:r>
            <w:r>
              <w:rPr>
                <w:rFonts w:hint="eastAsia"/>
                <w:color w:val="auto"/>
                <w:sz w:val="24"/>
              </w:rPr>
              <w:t>3月初至11月中旬，</w:t>
            </w:r>
            <w:r>
              <w:rPr>
                <w:color w:val="auto"/>
                <w:sz w:val="24"/>
              </w:rPr>
              <w:t>每天</w:t>
            </w:r>
            <w:r>
              <w:rPr>
                <w:rFonts w:hint="eastAsia"/>
                <w:color w:val="auto"/>
                <w:sz w:val="24"/>
              </w:rPr>
              <w:t>1班，每班</w:t>
            </w:r>
            <w:r>
              <w:rPr>
                <w:color w:val="auto"/>
                <w:sz w:val="24"/>
              </w:rPr>
              <w:t>8</w:t>
            </w:r>
            <w:r>
              <w:rPr>
                <w:rFonts w:hint="eastAsia"/>
                <w:color w:val="auto"/>
                <w:sz w:val="24"/>
              </w:rPr>
              <w:t>h</w:t>
            </w:r>
            <w:r>
              <w:rPr>
                <w:color w:val="auto"/>
                <w:sz w:val="24"/>
              </w:rPr>
              <w:t>。</w:t>
            </w:r>
          </w:p>
          <w:p>
            <w:pPr>
              <w:adjustRightInd w:val="0"/>
              <w:snapToGrid w:val="0"/>
              <w:spacing w:line="520" w:lineRule="exact"/>
              <w:ind w:firstLine="482" w:firstLineChars="200"/>
              <w:rPr>
                <w:color w:val="auto"/>
                <w:sz w:val="24"/>
                <w:highlight w:val="none"/>
              </w:rPr>
            </w:pPr>
            <w:r>
              <w:rPr>
                <w:rFonts w:hint="eastAsia"/>
                <w:b/>
                <w:bCs/>
                <w:color w:val="auto"/>
                <w:sz w:val="24"/>
                <w:highlight w:val="none"/>
              </w:rPr>
              <w:t>9</w:t>
            </w:r>
            <w:r>
              <w:rPr>
                <w:b/>
                <w:bCs/>
                <w:color w:val="auto"/>
                <w:sz w:val="24"/>
                <w:highlight w:val="none"/>
              </w:rPr>
              <w:t>、项目平面布置</w:t>
            </w:r>
          </w:p>
          <w:p>
            <w:pPr>
              <w:adjustRightInd w:val="0"/>
              <w:snapToGrid w:val="0"/>
              <w:spacing w:line="520" w:lineRule="exact"/>
              <w:ind w:firstLine="480" w:firstLineChars="200"/>
              <w:rPr>
                <w:color w:val="auto"/>
                <w:sz w:val="24"/>
                <w:highlight w:val="none"/>
              </w:rPr>
            </w:pPr>
            <w:r>
              <w:rPr>
                <w:rFonts w:hint="eastAsia"/>
                <w:color w:val="auto"/>
                <w:sz w:val="24"/>
                <w:highlight w:val="none"/>
              </w:rPr>
              <w:t>项目结合厂区使用性质，建筑布局以及路网的设置，将厂区进行规划设计。</w:t>
            </w:r>
          </w:p>
          <w:p>
            <w:pPr>
              <w:adjustRightInd w:val="0"/>
              <w:snapToGrid w:val="0"/>
              <w:spacing w:line="520" w:lineRule="exact"/>
              <w:rPr>
                <w:rFonts w:hint="default" w:eastAsia="宋体"/>
                <w:color w:val="auto"/>
                <w:sz w:val="24"/>
                <w:highlight w:val="none"/>
                <w:lang w:val="en-US" w:eastAsia="zh-CN"/>
              </w:rPr>
            </w:pPr>
            <w:r>
              <w:rPr>
                <w:rFonts w:hint="eastAsia"/>
                <w:color w:val="auto"/>
                <w:sz w:val="24"/>
                <w:highlight w:val="none"/>
                <w:lang w:val="en-US" w:eastAsia="zh-CN"/>
              </w:rPr>
              <w:t>混凝土生产线位于项目区西北侧，预制构件生产线紧邻混凝土生产线东侧布置。办公及宿舍位于项目区东南角，厂区南侧即东侧各设置有一个进出口，方便物料的运输，项目区南侧主要布置库房及绿化、检修车间等。</w:t>
            </w:r>
          </w:p>
          <w:p>
            <w:pPr>
              <w:adjustRightInd w:val="0"/>
              <w:snapToGrid w:val="0"/>
              <w:spacing w:line="520" w:lineRule="exact"/>
              <w:ind w:firstLine="480" w:firstLineChars="200"/>
              <w:rPr>
                <w:color w:val="auto"/>
                <w:sz w:val="24"/>
                <w:highlight w:val="none"/>
              </w:rPr>
            </w:pPr>
            <w:r>
              <w:rPr>
                <w:rFonts w:hint="eastAsia"/>
                <w:color w:val="auto"/>
                <w:sz w:val="24"/>
                <w:highlight w:val="none"/>
              </w:rPr>
              <w:t>从项目平面布置分析，本项目总图布置</w:t>
            </w:r>
            <w:r>
              <w:rPr>
                <w:rFonts w:hint="eastAsia"/>
                <w:color w:val="auto"/>
                <w:sz w:val="24"/>
                <w:highlight w:val="none"/>
                <w:lang w:val="en-US" w:eastAsia="zh-CN"/>
              </w:rPr>
              <w:t>通过</w:t>
            </w:r>
            <w:r>
              <w:rPr>
                <w:rFonts w:hint="eastAsia"/>
                <w:color w:val="auto"/>
                <w:sz w:val="24"/>
                <w:highlight w:val="none"/>
              </w:rPr>
              <w:t>合理的布置路网，绿化作为辅助，将各个建筑功能分开，相互不产生干扰。更利于厂区生产流程的有序进行，项目区常年主导风向为西风，项目</w:t>
            </w:r>
            <w:r>
              <w:rPr>
                <w:rFonts w:hint="eastAsia"/>
                <w:color w:val="auto"/>
                <w:sz w:val="24"/>
                <w:highlight w:val="none"/>
                <w:lang w:val="en-US" w:eastAsia="zh-CN"/>
              </w:rPr>
              <w:t>办公</w:t>
            </w:r>
            <w:r>
              <w:rPr>
                <w:rFonts w:hint="eastAsia"/>
                <w:color w:val="auto"/>
                <w:sz w:val="24"/>
                <w:highlight w:val="none"/>
              </w:rPr>
              <w:t>用房</w:t>
            </w:r>
            <w:r>
              <w:rPr>
                <w:rFonts w:hint="eastAsia"/>
                <w:color w:val="auto"/>
                <w:sz w:val="24"/>
                <w:highlight w:val="none"/>
                <w:lang w:val="en-US" w:eastAsia="zh-CN"/>
              </w:rPr>
              <w:t>及宿舍均已</w:t>
            </w:r>
            <w:r>
              <w:rPr>
                <w:rFonts w:hint="eastAsia"/>
                <w:color w:val="auto"/>
                <w:sz w:val="24"/>
                <w:highlight w:val="none"/>
              </w:rPr>
              <w:t>布置在生产区</w:t>
            </w:r>
            <w:r>
              <w:rPr>
                <w:rFonts w:hint="eastAsia"/>
                <w:color w:val="auto"/>
                <w:sz w:val="24"/>
                <w:highlight w:val="none"/>
                <w:lang w:val="en-US" w:eastAsia="zh-CN"/>
              </w:rPr>
              <w:t>侧</w:t>
            </w:r>
            <w:r>
              <w:rPr>
                <w:rFonts w:hint="eastAsia"/>
                <w:color w:val="auto"/>
                <w:sz w:val="24"/>
                <w:highlight w:val="none"/>
              </w:rPr>
              <w:t>风向，项目平面布置较为合理。</w:t>
            </w:r>
          </w:p>
          <w:p>
            <w:pPr>
              <w:adjustRightInd w:val="0"/>
              <w:snapToGrid w:val="0"/>
              <w:spacing w:line="520" w:lineRule="exact"/>
              <w:ind w:firstLine="480" w:firstLineChars="200"/>
              <w:rPr>
                <w:color w:val="auto"/>
                <w:sz w:val="24"/>
                <w:highlight w:val="none"/>
              </w:rPr>
            </w:pPr>
            <w:r>
              <w:rPr>
                <w:rFonts w:hint="eastAsia"/>
                <w:color w:val="auto"/>
                <w:sz w:val="24"/>
                <w:highlight w:val="none"/>
              </w:rPr>
              <w:t>项目总平面布置见附图4。</w:t>
            </w:r>
          </w:p>
          <w:p>
            <w:pPr>
              <w:pStyle w:val="43"/>
              <w:ind w:firstLine="0" w:firstLineChars="0"/>
              <w:jc w:val="center"/>
              <w:rPr>
                <w:color w:val="auto"/>
              </w:rPr>
            </w:pPr>
          </w:p>
          <w:p>
            <w:pPr>
              <w:pStyle w:val="43"/>
              <w:ind w:firstLine="0" w:firstLineChars="0"/>
              <w:jc w:val="center"/>
              <w:rPr>
                <w:color w:val="auto"/>
              </w:rPr>
            </w:pPr>
          </w:p>
          <w:p>
            <w:pPr>
              <w:pStyle w:val="43"/>
              <w:ind w:firstLine="0" w:firstLineChars="0"/>
              <w:jc w:val="both"/>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8" w:type="dxa"/>
            <w:vAlign w:val="center"/>
          </w:tcPr>
          <w:p>
            <w:pPr>
              <w:pStyle w:val="26"/>
              <w:adjustRightInd w:val="0"/>
              <w:snapToGrid w:val="0"/>
              <w:spacing w:before="0" w:beforeAutospacing="0" w:after="0" w:afterAutospacing="0"/>
              <w:jc w:val="center"/>
              <w:rPr>
                <w:rFonts w:ascii="Times New Roman" w:hAnsi="Times New Roman"/>
                <w:color w:val="auto"/>
                <w:szCs w:val="24"/>
              </w:rPr>
            </w:pPr>
            <w:r>
              <w:rPr>
                <w:rFonts w:ascii="Times New Roman" w:hAnsi="Times New Roman"/>
                <w:color w:val="auto"/>
                <w:szCs w:val="24"/>
              </w:rPr>
              <w:t>工艺流程和产排污环节</w:t>
            </w:r>
          </w:p>
        </w:tc>
        <w:tc>
          <w:tcPr>
            <w:tcW w:w="8382" w:type="dxa"/>
          </w:tcPr>
          <w:p>
            <w:pPr>
              <w:adjustRightInd w:val="0"/>
              <w:snapToGrid w:val="0"/>
              <w:spacing w:line="520" w:lineRule="exact"/>
              <w:ind w:firstLine="482" w:firstLineChars="200"/>
              <w:rPr>
                <w:b/>
                <w:bCs/>
                <w:color w:val="auto"/>
                <w:sz w:val="24"/>
              </w:rPr>
            </w:pPr>
            <w:r>
              <w:rPr>
                <w:b/>
                <w:bCs/>
                <w:color w:val="auto"/>
                <w:sz w:val="24"/>
              </w:rPr>
              <w:t>1、施工期</w:t>
            </w:r>
          </w:p>
          <w:p>
            <w:pPr>
              <w:adjustRightInd w:val="0"/>
              <w:snapToGrid w:val="0"/>
              <w:spacing w:line="520" w:lineRule="exact"/>
              <w:ind w:firstLine="480" w:firstLineChars="200"/>
              <w:rPr>
                <w:color w:val="auto"/>
                <w:sz w:val="24"/>
              </w:rPr>
            </w:pPr>
            <w:r>
              <w:rPr>
                <w:color w:val="auto"/>
                <w:sz w:val="24"/>
              </w:rPr>
              <w:t>施工期间平整场地、建筑物建设、设备安装等，不可避免的对项目区所在地周围环境产生一定的影响。施工期主要是产生噪声、扬尘、固体废弃物（生活垃圾、建筑垃圾）等。</w:t>
            </w:r>
          </w:p>
          <w:p>
            <w:pPr>
              <w:pStyle w:val="64"/>
              <w:spacing w:line="240" w:lineRule="auto"/>
              <w:jc w:val="center"/>
              <w:rPr>
                <w:rFonts w:hAnsi="Times New Roman" w:eastAsia="黑体"/>
                <w:b w:val="0"/>
                <w:bCs w:val="0"/>
                <w:color w:val="auto"/>
                <w:szCs w:val="24"/>
              </w:rPr>
            </w:pPr>
            <w:r>
              <w:rPr>
                <w:rFonts w:hAnsi="Times New Roman" w:eastAsia="黑体"/>
                <w:color w:val="auto"/>
                <w:szCs w:val="24"/>
              </w:rPr>
              <w:pict>
                <v:shape id="对象 101" o:spid="_x0000_s2051" o:spt="75" type="#_x0000_t75" style="position:absolute;left:0pt;margin-left:1.35pt;margin-top:8.7pt;height:69pt;width:408.05pt;mso-wrap-distance-bottom:0pt;mso-wrap-distance-left:9pt;mso-wrap-distance-right:9pt;mso-wrap-distance-top:0pt;z-index:251781120;mso-width-relative:page;mso-height-relative:page;" o:ole="t" filled="f" o:preferrelative="t" stroked="f" coordsize="21600,21600">
                  <v:path/>
                  <v:fill on="f" focussize="0,0"/>
                  <v:stroke on="f" joinstyle="miter"/>
                  <v:imagedata r:id="rId10" o:title=""/>
                  <o:lock v:ext="edit" aspectratio="f"/>
                  <w10:wrap type="square"/>
                </v:shape>
                <o:OLEObject Type="Embed" ProgID="Visio.Drawing.11" ShapeID="对象 101" DrawAspect="Content" ObjectID="_1468075726" r:id="rId9">
                  <o:LockedField>false</o:LockedField>
                </o:OLEObject>
              </w:pict>
            </w:r>
            <w:r>
              <w:rPr>
                <w:rFonts w:hint="eastAsia" w:hAnsi="Times New Roman" w:eastAsia="黑体"/>
                <w:b w:val="0"/>
                <w:bCs w:val="0"/>
                <w:color w:val="auto"/>
                <w:szCs w:val="24"/>
              </w:rPr>
              <w:t>图2-</w:t>
            </w:r>
            <w:r>
              <w:rPr>
                <w:rFonts w:hint="eastAsia" w:hAnsi="Times New Roman" w:eastAsia="黑体"/>
                <w:b w:val="0"/>
                <w:bCs w:val="0"/>
                <w:color w:val="auto"/>
                <w:szCs w:val="24"/>
                <w:lang w:val="en-US" w:eastAsia="zh-CN"/>
              </w:rPr>
              <w:t>3</w:t>
            </w:r>
            <w:r>
              <w:rPr>
                <w:rFonts w:hint="eastAsia" w:hAnsi="Times New Roman" w:eastAsia="黑体"/>
                <w:b w:val="0"/>
                <w:bCs w:val="0"/>
                <w:color w:val="auto"/>
                <w:szCs w:val="24"/>
              </w:rPr>
              <w:t xml:space="preserve">    施工期工艺流程及产污环节分析</w:t>
            </w:r>
          </w:p>
          <w:p>
            <w:pPr>
              <w:adjustRightInd w:val="0"/>
              <w:snapToGrid w:val="0"/>
              <w:spacing w:line="520" w:lineRule="exact"/>
              <w:ind w:firstLine="480" w:firstLineChars="200"/>
              <w:rPr>
                <w:color w:val="auto"/>
                <w:sz w:val="24"/>
              </w:rPr>
            </w:pPr>
            <w:r>
              <w:rPr>
                <w:color w:val="auto"/>
                <w:sz w:val="24"/>
              </w:rPr>
              <w:t>建设过程中的挖掘、堆放、清运、回填和场地平整等过程会造成生态破坏；建筑材料水泥、白灰、砂子以及土方等在其装卸、运输、堆放、车辆来往、施工垃圾及清运等过程均会产生扬尘污染、机械尾气；各种施工机械设备运行时会产生噪声。</w:t>
            </w:r>
          </w:p>
          <w:p>
            <w:pPr>
              <w:adjustRightInd w:val="0"/>
              <w:snapToGrid w:val="0"/>
              <w:spacing w:line="520" w:lineRule="exact"/>
              <w:ind w:firstLine="482" w:firstLineChars="200"/>
              <w:rPr>
                <w:b/>
                <w:bCs/>
                <w:color w:val="auto"/>
                <w:sz w:val="24"/>
              </w:rPr>
            </w:pPr>
            <w:r>
              <w:rPr>
                <w:b/>
                <w:bCs/>
                <w:color w:val="auto"/>
                <w:sz w:val="24"/>
              </w:rPr>
              <w:t>2、运营期</w:t>
            </w:r>
          </w:p>
          <w:p>
            <w:pPr>
              <w:pStyle w:val="69"/>
              <w:ind w:firstLine="482"/>
              <w:rPr>
                <w:b/>
                <w:bCs/>
                <w:color w:val="auto"/>
              </w:rPr>
            </w:pPr>
            <w:r>
              <w:rPr>
                <w:rFonts w:hint="eastAsia"/>
                <w:b/>
                <w:bCs/>
                <w:color w:val="auto"/>
              </w:rPr>
              <w:t>2</w:t>
            </w:r>
            <w:r>
              <w:rPr>
                <w:b/>
                <w:bCs/>
                <w:color w:val="auto"/>
              </w:rPr>
              <w:t>.1</w:t>
            </w:r>
            <w:r>
              <w:rPr>
                <w:rFonts w:hint="eastAsia"/>
                <w:b/>
                <w:bCs/>
                <w:color w:val="auto"/>
              </w:rPr>
              <w:t>运营期工艺流程</w:t>
            </w:r>
          </w:p>
          <w:p>
            <w:pPr>
              <w:pStyle w:val="69"/>
              <w:ind w:firstLine="482"/>
              <w:rPr>
                <w:b/>
                <w:bCs/>
                <w:color w:val="auto"/>
              </w:rPr>
            </w:pPr>
            <w:r>
              <w:rPr>
                <w:rFonts w:hint="eastAsia"/>
                <w:b/>
                <w:bCs/>
                <w:color w:val="auto"/>
              </w:rPr>
              <w:t>（1）商品混凝土生产线</w:t>
            </w:r>
          </w:p>
          <w:p>
            <w:pPr>
              <w:autoSpaceDE w:val="0"/>
              <w:autoSpaceDN w:val="0"/>
              <w:adjustRightInd w:val="0"/>
              <w:spacing w:line="520" w:lineRule="exact"/>
              <w:ind w:firstLine="480" w:firstLineChars="200"/>
              <w:rPr>
                <w:color w:val="auto"/>
                <w:sz w:val="24"/>
              </w:rPr>
            </w:pPr>
            <w:r>
              <w:rPr>
                <w:color w:val="auto"/>
                <w:sz w:val="24"/>
              </w:rPr>
              <w:t>项目</w:t>
            </w:r>
            <w:r>
              <w:rPr>
                <w:rFonts w:hint="eastAsia"/>
                <w:color w:val="auto"/>
                <w:sz w:val="24"/>
              </w:rPr>
              <w:t>商品混凝土生产线</w:t>
            </w:r>
            <w:r>
              <w:rPr>
                <w:color w:val="auto"/>
                <w:sz w:val="24"/>
              </w:rPr>
              <w:t>原料包括石料、水泥、</w:t>
            </w:r>
            <w:r>
              <w:rPr>
                <w:rFonts w:hint="eastAsia"/>
                <w:color w:val="auto"/>
                <w:sz w:val="24"/>
              </w:rPr>
              <w:t>水洗砂</w:t>
            </w:r>
            <w:r>
              <w:rPr>
                <w:color w:val="auto"/>
                <w:sz w:val="24"/>
              </w:rPr>
              <w:t>、粉煤灰、</w:t>
            </w:r>
            <w:r>
              <w:rPr>
                <w:rFonts w:hint="eastAsia"/>
                <w:color w:val="auto"/>
                <w:sz w:val="24"/>
              </w:rPr>
              <w:t>矿粉、</w:t>
            </w:r>
            <w:r>
              <w:rPr>
                <w:color w:val="auto"/>
                <w:sz w:val="24"/>
              </w:rPr>
              <w:t>外加剂和水。其中</w:t>
            </w:r>
            <w:r>
              <w:rPr>
                <w:rFonts w:hint="eastAsia"/>
                <w:color w:val="auto"/>
                <w:sz w:val="24"/>
              </w:rPr>
              <w:t>中石子、小石子</w:t>
            </w:r>
            <w:r>
              <w:rPr>
                <w:color w:val="auto"/>
                <w:sz w:val="24"/>
              </w:rPr>
              <w:t>、</w:t>
            </w:r>
            <w:r>
              <w:rPr>
                <w:rFonts w:hint="eastAsia"/>
                <w:color w:val="auto"/>
                <w:sz w:val="24"/>
              </w:rPr>
              <w:t>水洗砂</w:t>
            </w:r>
            <w:r>
              <w:rPr>
                <w:color w:val="auto"/>
                <w:sz w:val="24"/>
              </w:rPr>
              <w:t>存于</w:t>
            </w:r>
            <w:r>
              <w:rPr>
                <w:rFonts w:hint="eastAsia"/>
                <w:color w:val="auto"/>
                <w:sz w:val="24"/>
              </w:rPr>
              <w:t>半</w:t>
            </w:r>
            <w:r>
              <w:rPr>
                <w:color w:val="auto"/>
                <w:sz w:val="24"/>
              </w:rPr>
              <w:t>封闭砂石料</w:t>
            </w:r>
            <w:r>
              <w:rPr>
                <w:rFonts w:hint="eastAsia"/>
                <w:color w:val="auto"/>
                <w:sz w:val="24"/>
              </w:rPr>
              <w:t>储料</w:t>
            </w:r>
            <w:r>
              <w:rPr>
                <w:rFonts w:hint="eastAsia"/>
                <w:color w:val="auto"/>
                <w:sz w:val="24"/>
                <w:lang w:val="en-US" w:eastAsia="zh-CN"/>
              </w:rPr>
              <w:t>库</w:t>
            </w:r>
            <w:r>
              <w:rPr>
                <w:color w:val="auto"/>
                <w:sz w:val="24"/>
              </w:rPr>
              <w:t>；粉料水泥、</w:t>
            </w:r>
            <w:r>
              <w:rPr>
                <w:rFonts w:hint="eastAsia"/>
                <w:color w:val="auto"/>
                <w:sz w:val="24"/>
              </w:rPr>
              <w:t>矿粉、</w:t>
            </w:r>
            <w:r>
              <w:rPr>
                <w:color w:val="auto"/>
                <w:sz w:val="24"/>
              </w:rPr>
              <w:t>粉煤灰等由外购厂家罐车直接送与场内筒仓储存，粉料一般采用散装水泥输送车将粉料吹气送入仓内。散装水泥车的输送管路与水泥仓的进料管道相接，通过散装水泥车的气体压力将罐内水泥输送到水泥仓内。通过料位可以观察到仓满和缺料。具体工艺流程如下：</w:t>
            </w:r>
          </w:p>
          <w:p>
            <w:pPr>
              <w:autoSpaceDE w:val="0"/>
              <w:autoSpaceDN w:val="0"/>
              <w:adjustRightInd w:val="0"/>
              <w:spacing w:line="520" w:lineRule="exact"/>
              <w:ind w:firstLine="480" w:firstLineChars="200"/>
              <w:rPr>
                <w:color w:val="auto"/>
                <w:sz w:val="24"/>
              </w:rPr>
            </w:pPr>
            <w:r>
              <w:rPr>
                <w:color w:val="auto"/>
                <w:sz w:val="24"/>
              </w:rPr>
              <w:t>原材料准备：项目</w:t>
            </w:r>
            <w:r>
              <w:rPr>
                <w:rFonts w:hint="eastAsia"/>
                <w:color w:val="auto"/>
                <w:sz w:val="24"/>
              </w:rPr>
              <w:t>中石子</w:t>
            </w:r>
            <w:r>
              <w:rPr>
                <w:color w:val="auto"/>
                <w:sz w:val="24"/>
              </w:rPr>
              <w:t>、</w:t>
            </w:r>
            <w:r>
              <w:rPr>
                <w:rFonts w:hint="eastAsia"/>
                <w:color w:val="auto"/>
                <w:sz w:val="24"/>
              </w:rPr>
              <w:t>水洗砂</w:t>
            </w:r>
            <w:r>
              <w:rPr>
                <w:color w:val="auto"/>
                <w:sz w:val="24"/>
              </w:rPr>
              <w:t>等物料在装车后通过遮盖密封运输到</w:t>
            </w:r>
            <w:r>
              <w:rPr>
                <w:rFonts w:hint="eastAsia"/>
                <w:color w:val="auto"/>
                <w:sz w:val="24"/>
              </w:rPr>
              <w:t>砂石料仓</w:t>
            </w:r>
            <w:r>
              <w:rPr>
                <w:color w:val="auto"/>
                <w:sz w:val="24"/>
              </w:rPr>
              <w:t>，装卸过程中会产生有少量粉尘；水泥</w:t>
            </w:r>
            <w:r>
              <w:rPr>
                <w:rFonts w:hint="eastAsia"/>
                <w:color w:val="auto"/>
                <w:sz w:val="24"/>
              </w:rPr>
              <w:t>及粉煤灰</w:t>
            </w:r>
            <w:r>
              <w:rPr>
                <w:color w:val="auto"/>
                <w:sz w:val="24"/>
              </w:rPr>
              <w:t>由封闭的罐车运到厂内由密闭的管道进入搅拌站，粉料在装料时能够顺利打入</w:t>
            </w:r>
            <w:r>
              <w:rPr>
                <w:rFonts w:hint="eastAsia"/>
                <w:color w:val="auto"/>
                <w:sz w:val="24"/>
              </w:rPr>
              <w:t>料仓</w:t>
            </w:r>
            <w:r>
              <w:rPr>
                <w:color w:val="auto"/>
                <w:sz w:val="24"/>
              </w:rPr>
              <w:t>内，料仓仓顶设有呼吸口，从呼吸口排出的空气含有大量粉尘；所需的水由水泵</w:t>
            </w:r>
            <w:r>
              <w:rPr>
                <w:rFonts w:hint="eastAsia"/>
                <w:color w:val="auto"/>
                <w:sz w:val="24"/>
              </w:rPr>
              <w:t>将</w:t>
            </w:r>
            <w:r>
              <w:rPr>
                <w:color w:val="auto"/>
                <w:sz w:val="24"/>
              </w:rPr>
              <w:t>水池的水抽入称量箱称量，称好的水由增压泵抽出经喷水器喷入搅拌机；液态外加剂通过泵送至外加剂仓，所需外加剂由称量箱称重后投入水箱经喷水器喷入搅拌机。</w:t>
            </w:r>
          </w:p>
          <w:p>
            <w:pPr>
              <w:autoSpaceDE w:val="0"/>
              <w:autoSpaceDN w:val="0"/>
              <w:adjustRightInd w:val="0"/>
              <w:spacing w:line="520" w:lineRule="exact"/>
              <w:ind w:firstLine="480" w:firstLineChars="200"/>
              <w:rPr>
                <w:color w:val="auto"/>
                <w:sz w:val="24"/>
              </w:rPr>
            </w:pPr>
            <w:r>
              <w:rPr>
                <w:color w:val="auto"/>
                <w:sz w:val="24"/>
              </w:rPr>
              <w:t>电脑自动控制计量：按配方规定的材料品种、规格配料；根据生产需要，确保一定的库存。用计算机远程控制计量，实现自动化计量。</w:t>
            </w:r>
          </w:p>
          <w:p>
            <w:pPr>
              <w:autoSpaceDE w:val="0"/>
              <w:autoSpaceDN w:val="0"/>
              <w:adjustRightInd w:val="0"/>
              <w:spacing w:line="520" w:lineRule="exact"/>
              <w:ind w:firstLine="480" w:firstLineChars="200"/>
              <w:rPr>
                <w:color w:val="auto"/>
                <w:sz w:val="24"/>
              </w:rPr>
            </w:pPr>
            <w:r>
              <w:rPr>
                <w:color w:val="auto"/>
                <w:sz w:val="24"/>
              </w:rPr>
              <w:t>搅拌：生产进料时砂石等物料按一定比例通过密闭的输送带进入搅拌站，产出混凝土，搅拌站采用全封闭结构。此工序主要污染物为粉尘及噪声。</w:t>
            </w:r>
          </w:p>
          <w:p>
            <w:pPr>
              <w:autoSpaceDE w:val="0"/>
              <w:autoSpaceDN w:val="0"/>
              <w:adjustRightInd w:val="0"/>
              <w:spacing w:line="520" w:lineRule="exact"/>
              <w:ind w:firstLine="480" w:firstLineChars="200"/>
              <w:rPr>
                <w:color w:val="auto"/>
                <w:sz w:val="24"/>
              </w:rPr>
            </w:pPr>
            <w:r>
              <w:rPr>
                <w:color w:val="auto"/>
                <w:sz w:val="24"/>
              </w:rPr>
              <w:t>出料运输：搅拌后的混凝土通过取样检验合格后即可为商品混凝土，将商品混凝土装入混凝土搅拌车中外送。</w:t>
            </w:r>
          </w:p>
          <w:p>
            <w:pPr>
              <w:autoSpaceDE w:val="0"/>
              <w:autoSpaceDN w:val="0"/>
              <w:adjustRightInd w:val="0"/>
              <w:spacing w:line="520" w:lineRule="exact"/>
              <w:ind w:firstLine="480" w:firstLineChars="200"/>
              <w:rPr>
                <w:color w:val="auto"/>
                <w:sz w:val="24"/>
              </w:rPr>
            </w:pPr>
            <w:r>
              <w:rPr>
                <w:color w:val="auto"/>
                <w:sz w:val="24"/>
              </w:rPr>
              <w:t>运输车辆及罐体的清洗：运输原料、混凝土进入厂区卸料、装料完成出厂前，必须对车胎、车身进行冲洗，防止车胎、车身携带的砂石、混凝土在运输过程中对环境产生二次污染。冲车和洗罐时会产生废混凝土。企业收集后由铲车送至混凝土分离机，进行清洗、分离。分离后的砂石返回料场内回用，清洗后的废水作为冲洗水循环应用，沉渣回用至工艺。</w:t>
            </w:r>
          </w:p>
          <w:p>
            <w:pPr>
              <w:pStyle w:val="69"/>
              <w:rPr>
                <w:color w:val="auto"/>
              </w:rPr>
            </w:pPr>
            <w:r>
              <w:rPr>
                <w:rFonts w:hint="eastAsia"/>
                <w:color w:val="auto"/>
              </w:rPr>
              <w:t>商品混凝土生产线</w:t>
            </w:r>
            <w:r>
              <w:rPr>
                <w:color w:val="auto"/>
              </w:rPr>
              <w:t>工艺流程及产污环节详见下图。</w:t>
            </w:r>
          </w:p>
          <w:p>
            <w:pPr>
              <w:pStyle w:val="69"/>
              <w:rPr>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3636645</wp:posOffset>
                      </wp:positionH>
                      <wp:positionV relativeFrom="paragraph">
                        <wp:posOffset>271780</wp:posOffset>
                      </wp:positionV>
                      <wp:extent cx="542290" cy="438150"/>
                      <wp:effectExtent l="0" t="0" r="0" b="0"/>
                      <wp:wrapNone/>
                      <wp:docPr id="96" name="Rectangle 1316"/>
                      <wp:cNvGraphicFramePr/>
                      <a:graphic xmlns:a="http://schemas.openxmlformats.org/drawingml/2006/main">
                        <a:graphicData uri="http://schemas.microsoft.com/office/word/2010/wordprocessingShape">
                          <wps:wsp>
                            <wps:cNvSpPr>
                              <a:spLocks noChangeArrowheads="1"/>
                            </wps:cNvSpPr>
                            <wps:spPr bwMode="auto">
                              <a:xfrm>
                                <a:off x="0" y="0"/>
                                <a:ext cx="542290" cy="438150"/>
                              </a:xfrm>
                              <a:prstGeom prst="rect">
                                <a:avLst/>
                              </a:prstGeom>
                              <a:noFill/>
                              <a:ln>
                                <a:noFill/>
                              </a:ln>
                            </wps:spPr>
                            <wps:txbx>
                              <w:txbxContent>
                                <w:p>
                                  <w:r>
                                    <w:rPr>
                                      <w:rFonts w:hint="eastAsia"/>
                                    </w:rPr>
                                    <w:t>外购</w:t>
                                  </w:r>
                                </w:p>
                                <w:p>
                                  <w:r>
                                    <w:rPr>
                                      <w:rFonts w:hint="eastAsia"/>
                                    </w:rPr>
                                    <w:t>水泥</w:t>
                                  </w:r>
                                </w:p>
                              </w:txbxContent>
                            </wps:txbx>
                            <wps:bodyPr rot="0" vert="horz" wrap="square" lIns="91440" tIns="45720" rIns="91440" bIns="45720" anchor="t" anchorCtr="0" upright="1">
                              <a:noAutofit/>
                            </wps:bodyPr>
                          </wps:wsp>
                        </a:graphicData>
                      </a:graphic>
                    </wp:anchor>
                  </w:drawing>
                </mc:Choice>
                <mc:Fallback>
                  <w:pict>
                    <v:rect id="Rectangle 1316" o:spid="_x0000_s1026" o:spt="1" style="position:absolute;left:0pt;margin-left:286.35pt;margin-top:21.4pt;height:34.5pt;width:42.7pt;z-index:251681792;mso-width-relative:page;mso-height-relative:page;" filled="f" stroked="f" coordsize="21600,21600" o:gfxdata="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dmWAfaAAAACgEAAA8AAAAAAAAAAQAgAAAAIgAA&#10;AGRycy9kb3ducmV2LnhtbFBLAQIUABQAAAAIAIdO4kD3N4tJBgIAAA4EAAAOAAAAAAAAAAEAIAAA&#10;ACkBAABkcnMvZTJvRG9jLnhtbFBLBQYAAAAABgAGAFkBAAChBQAAAAA=&#10;">
                      <v:fill on="f" focussize="0,0"/>
                      <v:stroke on="f"/>
                      <v:imagedata o:title=""/>
                      <o:lock v:ext="edit" aspectratio="f"/>
                      <v:textbox>
                        <w:txbxContent>
                          <w:p>
                            <w:r>
                              <w:rPr>
                                <w:rFonts w:hint="eastAsia"/>
                              </w:rPr>
                              <w:t>外购</w:t>
                            </w:r>
                          </w:p>
                          <w:p>
                            <w:r>
                              <w:rPr>
                                <w:rFonts w:hint="eastAsia"/>
                              </w:rPr>
                              <w:t>水泥</w:t>
                            </w:r>
                          </w:p>
                        </w:txbxContent>
                      </v:textbox>
                    </v:rect>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10160</wp:posOffset>
                      </wp:positionV>
                      <wp:extent cx="5143500" cy="3590290"/>
                      <wp:effectExtent l="9525" t="9525" r="9525" b="19685"/>
                      <wp:wrapNone/>
                      <wp:docPr id="136" name="矩形 136"/>
                      <wp:cNvGraphicFramePr/>
                      <a:graphic xmlns:a="http://schemas.openxmlformats.org/drawingml/2006/main">
                        <a:graphicData uri="http://schemas.microsoft.com/office/word/2010/wordprocessingShape">
                          <wps:wsp>
                            <wps:cNvSpPr/>
                            <wps:spPr>
                              <a:xfrm>
                                <a:off x="1432560" y="5065395"/>
                                <a:ext cx="5143500" cy="35902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pt;margin-top:0.8pt;height:282.7pt;width:405pt;z-index:251660288;v-text-anchor:middle;mso-width-relative:page;mso-height-relative:page;" filled="f" stroked="t" coordsize="21600,21600" o:gfxdata="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ziJpdUAAAAHAQAADwAAAAAAAAABACAAAAAiAAAAZHJzL2Rvd25yZXYu&#10;eG1sUEsBAhQAFAAAAAgAh07iQHvAOK5wAgAA0AQAAA4AAAAAAAAAAQAgAAAAJAEAAGRycy9lMm9E&#10;b2MueG1sUEsFBgAAAAAGAAYAWQEAAAYGAAAAAA==&#10;">
                      <v:fill on="f" focussize="0,0"/>
                      <v:stroke weight="1.5pt" color="#000000 [3213]" joinstyle="round"/>
                      <v:imagedata o:title=""/>
                      <o:lock v:ext="edit" aspectratio="f"/>
                      <v:textbox>
                        <w:txbxContent>
                          <w:p/>
                        </w:txbxContent>
                      </v:textbox>
                    </v:rect>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1407795</wp:posOffset>
                      </wp:positionH>
                      <wp:positionV relativeFrom="paragraph">
                        <wp:posOffset>26035</wp:posOffset>
                      </wp:positionV>
                      <wp:extent cx="533400" cy="276225"/>
                      <wp:effectExtent l="0" t="0" r="0" b="1270"/>
                      <wp:wrapNone/>
                      <wp:docPr id="97" name="Rectangle 1290"/>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noFill/>
                              <a:ln>
                                <a:noFill/>
                              </a:ln>
                            </wps:spPr>
                            <wps:txbx>
                              <w:txbxContent>
                                <w:p>
                                  <w:r>
                                    <w:rPr>
                                      <w:rFonts w:hint="eastAsia"/>
                                    </w:rPr>
                                    <w:t>粉尘</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110.85pt;margin-top:2.05pt;height:21.75pt;width:42pt;z-index:251674624;mso-width-relative:page;mso-height-relative:page;" filled="f" stroked="f" coordsize="21600,21600" o:gfxdata="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&#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zvP52AAAAAgBAAAPAAAAAAAAAAEAIAAAACIAAABk&#10;cnMvZG93bnJldi54bWxQSwECFAAUAAAACACHTuJA2k7eOwYCAAAOBAAADgAAAAAAAAABACAAAAAn&#10;AQAAZHJzL2Uyb0RvYy54bWxQSwUGAAAAAAYABgBZAQAAnwUAAAAA&#10;">
                      <v:fill on="f" focussize="0,0"/>
                      <v:stroke on="f"/>
                      <v:imagedata o:title=""/>
                      <o:lock v:ext="edit" aspectratio="f"/>
                      <v:textbox>
                        <w:txbxContent>
                          <w:p>
                            <w:r>
                              <w:rPr>
                                <w:rFonts w:hint="eastAsia"/>
                              </w:rPr>
                              <w:t>粉尘</w:t>
                            </w:r>
                          </w:p>
                        </w:txbxContent>
                      </v:textbox>
                    </v:rect>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1677670</wp:posOffset>
                      </wp:positionH>
                      <wp:positionV relativeFrom="paragraph">
                        <wp:posOffset>219710</wp:posOffset>
                      </wp:positionV>
                      <wp:extent cx="6350" cy="225425"/>
                      <wp:effectExtent l="36195" t="0" r="33655" b="3175"/>
                      <wp:wrapNone/>
                      <wp:docPr id="87" name="AutoShape 1302"/>
                      <wp:cNvGraphicFramePr/>
                      <a:graphic xmlns:a="http://schemas.openxmlformats.org/drawingml/2006/main">
                        <a:graphicData uri="http://schemas.microsoft.com/office/word/2010/wordprocessingShape">
                          <wps:wsp>
                            <wps:cNvCnPr>
                              <a:cxnSpLocks noChangeShapeType="1"/>
                            </wps:cNvCnPr>
                            <wps:spPr bwMode="auto">
                              <a:xfrm flipH="1" flipV="1">
                                <a:off x="0" y="0"/>
                                <a:ext cx="6350" cy="225425"/>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1302" o:spid="_x0000_s1026" o:spt="32" type="#_x0000_t32" style="position:absolute;left:0pt;flip:x y;margin-left:132.1pt;margin-top:17.3pt;height:17.75pt;width:0.5pt;z-index:251728896;mso-width-relative:page;mso-height-relative:page;" filled="f" stroked="t" coordsize="21600,21600" o:gfxdata="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s3J3aAAAACQEAAA8AAAAAAAAAAQAgAAAA&#10;IgAAAGRycy9kb3ducmV2LnhtbFBLAQIUABQAAAAIAIdO4kDj/dcECQIAABIEAAAOAAAAAAAAAAEA&#10;IAAAACkBAABkcnMvZTJvRG9jLnhtbFBLBQYAAAAABgAGAFkBAACkBQAAAAA=&#10;">
                      <v:fill on="f" focussize="0,0"/>
                      <v:stroke color="#000000" joinstyle="round" dashstyle="dash" endarrow="block"/>
                      <v:imagedata o:title=""/>
                      <o:lock v:ext="edit" aspectratio="f"/>
                    </v:shape>
                  </w:pict>
                </mc:Fallback>
              </mc:AlternateContent>
            </w:r>
          </w:p>
          <w:p>
            <w:pPr>
              <w:pStyle w:val="83"/>
              <w:ind w:firstLine="560"/>
              <w:rPr>
                <w:color w:val="auto"/>
                <w:sz w:val="24"/>
              </w:rPr>
            </w:pPr>
            <w:r>
              <w:rPr>
                <w:color w:val="auto"/>
              </w:rPr>
              <mc:AlternateContent>
                <mc:Choice Requires="wps">
                  <w:drawing>
                    <wp:anchor distT="0" distB="0" distL="114300" distR="114300" simplePos="0" relativeHeight="251730944" behindDoc="0" locked="0" layoutInCell="1" allowOverlap="1">
                      <wp:simplePos x="0" y="0"/>
                      <wp:positionH relativeFrom="column">
                        <wp:posOffset>3962400</wp:posOffset>
                      </wp:positionH>
                      <wp:positionV relativeFrom="paragraph">
                        <wp:posOffset>168910</wp:posOffset>
                      </wp:positionV>
                      <wp:extent cx="533400" cy="276225"/>
                      <wp:effectExtent l="0" t="0" r="0" b="0"/>
                      <wp:wrapNone/>
                      <wp:docPr id="119" name="Rectangle 1290"/>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noFill/>
                              <a:ln>
                                <a:noFill/>
                              </a:ln>
                            </wps:spPr>
                            <wps:txbx>
                              <w:txbxContent>
                                <w:p>
                                  <w:r>
                                    <w:rPr>
                                      <w:rFonts w:hint="eastAsia"/>
                                    </w:rPr>
                                    <w:t>粉尘</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312pt;margin-top:13.3pt;height:21.75pt;width:42pt;z-index:251730944;mso-width-relative:page;mso-height-relative:page;" filled="f" stroked="f" coordsize="21600,21600" o:gfxdata="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XiITrZAAAACQEAAA8AAAAAAAAAAQAgAAAAIgAA&#10;AGRycy9kb3ducmV2LnhtbFBLAQIUABQAAAAIAIdO4kAPTNcBBwIAAA8EAAAOAAAAAAAAAAEAIAAA&#10;ACgBAABkcnMvZTJvRG9jLnhtbFBLBQYAAAAABgAGAFkBAAChBQAAAAA=&#10;">
                      <v:fill on="f" focussize="0,0"/>
                      <v:stroke on="f"/>
                      <v:imagedata o:title=""/>
                      <o:lock v:ext="edit" aspectratio="f"/>
                      <v:textbox>
                        <w:txbxContent>
                          <w:p>
                            <w:r>
                              <w:rPr>
                                <w:rFonts w:hint="eastAsia"/>
                              </w:rPr>
                              <w:t>粉尘</w:t>
                            </w:r>
                          </w:p>
                        </w:txbxContent>
                      </v:textbox>
                    </v:rect>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3321050</wp:posOffset>
                      </wp:positionH>
                      <wp:positionV relativeFrom="paragraph">
                        <wp:posOffset>174625</wp:posOffset>
                      </wp:positionV>
                      <wp:extent cx="533400" cy="276225"/>
                      <wp:effectExtent l="0" t="0" r="0" b="0"/>
                      <wp:wrapNone/>
                      <wp:docPr id="165" name="Rectangle 1290"/>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noFill/>
                              <a:ln>
                                <a:noFill/>
                              </a:ln>
                            </wps:spPr>
                            <wps:txbx>
                              <w:txbxContent>
                                <w:p>
                                  <w:r>
                                    <w:rPr>
                                      <w:rFonts w:hint="eastAsia"/>
                                    </w:rPr>
                                    <w:t>粉尘</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261.5pt;margin-top:13.75pt;height:21.75pt;width:42pt;z-index:251773952;mso-width-relative:page;mso-height-relative:page;" filled="f" stroked="f" coordsize="21600,21600" o:gfxdata="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Bfk+2gAAAAkBAAAPAAAAAAAAAAEAIAAAACIA&#10;AABkcnMvZG93bnJldi54bWxQSwECFAAUAAAACACHTuJAotR3qgcCAAAPBAAADgAAAAAAAAABACAA&#10;AAApAQAAZHJzL2Uyb0RvYy54bWxQSwUGAAAAAAYABgBZAQAAogUAAAAA&#10;">
                      <v:fill on="f" focussize="0,0"/>
                      <v:stroke on="f"/>
                      <v:imagedata o:title=""/>
                      <o:lock v:ext="edit" aspectratio="f"/>
                      <v:textbox>
                        <w:txbxContent>
                          <w:p>
                            <w:r>
                              <w:rPr>
                                <w:rFonts w:hint="eastAsia"/>
                              </w:rPr>
                              <w:t>粉尘</w:t>
                            </w:r>
                          </w:p>
                        </w:txbxContent>
                      </v:textbox>
                    </v:rect>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2978785</wp:posOffset>
                      </wp:positionH>
                      <wp:positionV relativeFrom="paragraph">
                        <wp:posOffset>62865</wp:posOffset>
                      </wp:positionV>
                      <wp:extent cx="648335" cy="438150"/>
                      <wp:effectExtent l="0" t="0" r="0" b="0"/>
                      <wp:wrapNone/>
                      <wp:docPr id="164" name="Rectangle 1316"/>
                      <wp:cNvGraphicFramePr/>
                      <a:graphic xmlns:a="http://schemas.openxmlformats.org/drawingml/2006/main">
                        <a:graphicData uri="http://schemas.microsoft.com/office/word/2010/wordprocessingShape">
                          <wps:wsp>
                            <wps:cNvSpPr>
                              <a:spLocks noChangeArrowheads="1"/>
                            </wps:cNvSpPr>
                            <wps:spPr bwMode="auto">
                              <a:xfrm>
                                <a:off x="0" y="0"/>
                                <a:ext cx="648335" cy="438150"/>
                              </a:xfrm>
                              <a:prstGeom prst="rect">
                                <a:avLst/>
                              </a:prstGeom>
                              <a:noFill/>
                              <a:ln>
                                <a:noFill/>
                              </a:ln>
                            </wps:spPr>
                            <wps:txbx>
                              <w:txbxContent>
                                <w:p>
                                  <w:pPr>
                                    <w:jc w:val="center"/>
                                  </w:pPr>
                                  <w:r>
                                    <w:rPr>
                                      <w:rFonts w:hint="eastAsia"/>
                                    </w:rPr>
                                    <w:t>外购</w:t>
                                  </w:r>
                                </w:p>
                                <w:p>
                                  <w:pPr>
                                    <w:jc w:val="center"/>
                                  </w:pPr>
                                  <w:r>
                                    <w:rPr>
                                      <w:rFonts w:hint="eastAsia"/>
                                    </w:rPr>
                                    <w:t>矿粉</w:t>
                                  </w:r>
                                </w:p>
                              </w:txbxContent>
                            </wps:txbx>
                            <wps:bodyPr rot="0" vert="horz" wrap="square" lIns="91440" tIns="45720" rIns="91440" bIns="45720" anchor="t" anchorCtr="0" upright="1">
                              <a:noAutofit/>
                            </wps:bodyPr>
                          </wps:wsp>
                        </a:graphicData>
                      </a:graphic>
                    </wp:anchor>
                  </w:drawing>
                </mc:Choice>
                <mc:Fallback>
                  <w:pict>
                    <v:rect id="Rectangle 1316" o:spid="_x0000_s1026" o:spt="1" style="position:absolute;left:0pt;margin-left:234.55pt;margin-top:4.95pt;height:34.5pt;width:51.05pt;z-index:251772928;mso-width-relative:page;mso-height-relative:page;" filled="f" stroked="f" coordsize="21600,21600" o:gfxdata="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MVB22gAAAAgBAAAPAAAAAAAAAAEAIAAAACIA&#10;AABkcnMvZG93bnJldi54bWxQSwECFAAUAAAACACHTuJAmZSt9wcCAAAPBAAADgAAAAAAAAABACAA&#10;AAApAQAAZHJzL2Uyb0RvYy54bWxQSwUGAAAAAAYABgBZAQAAogUAAAAA&#10;">
                      <v:fill on="f" focussize="0,0"/>
                      <v:stroke on="f"/>
                      <v:imagedata o:title=""/>
                      <o:lock v:ext="edit" aspectratio="f"/>
                      <v:textbox>
                        <w:txbxContent>
                          <w:p>
                            <w:pPr>
                              <w:jc w:val="center"/>
                            </w:pPr>
                            <w:r>
                              <w:rPr>
                                <w:rFonts w:hint="eastAsia"/>
                              </w:rPr>
                              <w:t>外购</w:t>
                            </w:r>
                          </w:p>
                          <w:p>
                            <w:pPr>
                              <w:jc w:val="center"/>
                            </w:pPr>
                            <w:r>
                              <w:rPr>
                                <w:rFonts w:hint="eastAsia"/>
                              </w:rPr>
                              <w:t>矿粉</w:t>
                            </w:r>
                          </w:p>
                        </w:txbxContent>
                      </v:textbox>
                    </v:rect>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2750820</wp:posOffset>
                      </wp:positionH>
                      <wp:positionV relativeFrom="paragraph">
                        <wp:posOffset>191135</wp:posOffset>
                      </wp:positionV>
                      <wp:extent cx="533400" cy="276225"/>
                      <wp:effectExtent l="0" t="0" r="0" b="0"/>
                      <wp:wrapNone/>
                      <wp:docPr id="95" name="Rectangle 1290"/>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rect">
                                <a:avLst/>
                              </a:prstGeom>
                              <a:noFill/>
                              <a:ln>
                                <a:noFill/>
                              </a:ln>
                            </wps:spPr>
                            <wps:txbx>
                              <w:txbxContent>
                                <w:p>
                                  <w:r>
                                    <w:rPr>
                                      <w:rFonts w:hint="eastAsia"/>
                                    </w:rPr>
                                    <w:t>粉尘</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216.6pt;margin-top:15.05pt;height:21.75pt;width:42pt;z-index:251729920;mso-width-relative:page;mso-height-relative:page;" filled="f" stroked="f" coordsize="21600,21600" o:gfxdata="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meX1DaAAAACQEAAA8AAAAAAAAAAQAgAAAAIgAA&#10;AGRycy9kb3ducmV2LnhtbFBLAQIUABQAAAAIAIdO4kDjjFgqBgIAAA4EAAAOAAAAAAAAAAEAIAAA&#10;ACkBAABkcnMvZTJvRG9jLnhtbFBLBQYAAAAABgAGAFkBAAChBQAAAAA=&#10;">
                      <v:fill on="f" focussize="0,0"/>
                      <v:stroke on="f"/>
                      <v:imagedata o:title=""/>
                      <o:lock v:ext="edit" aspectratio="f"/>
                      <v:textbox>
                        <w:txbxContent>
                          <w:p>
                            <w:r>
                              <w:rPr>
                                <w:rFonts w:hint="eastAsia"/>
                              </w:rPr>
                              <w:t>粉尘</w:t>
                            </w:r>
                          </w:p>
                        </w:txbxContent>
                      </v:textbox>
                    </v:rect>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4504055</wp:posOffset>
                      </wp:positionH>
                      <wp:positionV relativeFrom="paragraph">
                        <wp:posOffset>13335</wp:posOffset>
                      </wp:positionV>
                      <wp:extent cx="628015" cy="438150"/>
                      <wp:effectExtent l="0" t="0" r="0" b="0"/>
                      <wp:wrapNone/>
                      <wp:docPr id="76" name="Rectangle 1316"/>
                      <wp:cNvGraphicFramePr/>
                      <a:graphic xmlns:a="http://schemas.openxmlformats.org/drawingml/2006/main">
                        <a:graphicData uri="http://schemas.microsoft.com/office/word/2010/wordprocessingShape">
                          <wps:wsp>
                            <wps:cNvSpPr>
                              <a:spLocks noChangeArrowheads="1"/>
                            </wps:cNvSpPr>
                            <wps:spPr bwMode="auto">
                              <a:xfrm>
                                <a:off x="0" y="0"/>
                                <a:ext cx="628015" cy="438150"/>
                              </a:xfrm>
                              <a:prstGeom prst="rect">
                                <a:avLst/>
                              </a:prstGeom>
                              <a:noFill/>
                              <a:ln>
                                <a:noFill/>
                              </a:ln>
                            </wps:spPr>
                            <wps:txbx>
                              <w:txbxContent>
                                <w:p>
                                  <w:pPr>
                                    <w:jc w:val="center"/>
                                  </w:pPr>
                                  <w:r>
                                    <w:rPr>
                                      <w:rFonts w:hint="eastAsia"/>
                                    </w:rPr>
                                    <w:t>外购</w:t>
                                  </w:r>
                                </w:p>
                                <w:p>
                                  <w:pPr>
                                    <w:jc w:val="center"/>
                                  </w:pPr>
                                  <w:r>
                                    <w:rPr>
                                      <w:rFonts w:hint="eastAsia"/>
                                    </w:rPr>
                                    <w:t>外加剂</w:t>
                                  </w:r>
                                </w:p>
                              </w:txbxContent>
                            </wps:txbx>
                            <wps:bodyPr rot="0" vert="horz" wrap="square" lIns="91440" tIns="45720" rIns="91440" bIns="45720" anchor="t" anchorCtr="0" upright="1">
                              <a:noAutofit/>
                            </wps:bodyPr>
                          </wps:wsp>
                        </a:graphicData>
                      </a:graphic>
                    </wp:anchor>
                  </w:drawing>
                </mc:Choice>
                <mc:Fallback>
                  <w:pict>
                    <v:rect id="Rectangle 1316" o:spid="_x0000_s1026" o:spt="1" style="position:absolute;left:0pt;margin-left:354.65pt;margin-top:1.05pt;height:34.5pt;width:49.45pt;z-index:251727872;mso-width-relative:page;mso-height-relative:page;" filled="f" stroked="f" coordsize="21600,21600" o:gfxdata="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&#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MygL2AAAAAgBAAAPAAAAAAAAAAEAIAAAACIAAABk&#10;cnMvZG93bnJldi54bWxQSwECFAAUAAAACACHTuJAi96RGAYCAAAOBAAADgAAAAAAAAABACAAAAAn&#10;AQAAZHJzL2Uyb0RvYy54bWxQSwUGAAAAAAYABgBZAQAAnwUAAAAA&#10;">
                      <v:fill on="f" focussize="0,0"/>
                      <v:stroke on="f"/>
                      <v:imagedata o:title=""/>
                      <o:lock v:ext="edit" aspectratio="f"/>
                      <v:textbox>
                        <w:txbxContent>
                          <w:p>
                            <w:pPr>
                              <w:jc w:val="center"/>
                            </w:pPr>
                            <w:r>
                              <w:rPr>
                                <w:rFonts w:hint="eastAsia"/>
                              </w:rPr>
                              <w:t>外购</w:t>
                            </w:r>
                          </w:p>
                          <w:p>
                            <w:pPr>
                              <w:jc w:val="center"/>
                            </w:pPr>
                            <w:r>
                              <w:rPr>
                                <w:rFonts w:hint="eastAsia"/>
                              </w:rPr>
                              <w:t>外加剂</w:t>
                            </w:r>
                          </w:p>
                        </w:txbxContent>
                      </v:textbox>
                    </v:rect>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2284095</wp:posOffset>
                      </wp:positionH>
                      <wp:positionV relativeFrom="paragraph">
                        <wp:posOffset>13335</wp:posOffset>
                      </wp:positionV>
                      <wp:extent cx="648335" cy="438150"/>
                      <wp:effectExtent l="0" t="0" r="0" b="0"/>
                      <wp:wrapNone/>
                      <wp:docPr id="70" name="Rectangle 1316"/>
                      <wp:cNvGraphicFramePr/>
                      <a:graphic xmlns:a="http://schemas.openxmlformats.org/drawingml/2006/main">
                        <a:graphicData uri="http://schemas.microsoft.com/office/word/2010/wordprocessingShape">
                          <wps:wsp>
                            <wps:cNvSpPr>
                              <a:spLocks noChangeArrowheads="1"/>
                            </wps:cNvSpPr>
                            <wps:spPr bwMode="auto">
                              <a:xfrm>
                                <a:off x="0" y="0"/>
                                <a:ext cx="648335" cy="438150"/>
                              </a:xfrm>
                              <a:prstGeom prst="rect">
                                <a:avLst/>
                              </a:prstGeom>
                              <a:noFill/>
                              <a:ln>
                                <a:noFill/>
                              </a:ln>
                            </wps:spPr>
                            <wps:txbx>
                              <w:txbxContent>
                                <w:p>
                                  <w:pPr>
                                    <w:jc w:val="center"/>
                                  </w:pPr>
                                  <w:r>
                                    <w:rPr>
                                      <w:rFonts w:hint="eastAsia"/>
                                    </w:rPr>
                                    <w:t>外购</w:t>
                                  </w:r>
                                </w:p>
                                <w:p>
                                  <w:pPr>
                                    <w:jc w:val="center"/>
                                  </w:pPr>
                                  <w:r>
                                    <w:rPr>
                                      <w:rFonts w:hint="eastAsia"/>
                                    </w:rPr>
                                    <w:t>粉煤灰</w:t>
                                  </w:r>
                                </w:p>
                              </w:txbxContent>
                            </wps:txbx>
                            <wps:bodyPr rot="0" vert="horz" wrap="square" lIns="91440" tIns="45720" rIns="91440" bIns="45720" anchor="t" anchorCtr="0" upright="1">
                              <a:noAutofit/>
                            </wps:bodyPr>
                          </wps:wsp>
                        </a:graphicData>
                      </a:graphic>
                    </wp:anchor>
                  </w:drawing>
                </mc:Choice>
                <mc:Fallback>
                  <w:pict>
                    <v:rect id="Rectangle 1316" o:spid="_x0000_s1026" o:spt="1" style="position:absolute;left:0pt;margin-left:179.85pt;margin-top:1.05pt;height:34.5pt;width:51.05pt;z-index:251726848;mso-width-relative:page;mso-height-relative:page;" filled="f" stroked="f" coordsize="21600,21600" o:gfxdata="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rII49kAAAAIAQAADwAAAAAAAAABACAAAAAiAAAA&#10;ZHJzL2Rvd25yZXYueG1sUEsBAhQAFAAAAAgAh07iQJ1mkhIGAgAADgQAAA4AAAAAAAAAAQAgAAAA&#10;KAEAAGRycy9lMm9Eb2MueG1sUEsFBgAAAAAGAAYAWQEAAKAFAAAAAA==&#10;">
                      <v:fill on="f" focussize="0,0"/>
                      <v:stroke on="f"/>
                      <v:imagedata o:title=""/>
                      <o:lock v:ext="edit" aspectratio="f"/>
                      <v:textbox>
                        <w:txbxContent>
                          <w:p>
                            <w:pPr>
                              <w:jc w:val="center"/>
                            </w:pPr>
                            <w:r>
                              <w:rPr>
                                <w:rFonts w:hint="eastAsia"/>
                              </w:rPr>
                              <w:t>外购</w:t>
                            </w:r>
                          </w:p>
                          <w:p>
                            <w:pPr>
                              <w:jc w:val="center"/>
                            </w:pPr>
                            <w:r>
                              <w:rPr>
                                <w:rFonts w:hint="eastAsia"/>
                              </w:rPr>
                              <w:t>粉煤灰</w:t>
                            </w:r>
                          </w:p>
                        </w:txbxContent>
                      </v:textbox>
                    </v:rect>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112395</wp:posOffset>
                      </wp:positionH>
                      <wp:positionV relativeFrom="paragraph">
                        <wp:posOffset>3810</wp:posOffset>
                      </wp:positionV>
                      <wp:extent cx="733425" cy="457200"/>
                      <wp:effectExtent l="0" t="0" r="0" b="0"/>
                      <wp:wrapNone/>
                      <wp:docPr id="102" name="Rectangle 1309"/>
                      <wp:cNvGraphicFramePr/>
                      <a:graphic xmlns:a="http://schemas.openxmlformats.org/drawingml/2006/main">
                        <a:graphicData uri="http://schemas.microsoft.com/office/word/2010/wordprocessingShape">
                          <wps:wsp>
                            <wps:cNvSpPr>
                              <a:spLocks noChangeArrowheads="1"/>
                            </wps:cNvSpPr>
                            <wps:spPr bwMode="auto">
                              <a:xfrm>
                                <a:off x="0" y="0"/>
                                <a:ext cx="733425" cy="457200"/>
                              </a:xfrm>
                              <a:prstGeom prst="rect">
                                <a:avLst/>
                              </a:prstGeom>
                              <a:noFill/>
                              <a:ln>
                                <a:noFill/>
                              </a:ln>
                            </wps:spPr>
                            <wps:txbx>
                              <w:txbxContent>
                                <w:p>
                                  <w:r>
                                    <w:rPr>
                                      <w:rFonts w:hint="eastAsia"/>
                                    </w:rPr>
                                    <w:t>外购石料</w:t>
                                  </w:r>
                                </w:p>
                                <w:p>
                                  <w:r>
                                    <w:rPr>
                                      <w:rFonts w:hint="eastAsia"/>
                                    </w:rPr>
                                    <w:t>、水洗砂</w:t>
                                  </w:r>
                                </w:p>
                              </w:txbxContent>
                            </wps:txbx>
                            <wps:bodyPr rot="0" vert="horz" wrap="square" lIns="91440" tIns="45720" rIns="91440" bIns="45720" anchor="t" anchorCtr="0" upright="1">
                              <a:noAutofit/>
                            </wps:bodyPr>
                          </wps:wsp>
                        </a:graphicData>
                      </a:graphic>
                    </wp:anchor>
                  </w:drawing>
                </mc:Choice>
                <mc:Fallback>
                  <w:pict>
                    <v:rect id="Rectangle 1309" o:spid="_x0000_s1026" o:spt="1" style="position:absolute;left:0pt;margin-left:8.85pt;margin-top:0.3pt;height:36pt;width:57.75pt;z-index:251679744;mso-width-relative:page;mso-height-relative:page;" filled="f" stroked="f" coordsize="21600,21600" o:gfxdata="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nUi/WAAAABgEAAA8AAAAAAAAAAQAgAAAAIgAAAGRycy9k&#10;b3ducmV2LnhtbFBLAQIUABQAAAAIAIdO4kAei6LSBAIAAA8EAAAOAAAAAAAAAAEAIAAAACUBAABk&#10;cnMvZTJvRG9jLnhtbFBLBQYAAAAABgAGAFkBAACbBQAAAAA=&#10;">
                      <v:fill on="f" focussize="0,0"/>
                      <v:stroke on="f"/>
                      <v:imagedata o:title=""/>
                      <o:lock v:ext="edit" aspectratio="f"/>
                      <v:textbox>
                        <w:txbxContent>
                          <w:p>
                            <w:r>
                              <w:rPr>
                                <w:rFonts w:hint="eastAsia"/>
                              </w:rPr>
                              <w:t>外购石料</w:t>
                            </w:r>
                          </w:p>
                          <w:p>
                            <w:r>
                              <w:rPr>
                                <w:rFonts w:hint="eastAsia"/>
                              </w:rPr>
                              <w:t>、水洗砂</w:t>
                            </w:r>
                          </w:p>
                        </w:txbxContent>
                      </v:textbox>
                    </v:rect>
                  </w:pict>
                </mc:Fallback>
              </mc:AlternateContent>
            </w:r>
            <w:r>
              <w:rPr>
                <w:color w:val="auto"/>
                <w:sz w:val="24"/>
              </w:rPr>
              <mc:AlternateContent>
                <mc:Choice Requires="wps">
                  <w:drawing>
                    <wp:anchor distT="0" distB="0" distL="114300" distR="114300" simplePos="0" relativeHeight="251677696" behindDoc="0" locked="0" layoutInCell="1" allowOverlap="1">
                      <wp:simplePos x="0" y="0"/>
                      <wp:positionH relativeFrom="column">
                        <wp:posOffset>2906395</wp:posOffset>
                      </wp:positionH>
                      <wp:positionV relativeFrom="paragraph">
                        <wp:posOffset>372745</wp:posOffset>
                      </wp:positionV>
                      <wp:extent cx="6350" cy="323215"/>
                      <wp:effectExtent l="36830" t="0" r="33020" b="635"/>
                      <wp:wrapNone/>
                      <wp:docPr id="110" name="AutoShape 1302"/>
                      <wp:cNvGraphicFramePr/>
                      <a:graphic xmlns:a="http://schemas.openxmlformats.org/drawingml/2006/main">
                        <a:graphicData uri="http://schemas.microsoft.com/office/word/2010/wordprocessingShape">
                          <wps:wsp>
                            <wps:cNvCnPr>
                              <a:cxnSpLocks noChangeShapeType="1"/>
                            </wps:cNvCnPr>
                            <wps:spPr bwMode="auto">
                              <a:xfrm flipH="1" flipV="1">
                                <a:off x="0" y="0"/>
                                <a:ext cx="6350" cy="323215"/>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1302" o:spid="_x0000_s1026" o:spt="32" type="#_x0000_t32" style="position:absolute;left:0pt;flip:x y;margin-left:228.85pt;margin-top:29.35pt;height:25.45pt;width:0.5pt;z-index:251677696;mso-width-relative:page;mso-height-relative:page;" filled="f" stroked="t" coordsize="21600,21600" o:gfxdata="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0XNTDZAAAACgEAAA8AAAAAAAAAAQAgAAAA&#10;IgAAAGRycy9kb3ducmV2LnhtbFBLAQIUABQAAAAIAIdO4kB+BcmiCgIAABMEAAAOAAAAAAAAAAEA&#10;IAAAACgBAABkcnMvZTJvRG9jLnhtbFBLBQYAAAAABgAGAFkBAACkBQAAAAA=&#10;">
                      <v:fill on="f" focussize="0,0"/>
                      <v:stroke color="#000000" joinstyle="round" dashstyle="dash" endarrow="block"/>
                      <v:imagedata o:title=""/>
                      <o:lock v:ext="edit" aspectratio="f"/>
                    </v:shape>
                  </w:pict>
                </mc:Fallback>
              </mc:AlternateContent>
            </w:r>
            <w:r>
              <w:rPr>
                <w:rFonts w:eastAsia="宋体"/>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1283970</wp:posOffset>
                      </wp:positionH>
                      <wp:positionV relativeFrom="paragraph">
                        <wp:posOffset>104140</wp:posOffset>
                      </wp:positionV>
                      <wp:extent cx="762000" cy="266700"/>
                      <wp:effectExtent l="4445" t="4445" r="14605" b="14605"/>
                      <wp:wrapNone/>
                      <wp:docPr id="46" name="Rectangle 1283"/>
                      <wp:cNvGraphicFramePr/>
                      <a:graphic xmlns:a="http://schemas.openxmlformats.org/drawingml/2006/main">
                        <a:graphicData uri="http://schemas.microsoft.com/office/word/2010/wordprocessingShape">
                          <wps:wsp>
                            <wps:cNvSpPr>
                              <a:spLocks noChangeArrowheads="1"/>
                            </wps:cNvSpPr>
                            <wps:spPr bwMode="auto">
                              <a:xfrm>
                                <a:off x="0" y="0"/>
                                <a:ext cx="762000" cy="266700"/>
                              </a:xfrm>
                              <a:prstGeom prst="rect">
                                <a:avLst/>
                              </a:prstGeom>
                              <a:solidFill>
                                <a:srgbClr val="FFFFFF"/>
                              </a:solidFill>
                              <a:ln w="9525">
                                <a:solidFill>
                                  <a:srgbClr val="000000"/>
                                </a:solidFill>
                                <a:miter lim="800000"/>
                              </a:ln>
                            </wps:spPr>
                            <wps:txbx>
                              <w:txbxContent>
                                <w:p>
                                  <w:r>
                                    <w:rPr>
                                      <w:rFonts w:hint="eastAsia"/>
                                    </w:rPr>
                                    <w:t>砂石料仓</w:t>
                                  </w:r>
                                </w:p>
                              </w:txbxContent>
                            </wps:txbx>
                            <wps:bodyPr rot="0" vert="horz" wrap="square" lIns="91440" tIns="45720" rIns="91440" bIns="45720" anchor="t" anchorCtr="0" upright="1">
                              <a:noAutofit/>
                            </wps:bodyPr>
                          </wps:wsp>
                        </a:graphicData>
                      </a:graphic>
                    </wp:anchor>
                  </w:drawing>
                </mc:Choice>
                <mc:Fallback>
                  <w:pict>
                    <v:rect id="Rectangle 1283" o:spid="_x0000_s1026" o:spt="1" style="position:absolute;left:0pt;margin-left:101.1pt;margin-top:8.2pt;height:21pt;width:60pt;z-index:251671552;mso-width-relative:page;mso-height-relative:page;" fillcolor="#FFFFFF" filled="t" stroked="t" coordsize="21600,21600" o:gfxdata="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2VjMDXAAAACQEAAA8AAAAAAAAAAQAgAAAAIgAAAGRycy9kb3ducmV2LnhtbFBL&#10;AQIUABQAAAAIAIdO4kCeBDhDMAIAAIAEAAAOAAAAAAAAAAEAIAAAACYBAABkcnMvZTJvRG9jLnht&#10;bFBLBQYAAAAABgAGAFkBAADIBQAAAAA=&#10;">
                      <v:fill on="t" focussize="0,0"/>
                      <v:stroke color="#000000" miterlimit="8" joinstyle="miter"/>
                      <v:imagedata o:title=""/>
                      <o:lock v:ext="edit" aspectratio="f"/>
                      <v:textbox>
                        <w:txbxContent>
                          <w:p>
                            <w:r>
                              <w:rPr>
                                <w:rFonts w:hint="eastAsia"/>
                              </w:rPr>
                              <w:t>砂石料仓</w:t>
                            </w:r>
                          </w:p>
                        </w:txbxContent>
                      </v:textbox>
                    </v:rect>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769620</wp:posOffset>
                      </wp:positionH>
                      <wp:positionV relativeFrom="paragraph">
                        <wp:posOffset>219710</wp:posOffset>
                      </wp:positionV>
                      <wp:extent cx="504825" cy="635"/>
                      <wp:effectExtent l="0" t="37465" r="9525" b="38100"/>
                      <wp:wrapNone/>
                      <wp:docPr id="13" name="AutoShape 1292"/>
                      <wp:cNvGraphicFramePr/>
                      <a:graphic xmlns:a="http://schemas.openxmlformats.org/drawingml/2006/main">
                        <a:graphicData uri="http://schemas.microsoft.com/office/word/2010/wordprocessingShape">
                          <wps:wsp>
                            <wps:cNvCnPr>
                              <a:cxnSpLocks noChangeShapeType="1"/>
                            </wps:cNvCnPr>
                            <wps:spPr bwMode="auto">
                              <a:xfrm>
                                <a:off x="0" y="0"/>
                                <a:ext cx="504825" cy="635"/>
                              </a:xfrm>
                              <a:prstGeom prst="straightConnector1">
                                <a:avLst/>
                              </a:prstGeom>
                              <a:noFill/>
                              <a:ln w="9525">
                                <a:solidFill>
                                  <a:srgbClr val="000000"/>
                                </a:solidFill>
                                <a:round/>
                                <a:tailEnd type="triangle" w="med" len="med"/>
                              </a:ln>
                            </wps:spPr>
                            <wps:bodyPr/>
                          </wps:wsp>
                        </a:graphicData>
                      </a:graphic>
                    </wp:anchor>
                  </w:drawing>
                </mc:Choice>
                <mc:Fallback>
                  <w:pict>
                    <v:shape id="AutoShape 1292" o:spid="_x0000_s1026" o:spt="32" type="#_x0000_t32" style="position:absolute;left:0pt;margin-left:60.6pt;margin-top:17.3pt;height:0.05pt;width:39.75pt;z-index:251717632;mso-width-relative:page;mso-height-relative:page;" filled="f" stroked="t" coordsize="21600,21600" o:gfxdata="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VJoNcAAAAJAQAADwAAAAAAAAABACAAAAAiAAAAZHJzL2Rvd25yZXYueG1sUEsBAhQA&#10;FAAAAAgAh07iQF3QhonzAQAA5QMAAA4AAAAAAAAAAQAgAAAAJgEAAGRycy9lMm9Eb2MueG1sUEsF&#10;BgAAAAAGAAYAWQEAAIsFAAAAAA==&#10;">
                      <v:fill on="f" focussize="0,0"/>
                      <v:stroke color="#000000" joinstyle="round" endarrow="block"/>
                      <v:imagedata o:title=""/>
                      <o:lock v:ext="edit" aspectratio="f"/>
                    </v:shape>
                  </w:pict>
                </mc:Fallback>
              </mc:AlternateContent>
            </w:r>
          </w:p>
          <w:p>
            <w:pPr>
              <w:adjustRightInd w:val="0"/>
              <w:snapToGrid w:val="0"/>
              <w:spacing w:line="360" w:lineRule="auto"/>
              <w:ind w:firstLine="480" w:firstLineChars="200"/>
              <w:rPr>
                <w:color w:val="auto"/>
                <w:sz w:val="24"/>
              </w:rPr>
            </w:pPr>
            <w:r>
              <w:rPr>
                <w:color w:val="auto"/>
                <w:sz w:val="24"/>
              </w:rPr>
              <mc:AlternateContent>
                <mc:Choice Requires="wps">
                  <w:drawing>
                    <wp:anchor distT="0" distB="0" distL="114300" distR="114300" simplePos="0" relativeHeight="251725824" behindDoc="0" locked="0" layoutInCell="1" allowOverlap="1">
                      <wp:simplePos x="0" y="0"/>
                      <wp:positionH relativeFrom="column">
                        <wp:posOffset>4138930</wp:posOffset>
                      </wp:positionH>
                      <wp:positionV relativeFrom="paragraph">
                        <wp:posOffset>50800</wp:posOffset>
                      </wp:positionV>
                      <wp:extent cx="6350" cy="323215"/>
                      <wp:effectExtent l="36830" t="0" r="33020" b="635"/>
                      <wp:wrapNone/>
                      <wp:docPr id="32" name="AutoShape 1302"/>
                      <wp:cNvGraphicFramePr/>
                      <a:graphic xmlns:a="http://schemas.openxmlformats.org/drawingml/2006/main">
                        <a:graphicData uri="http://schemas.microsoft.com/office/word/2010/wordprocessingShape">
                          <wps:wsp>
                            <wps:cNvCnPr>
                              <a:cxnSpLocks noChangeShapeType="1"/>
                            </wps:cNvCnPr>
                            <wps:spPr bwMode="auto">
                              <a:xfrm flipH="1" flipV="1">
                                <a:off x="0" y="0"/>
                                <a:ext cx="6350" cy="323215"/>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1302" o:spid="_x0000_s1026" o:spt="32" type="#_x0000_t32" style="position:absolute;left:0pt;flip:x y;margin-left:325.9pt;margin-top:4pt;height:25.45pt;width:0.5pt;z-index:251725824;mso-width-relative:page;mso-height-relative:page;" filled="f" stroked="t" coordsize="21600,21600" o:gfxdata="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R4p72AAAAAgBAAAPAAAAAAAAAAEAIAAAACIA&#10;AABkcnMvZG93bnJldi54bWxQSwECFAAUAAAACACHTuJAZtPpngkCAAASBAAADgAAAAAAAAABACAA&#10;AAAnAQAAZHJzL2Uyb0RvYy54bWxQSwUGAAAAAAYABgBZAQAAogUAAAAA&#10;">
                      <v:fill on="f" focussize="0,0"/>
                      <v:stroke color="#000000" joinstyle="round" dashstyle="dash" endarrow="block"/>
                      <v:imagedata o:title=""/>
                      <o:lock v:ext="edit" aspectratio="f"/>
                    </v:shape>
                  </w:pict>
                </mc:Fallback>
              </mc:AlternateContent>
            </w:r>
            <w:r>
              <w:rPr>
                <w:color w:val="auto"/>
                <w:sz w:val="24"/>
              </w:rPr>
              <mc:AlternateContent>
                <mc:Choice Requires="wps">
                  <w:drawing>
                    <wp:anchor distT="0" distB="0" distL="114300" distR="114300" simplePos="0" relativeHeight="251771904" behindDoc="0" locked="0" layoutInCell="1" allowOverlap="1">
                      <wp:simplePos x="0" y="0"/>
                      <wp:positionH relativeFrom="column">
                        <wp:posOffset>3528060</wp:posOffset>
                      </wp:positionH>
                      <wp:positionV relativeFrom="paragraph">
                        <wp:posOffset>28575</wp:posOffset>
                      </wp:positionV>
                      <wp:extent cx="6350" cy="323215"/>
                      <wp:effectExtent l="36830" t="0" r="33020" b="635"/>
                      <wp:wrapNone/>
                      <wp:docPr id="163" name="AutoShape 1302"/>
                      <wp:cNvGraphicFramePr/>
                      <a:graphic xmlns:a="http://schemas.openxmlformats.org/drawingml/2006/main">
                        <a:graphicData uri="http://schemas.microsoft.com/office/word/2010/wordprocessingShape">
                          <wps:wsp>
                            <wps:cNvCnPr>
                              <a:cxnSpLocks noChangeShapeType="1"/>
                            </wps:cNvCnPr>
                            <wps:spPr bwMode="auto">
                              <a:xfrm flipH="1" flipV="1">
                                <a:off x="0" y="0"/>
                                <a:ext cx="6350" cy="323215"/>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1302" o:spid="_x0000_s1026" o:spt="32" type="#_x0000_t32" style="position:absolute;left:0pt;flip:x y;margin-left:277.8pt;margin-top:2.25pt;height:25.45pt;width:0.5pt;z-index:251771904;mso-width-relative:page;mso-height-relative:page;" filled="f" stroked="t" coordsize="21600,21600" o:gfxdata="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Gft1wAAAAgBAAAPAAAAAAAAAAEAIAAAACIA&#10;AABkcnMvZG93bnJldi54bWxQSwECFAAUAAAACACHTuJA3IjeRAoCAAATBAAADgAAAAAAAAABACAA&#10;AAAmAQAAZHJzL2Uyb0RvYy54bWxQSwUGAAAAAAYABgBZAQAAogUAAAAA&#10;">
                      <v:fill on="f" focussize="0,0"/>
                      <v:stroke color="#000000" joinstyle="round" dashstyle="dash" endarrow="block"/>
                      <v:imagedata o:title=""/>
                      <o:lock v:ext="edit" aspectratio="f"/>
                    </v:shape>
                  </w:pict>
                </mc:Fallback>
              </mc:AlternateContent>
            </w:r>
            <w:r>
              <w:rPr>
                <w:color w:val="auto"/>
                <w:sz w:val="24"/>
              </w:rPr>
              <mc:AlternateContent>
                <mc:Choice Requires="wps">
                  <w:drawing>
                    <wp:anchor distT="0" distB="0" distL="114300" distR="114300" simplePos="0" relativeHeight="251770880" behindDoc="0" locked="0" layoutInCell="1" allowOverlap="1">
                      <wp:simplePos x="0" y="0"/>
                      <wp:positionH relativeFrom="column">
                        <wp:posOffset>3322955</wp:posOffset>
                      </wp:positionH>
                      <wp:positionV relativeFrom="paragraph">
                        <wp:posOffset>88265</wp:posOffset>
                      </wp:positionV>
                      <wp:extent cx="0" cy="295910"/>
                      <wp:effectExtent l="38100" t="0" r="38100" b="8890"/>
                      <wp:wrapNone/>
                      <wp:docPr id="162" name="AutoShape 1305"/>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tailEnd type="triangle" w="med" len="med"/>
                              </a:ln>
                            </wps:spPr>
                            <wps:bodyPr/>
                          </wps:wsp>
                        </a:graphicData>
                      </a:graphic>
                    </wp:anchor>
                  </w:drawing>
                </mc:Choice>
                <mc:Fallback>
                  <w:pict>
                    <v:shape id="AutoShape 1305" o:spid="_x0000_s1026" o:spt="32" type="#_x0000_t32" style="position:absolute;left:0pt;margin-left:261.65pt;margin-top:6.95pt;height:23.3pt;width:0pt;z-index:251770880;mso-width-relative:page;mso-height-relative:page;" filled="f" stroked="t" coordsize="21600,21600" o:gfxdata="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7sjF9gAAAAJAQAADwAAAAAAAAABACAAAAAiAAAAZHJzL2Rvd25yZXYueG1sUEsBAhQA&#10;FAAAAAgAh07iQPZQfKryAQAA5AMAAA4AAAAAAAAAAQAgAAAAJwEAAGRycy9lMm9Eb2MueG1sUEsF&#10;BgAAAAAGAAYAWQEAAIsFA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723776" behindDoc="0" locked="0" layoutInCell="1" allowOverlap="1">
                      <wp:simplePos x="0" y="0"/>
                      <wp:positionH relativeFrom="column">
                        <wp:posOffset>3897630</wp:posOffset>
                      </wp:positionH>
                      <wp:positionV relativeFrom="paragraph">
                        <wp:posOffset>69850</wp:posOffset>
                      </wp:positionV>
                      <wp:extent cx="0" cy="295910"/>
                      <wp:effectExtent l="38100" t="0" r="38100" b="8890"/>
                      <wp:wrapNone/>
                      <wp:docPr id="21" name="AutoShape 1305"/>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tailEnd type="triangle" w="med" len="med"/>
                              </a:ln>
                            </wps:spPr>
                            <wps:bodyPr/>
                          </wps:wsp>
                        </a:graphicData>
                      </a:graphic>
                    </wp:anchor>
                  </w:drawing>
                </mc:Choice>
                <mc:Fallback>
                  <w:pict>
                    <v:shape id="AutoShape 1305" o:spid="_x0000_s1026" o:spt="32" type="#_x0000_t32" style="position:absolute;left:0pt;margin-left:306.9pt;margin-top:5.5pt;height:23.3pt;width:0pt;z-index:251723776;mso-width-relative:page;mso-height-relative:page;" filled="f" stroked="t" coordsize="21600,21600" o:gfxdata="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LdSE7XAAAACQEAAA8AAAAAAAAAAQAgAAAAIgAAAGRycy9kb3ducmV2LnhtbFBLAQIUABQA&#10;AAAIAIdO4kASsMnY8QEAAOMDAAAOAAAAAAAAAAEAIAAAACYBAABkcnMvZTJvRG9jLnhtbFBLBQYA&#10;AAAABgAGAFkBAACJBQ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724800" behindDoc="0" locked="0" layoutInCell="1" allowOverlap="1">
                      <wp:simplePos x="0" y="0"/>
                      <wp:positionH relativeFrom="column">
                        <wp:posOffset>4779645</wp:posOffset>
                      </wp:positionH>
                      <wp:positionV relativeFrom="paragraph">
                        <wp:posOffset>64770</wp:posOffset>
                      </wp:positionV>
                      <wp:extent cx="0" cy="295910"/>
                      <wp:effectExtent l="38100" t="0" r="38100" b="8890"/>
                      <wp:wrapNone/>
                      <wp:docPr id="23" name="AutoShape 1305"/>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tailEnd type="triangle" w="med" len="med"/>
                              </a:ln>
                            </wps:spPr>
                            <wps:bodyPr/>
                          </wps:wsp>
                        </a:graphicData>
                      </a:graphic>
                    </wp:anchor>
                  </w:drawing>
                </mc:Choice>
                <mc:Fallback>
                  <w:pict>
                    <v:shape id="AutoShape 1305" o:spid="_x0000_s1026" o:spt="32" type="#_x0000_t32" style="position:absolute;left:0pt;margin-left:376.35pt;margin-top:5.1pt;height:23.3pt;width:0pt;z-index:251724800;mso-width-relative:page;mso-height-relative:page;" filled="f" stroked="t" coordsize="21600,21600" o:gfxdata="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YOOBtgAAAAJAQAADwAAAAAAAAABACAAAAAiAAAAZHJzL2Rvd25yZXYueG1sUEsBAhQA&#10;FAAAAAgAh07iQMRbftXyAQAA4wMAAA4AAAAAAAAAAQAgAAAAJwEAAGRycy9lMm9Eb2MueG1sUEsF&#10;BgAAAAAGAAYAWQEAAIsFA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722752" behindDoc="0" locked="0" layoutInCell="1" allowOverlap="1">
                      <wp:simplePos x="0" y="0"/>
                      <wp:positionH relativeFrom="column">
                        <wp:posOffset>2665095</wp:posOffset>
                      </wp:positionH>
                      <wp:positionV relativeFrom="paragraph">
                        <wp:posOffset>45720</wp:posOffset>
                      </wp:positionV>
                      <wp:extent cx="0" cy="295910"/>
                      <wp:effectExtent l="38100" t="0" r="38100" b="8890"/>
                      <wp:wrapNone/>
                      <wp:docPr id="20" name="AutoShape 1305"/>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tailEnd type="triangle" w="med" len="med"/>
                              </a:ln>
                            </wps:spPr>
                            <wps:bodyPr/>
                          </wps:wsp>
                        </a:graphicData>
                      </a:graphic>
                    </wp:anchor>
                  </w:drawing>
                </mc:Choice>
                <mc:Fallback>
                  <w:pict>
                    <v:shape id="AutoShape 1305" o:spid="_x0000_s1026" o:spt="32" type="#_x0000_t32" style="position:absolute;left:0pt;margin-left:209.85pt;margin-top:3.6pt;height:23.3pt;width:0pt;z-index:251722752;mso-width-relative:page;mso-height-relative:page;" filled="f" stroked="t" coordsize="21600,21600" o:gfxdata="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P242AAAAAgBAAAPAAAAAAAAAAEAIAAAACIAAABkcnMvZG93bnJldi54bWxQSwECFAAU&#10;AAAACACHTuJA+UUS3vEBAADjAwAADgAAAAAAAAABACAAAAAnAQAAZHJzL2Uyb0RvYy54bWxQSwUG&#10;AAAAAAYABgBZAQAAigU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718656" behindDoc="0" locked="0" layoutInCell="1" allowOverlap="1">
                      <wp:simplePos x="0" y="0"/>
                      <wp:positionH relativeFrom="column">
                        <wp:posOffset>1922145</wp:posOffset>
                      </wp:positionH>
                      <wp:positionV relativeFrom="paragraph">
                        <wp:posOffset>45720</wp:posOffset>
                      </wp:positionV>
                      <wp:extent cx="0" cy="295910"/>
                      <wp:effectExtent l="38100" t="0" r="38100" b="8890"/>
                      <wp:wrapNone/>
                      <wp:docPr id="14" name="AutoShape 1305"/>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tailEnd type="triangle" w="med" len="med"/>
                              </a:ln>
                            </wps:spPr>
                            <wps:bodyPr/>
                          </wps:wsp>
                        </a:graphicData>
                      </a:graphic>
                    </wp:anchor>
                  </w:drawing>
                </mc:Choice>
                <mc:Fallback>
                  <w:pict>
                    <v:shape id="AutoShape 1305" o:spid="_x0000_s1026" o:spt="32" type="#_x0000_t32" style="position:absolute;left:0pt;margin-left:151.35pt;margin-top:3.6pt;height:23.3pt;width:0pt;z-index:251718656;mso-width-relative:page;mso-height-relative:page;" filled="f" stroked="t" coordsize="21600,21600" o:gfxdata="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DWepLXAAAACAEAAA8AAAAAAAAAAQAgAAAAIgAAAGRycy9kb3ducmV2LnhtbFBLAQIUABQA&#10;AAAIAIdO4kBash6d8QEAAOMDAAAOAAAAAAAAAAEAIAAAACYBAABkcnMvZTJvRG9jLnhtbFBLBQYA&#10;AAAABgAGAFkBAACJBQ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678720" behindDoc="0" locked="0" layoutInCell="1" allowOverlap="1">
                      <wp:simplePos x="0" y="0"/>
                      <wp:positionH relativeFrom="column">
                        <wp:posOffset>1445895</wp:posOffset>
                      </wp:positionH>
                      <wp:positionV relativeFrom="paragraph">
                        <wp:posOffset>45720</wp:posOffset>
                      </wp:positionV>
                      <wp:extent cx="0" cy="295910"/>
                      <wp:effectExtent l="57150" t="5715" r="57150" b="22225"/>
                      <wp:wrapNone/>
                      <wp:docPr id="109" name="AutoShape 1305"/>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tailEnd type="triangle" w="med" len="med"/>
                              </a:ln>
                            </wps:spPr>
                            <wps:bodyPr/>
                          </wps:wsp>
                        </a:graphicData>
                      </a:graphic>
                    </wp:anchor>
                  </w:drawing>
                </mc:Choice>
                <mc:Fallback>
                  <w:pict>
                    <v:shape id="AutoShape 1305" o:spid="_x0000_s1026" o:spt="32" type="#_x0000_t32" style="position:absolute;left:0pt;margin-left:113.85pt;margin-top:3.6pt;height:23.3pt;width:0pt;z-index:251678720;mso-width-relative:page;mso-height-relative:page;" filled="f" stroked="t" coordsize="21600,21600" o:gfxdata="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mmsO1wAAAAgBAAAPAAAAAAAAAAEAIAAAACIAAABkcnMvZG93bnJldi54bWxQSwECFAAU&#10;AAAACACHTuJAjaEJJ/IBAADkAwAADgAAAAAAAAABACAAAAAmAQAAZHJzL2Uyb0RvYy54bWxQSwUG&#10;AAAAAAYABgBZAQAAigUAAAAA&#10;">
                      <v:fill on="f" focussize="0,0"/>
                      <v:stroke color="#000000" joinstyle="round" endarrow="block"/>
                      <v:imagedata o:title=""/>
                      <o:lock v:ext="edit" aspectratio="f"/>
                    </v:shape>
                  </w:pict>
                </mc:Fallback>
              </mc:AlternateContent>
            </w:r>
          </w:p>
          <w:p>
            <w:pPr>
              <w:adjustRightInd w:val="0"/>
              <w:snapToGrid w:val="0"/>
              <w:spacing w:line="360" w:lineRule="auto"/>
              <w:ind w:firstLine="420" w:firstLineChars="200"/>
              <w:rPr>
                <w:color w:val="auto"/>
                <w:sz w:val="24"/>
              </w:rPr>
            </w:pPr>
            <w:r>
              <w:rPr>
                <w:color w:val="auto"/>
              </w:rPr>
              <mc:AlternateContent>
                <mc:Choice Requires="wps">
                  <w:drawing>
                    <wp:anchor distT="0" distB="0" distL="114300" distR="114300" simplePos="0" relativeHeight="251768832" behindDoc="0" locked="0" layoutInCell="1" allowOverlap="1">
                      <wp:simplePos x="0" y="0"/>
                      <wp:positionH relativeFrom="column">
                        <wp:posOffset>3204845</wp:posOffset>
                      </wp:positionH>
                      <wp:positionV relativeFrom="paragraph">
                        <wp:posOffset>86995</wp:posOffset>
                      </wp:positionV>
                      <wp:extent cx="466725" cy="291465"/>
                      <wp:effectExtent l="4445" t="4445" r="5080" b="8890"/>
                      <wp:wrapNone/>
                      <wp:docPr id="160" name="Rectangle 1374"/>
                      <wp:cNvGraphicFramePr/>
                      <a:graphic xmlns:a="http://schemas.openxmlformats.org/drawingml/2006/main">
                        <a:graphicData uri="http://schemas.microsoft.com/office/word/2010/wordprocessingShape">
                          <wps:wsp>
                            <wps:cNvSpPr>
                              <a:spLocks noChangeArrowheads="1"/>
                            </wps:cNvSpPr>
                            <wps:spPr bwMode="auto">
                              <a:xfrm>
                                <a:off x="0" y="0"/>
                                <a:ext cx="466725" cy="291465"/>
                              </a:xfrm>
                              <a:prstGeom prst="rect">
                                <a:avLst/>
                              </a:prstGeom>
                              <a:solidFill>
                                <a:srgbClr val="FFFFFF"/>
                              </a:solidFill>
                              <a:ln w="9525">
                                <a:solidFill>
                                  <a:srgbClr val="000000"/>
                                </a:solidFill>
                                <a:miter lim="800000"/>
                              </a:ln>
                            </wps:spPr>
                            <wps:txbx>
                              <w:txbxContent>
                                <w:p>
                                  <w:pPr>
                                    <w:jc w:val="center"/>
                                  </w:pPr>
                                  <w:r>
                                    <w:rPr>
                                      <w:rFonts w:hint="eastAsia"/>
                                    </w:rPr>
                                    <w:t>筒仓</w:t>
                                  </w:r>
                                </w:p>
                              </w:txbxContent>
                            </wps:txbx>
                            <wps:bodyPr rot="0" vert="horz" wrap="square" lIns="91440" tIns="45720" rIns="91440" bIns="45720" anchor="t" anchorCtr="0" upright="1">
                              <a:noAutofit/>
                            </wps:bodyPr>
                          </wps:wsp>
                        </a:graphicData>
                      </a:graphic>
                    </wp:anchor>
                  </w:drawing>
                </mc:Choice>
                <mc:Fallback>
                  <w:pict>
                    <v:rect id="Rectangle 1374" o:spid="_x0000_s1026" o:spt="1" style="position:absolute;left:0pt;margin-left:252.35pt;margin-top:6.85pt;height:22.95pt;width:36.75pt;z-index:251768832;mso-width-relative:page;mso-height-relative:page;" fillcolor="#FFFFFF" filled="t" stroked="t" coordsize="21600,21600" o:gfxdata="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5Y/PQ2AAAAAkBAAAPAAAAAAAAAAEAIAAAACIAAABkcnMvZG93bnJldi54bWxQSwEC&#10;FAAUAAAACACHTuJAPlbOCS0CAACBBAAADgAAAAAAAAABACAAAAAnAQAAZHJzL2Uyb0RvYy54bWxQ&#10;SwUGAAAAAAYABgBZAQAAxgUAAAAA&#10;">
                      <v:fill on="t" focussize="0,0"/>
                      <v:stroke color="#000000" miterlimit="8" joinstyle="miter"/>
                      <v:imagedata o:title=""/>
                      <o:lock v:ext="edit" aspectratio="f"/>
                      <v:textbox>
                        <w:txbxContent>
                          <w:p>
                            <w:pPr>
                              <w:jc w:val="center"/>
                            </w:pPr>
                            <w:r>
                              <w:rPr>
                                <w:rFonts w:hint="eastAsia"/>
                              </w:rPr>
                              <w:t>筒仓</w:t>
                            </w:r>
                          </w:p>
                        </w:txbxContent>
                      </v:textbox>
                    </v:rect>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3846830</wp:posOffset>
                      </wp:positionH>
                      <wp:positionV relativeFrom="paragraph">
                        <wp:posOffset>102235</wp:posOffset>
                      </wp:positionV>
                      <wp:extent cx="466725" cy="291465"/>
                      <wp:effectExtent l="4445" t="4445" r="5080" b="8890"/>
                      <wp:wrapNone/>
                      <wp:docPr id="16" name="Rectangle 1374"/>
                      <wp:cNvGraphicFramePr/>
                      <a:graphic xmlns:a="http://schemas.openxmlformats.org/drawingml/2006/main">
                        <a:graphicData uri="http://schemas.microsoft.com/office/word/2010/wordprocessingShape">
                          <wps:wsp>
                            <wps:cNvSpPr>
                              <a:spLocks noChangeArrowheads="1"/>
                            </wps:cNvSpPr>
                            <wps:spPr bwMode="auto">
                              <a:xfrm>
                                <a:off x="0" y="0"/>
                                <a:ext cx="466725" cy="291465"/>
                              </a:xfrm>
                              <a:prstGeom prst="rect">
                                <a:avLst/>
                              </a:prstGeom>
                              <a:solidFill>
                                <a:srgbClr val="FFFFFF"/>
                              </a:solidFill>
                              <a:ln w="9525">
                                <a:solidFill>
                                  <a:srgbClr val="000000"/>
                                </a:solidFill>
                                <a:miter lim="800000"/>
                              </a:ln>
                            </wps:spPr>
                            <wps:txbx>
                              <w:txbxContent>
                                <w:p>
                                  <w:pPr>
                                    <w:jc w:val="center"/>
                                  </w:pPr>
                                  <w:r>
                                    <w:rPr>
                                      <w:rFonts w:hint="eastAsia"/>
                                    </w:rPr>
                                    <w:t>筒仓</w:t>
                                  </w:r>
                                </w:p>
                              </w:txbxContent>
                            </wps:txbx>
                            <wps:bodyPr rot="0" vert="horz" wrap="square" lIns="91440" tIns="45720" rIns="91440" bIns="45720" anchor="t" anchorCtr="0" upright="1">
                              <a:noAutofit/>
                            </wps:bodyPr>
                          </wps:wsp>
                        </a:graphicData>
                      </a:graphic>
                    </wp:anchor>
                  </w:drawing>
                </mc:Choice>
                <mc:Fallback>
                  <w:pict>
                    <v:rect id="Rectangle 1374" o:spid="_x0000_s1026" o:spt="1" style="position:absolute;left:0pt;margin-left:302.9pt;margin-top:8.05pt;height:22.95pt;width:36.75pt;z-index:251720704;mso-width-relative:page;mso-height-relative:page;" fillcolor="#FFFFFF" filled="t" stroked="t" coordsize="21600,21600" o:gfxdata="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V1NTNcAAAAJAQAADwAAAAAAAAABACAAAAAiAAAAZHJzL2Rvd25yZXYueG1sUEsBAhQA&#10;FAAAAAgAh07iQJh6HnYsAgAAgAQAAA4AAAAAAAAAAQAgAAAAJgEAAGRycy9lMm9Eb2MueG1sUEsF&#10;BgAAAAAGAAYAWQEAAMQFAAAAAA==&#10;">
                      <v:fill on="t" focussize="0,0"/>
                      <v:stroke color="#000000" miterlimit="8" joinstyle="miter"/>
                      <v:imagedata o:title=""/>
                      <o:lock v:ext="edit" aspectratio="f"/>
                      <v:textbox>
                        <w:txbxContent>
                          <w:p>
                            <w:pPr>
                              <w:jc w:val="center"/>
                            </w:pPr>
                            <w:r>
                              <w:rPr>
                                <w:rFonts w:hint="eastAsia"/>
                              </w:rPr>
                              <w:t>筒仓</w:t>
                            </w:r>
                          </w:p>
                        </w:txbxContent>
                      </v:textbox>
                    </v:rect>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1788795</wp:posOffset>
                      </wp:positionH>
                      <wp:positionV relativeFrom="paragraph">
                        <wp:posOffset>69215</wp:posOffset>
                      </wp:positionV>
                      <wp:extent cx="495935" cy="419100"/>
                      <wp:effectExtent l="4445" t="5080" r="13970" b="13970"/>
                      <wp:wrapNone/>
                      <wp:docPr id="15" name="Rectangle 1286"/>
                      <wp:cNvGraphicFramePr/>
                      <a:graphic xmlns:a="http://schemas.openxmlformats.org/drawingml/2006/main">
                        <a:graphicData uri="http://schemas.microsoft.com/office/word/2010/wordprocessingShape">
                          <wps:wsp>
                            <wps:cNvSpPr>
                              <a:spLocks noChangeArrowheads="1"/>
                            </wps:cNvSpPr>
                            <wps:spPr bwMode="auto">
                              <a:xfrm>
                                <a:off x="0" y="0"/>
                                <a:ext cx="495935" cy="419100"/>
                              </a:xfrm>
                              <a:prstGeom prst="rect">
                                <a:avLst/>
                              </a:prstGeom>
                              <a:solidFill>
                                <a:srgbClr val="FFFFFF"/>
                              </a:solidFill>
                              <a:ln w="9525">
                                <a:solidFill>
                                  <a:srgbClr val="000000"/>
                                </a:solidFill>
                                <a:miter lim="800000"/>
                              </a:ln>
                            </wps:spPr>
                            <wps:txbx>
                              <w:txbxContent>
                                <w:p>
                                  <w:r>
                                    <w:rPr>
                                      <w:rFonts w:hint="eastAsia"/>
                                    </w:rPr>
                                    <w:t>砂料</w:t>
                                  </w:r>
                                </w:p>
                                <w:p>
                                  <w:r>
                                    <w:rPr>
                                      <w:rFonts w:hint="eastAsia"/>
                                    </w:rPr>
                                    <w:t>料斗</w:t>
                                  </w:r>
                                </w:p>
                              </w:txbxContent>
                            </wps:txbx>
                            <wps:bodyPr rot="0" vert="horz" wrap="square" lIns="91440" tIns="45720" rIns="91440" bIns="45720" anchor="t" anchorCtr="0" upright="1">
                              <a:noAutofit/>
                            </wps:bodyPr>
                          </wps:wsp>
                        </a:graphicData>
                      </a:graphic>
                    </wp:anchor>
                  </w:drawing>
                </mc:Choice>
                <mc:Fallback>
                  <w:pict>
                    <v:rect id="Rectangle 1286" o:spid="_x0000_s1026" o:spt="1" style="position:absolute;left:0pt;margin-left:140.85pt;margin-top:5.45pt;height:33pt;width:39.05pt;z-index:251719680;mso-width-relative:page;mso-height-relative:page;" fillcolor="#FFFFFF" filled="t" stroked="t" coordsize="21600,21600" o:gfxdata="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fbl01wAAAAkBAAAPAAAAAAAAAAEAIAAAACIAAABkcnMvZG93bnJldi54bWxQ&#10;SwECFAAUAAAACACHTuJA1aagnjECAACABAAADgAAAAAAAAABACAAAAAmAQAAZHJzL2Uyb0RvYy54&#10;bWxQSwUGAAAAAAYABgBZAQAAyQUAAAAA&#10;">
                      <v:fill on="t" focussize="0,0"/>
                      <v:stroke color="#000000" miterlimit="8" joinstyle="miter"/>
                      <v:imagedata o:title=""/>
                      <o:lock v:ext="edit" aspectratio="f"/>
                      <v:textbox>
                        <w:txbxContent>
                          <w:p>
                            <w:r>
                              <w:rPr>
                                <w:rFonts w:hint="eastAsia"/>
                              </w:rPr>
                              <w:t>砂料</w:t>
                            </w:r>
                          </w:p>
                          <w:p>
                            <w:r>
                              <w:rPr>
                                <w:rFonts w:hint="eastAsia"/>
                              </w:rPr>
                              <w:t>料斗</w:t>
                            </w:r>
                          </w:p>
                        </w:txbxContent>
                      </v:textbox>
                    </v:rect>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4455795</wp:posOffset>
                      </wp:positionH>
                      <wp:positionV relativeFrom="paragraph">
                        <wp:posOffset>81280</wp:posOffset>
                      </wp:positionV>
                      <wp:extent cx="637540" cy="291465"/>
                      <wp:effectExtent l="5080" t="4445" r="5080" b="8890"/>
                      <wp:wrapNone/>
                      <wp:docPr id="18" name="Rectangle 1374"/>
                      <wp:cNvGraphicFramePr/>
                      <a:graphic xmlns:a="http://schemas.openxmlformats.org/drawingml/2006/main">
                        <a:graphicData uri="http://schemas.microsoft.com/office/word/2010/wordprocessingShape">
                          <wps:wsp>
                            <wps:cNvSpPr>
                              <a:spLocks noChangeArrowheads="1"/>
                            </wps:cNvSpPr>
                            <wps:spPr bwMode="auto">
                              <a:xfrm>
                                <a:off x="0" y="0"/>
                                <a:ext cx="637540" cy="291465"/>
                              </a:xfrm>
                              <a:prstGeom prst="rect">
                                <a:avLst/>
                              </a:prstGeom>
                              <a:solidFill>
                                <a:srgbClr val="FFFFFF"/>
                              </a:solidFill>
                              <a:ln w="9525">
                                <a:solidFill>
                                  <a:srgbClr val="000000"/>
                                </a:solidFill>
                                <a:miter lim="800000"/>
                              </a:ln>
                            </wps:spPr>
                            <wps:txbx>
                              <w:txbxContent>
                                <w:p>
                                  <w:pPr>
                                    <w:jc w:val="center"/>
                                  </w:pPr>
                                  <w:r>
                                    <w:rPr>
                                      <w:rFonts w:hint="eastAsia"/>
                                    </w:rPr>
                                    <w:t>外加剂</w:t>
                                  </w:r>
                                </w:p>
                              </w:txbxContent>
                            </wps:txbx>
                            <wps:bodyPr rot="0" vert="horz" wrap="square" lIns="91440" tIns="45720" rIns="91440" bIns="45720" anchor="t" anchorCtr="0" upright="1">
                              <a:noAutofit/>
                            </wps:bodyPr>
                          </wps:wsp>
                        </a:graphicData>
                      </a:graphic>
                    </wp:anchor>
                  </w:drawing>
                </mc:Choice>
                <mc:Fallback>
                  <w:pict>
                    <v:rect id="Rectangle 1374" o:spid="_x0000_s1026" o:spt="1" style="position:absolute;left:0pt;margin-left:350.85pt;margin-top:6.4pt;height:22.95pt;width:50.2pt;z-index:251721728;mso-width-relative:page;mso-height-relative:page;" fillcolor="#FFFFFF" filled="t" stroked="t" coordsize="21600,21600" o:gfxdata="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Pj5rm1gAAAAkBAAAPAAAAAAAAAAEAIAAAACIAAABkcnMvZG93bnJldi54bWxQSwEC&#10;FAAUAAAACACHTuJAr6nv7S8CAACABAAADgAAAAAAAAABACAAAAAlAQAAZHJzL2Uyb0RvYy54bWxQ&#10;SwUGAAAAAAYABgBZAQAAxgUAAAAA&#10;">
                      <v:fill on="t" focussize="0,0"/>
                      <v:stroke color="#000000" miterlimit="8" joinstyle="miter"/>
                      <v:imagedata o:title=""/>
                      <o:lock v:ext="edit" aspectratio="f"/>
                      <v:textbox>
                        <w:txbxContent>
                          <w:p>
                            <w:pPr>
                              <w:jc w:val="center"/>
                            </w:pPr>
                            <w:r>
                              <w:rPr>
                                <w:rFonts w:hint="eastAsia"/>
                              </w:rPr>
                              <w:t>外加剂</w:t>
                            </w:r>
                          </w:p>
                        </w:txbxContent>
                      </v:textbox>
                    </v:rect>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2531745</wp:posOffset>
                      </wp:positionH>
                      <wp:positionV relativeFrom="paragraph">
                        <wp:posOffset>81280</wp:posOffset>
                      </wp:positionV>
                      <wp:extent cx="466725" cy="291465"/>
                      <wp:effectExtent l="4445" t="4445" r="5080" b="8890"/>
                      <wp:wrapNone/>
                      <wp:docPr id="114" name="Rectangle 1374"/>
                      <wp:cNvGraphicFramePr/>
                      <a:graphic xmlns:a="http://schemas.openxmlformats.org/drawingml/2006/main">
                        <a:graphicData uri="http://schemas.microsoft.com/office/word/2010/wordprocessingShape">
                          <wps:wsp>
                            <wps:cNvSpPr>
                              <a:spLocks noChangeArrowheads="1"/>
                            </wps:cNvSpPr>
                            <wps:spPr bwMode="auto">
                              <a:xfrm>
                                <a:off x="0" y="0"/>
                                <a:ext cx="466725" cy="291465"/>
                              </a:xfrm>
                              <a:prstGeom prst="rect">
                                <a:avLst/>
                              </a:prstGeom>
                              <a:solidFill>
                                <a:srgbClr val="FFFFFF"/>
                              </a:solidFill>
                              <a:ln w="9525">
                                <a:solidFill>
                                  <a:srgbClr val="000000"/>
                                </a:solidFill>
                                <a:miter lim="800000"/>
                              </a:ln>
                            </wps:spPr>
                            <wps:txbx>
                              <w:txbxContent>
                                <w:p>
                                  <w:pPr>
                                    <w:jc w:val="center"/>
                                  </w:pPr>
                                  <w:r>
                                    <w:rPr>
                                      <w:rFonts w:hint="eastAsia"/>
                                    </w:rPr>
                                    <w:t>筒仓</w:t>
                                  </w:r>
                                </w:p>
                              </w:txbxContent>
                            </wps:txbx>
                            <wps:bodyPr rot="0" vert="horz" wrap="square" lIns="91440" tIns="45720" rIns="91440" bIns="45720" anchor="t" anchorCtr="0" upright="1">
                              <a:noAutofit/>
                            </wps:bodyPr>
                          </wps:wsp>
                        </a:graphicData>
                      </a:graphic>
                    </wp:anchor>
                  </w:drawing>
                </mc:Choice>
                <mc:Fallback>
                  <w:pict>
                    <v:rect id="Rectangle 1374" o:spid="_x0000_s1026" o:spt="1" style="position:absolute;left:0pt;margin-left:199.35pt;margin-top:6.4pt;height:22.95pt;width:36.75pt;z-index:251682816;mso-width-relative:page;mso-height-relative:page;" fillcolor="#FFFFFF" filled="t" stroked="t" coordsize="21600,21600" o:gfxdata="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cgH5jXAAAACQEAAA8AAAAAAAAAAQAgAAAAIgAAAGRycy9kb3ducmV2LnhtbFBLAQIU&#10;ABQAAAAIAIdO4kCyCmd4LQIAAIEEAAAOAAAAAAAAAAEAIAAAACYBAABkcnMvZTJvRG9jLnhtbFBL&#10;BQYAAAAABgAGAFkBAADFBQAAAAA=&#10;">
                      <v:fill on="t" focussize="0,0"/>
                      <v:stroke color="#000000" miterlimit="8" joinstyle="miter"/>
                      <v:imagedata o:title=""/>
                      <o:lock v:ext="edit" aspectratio="f"/>
                      <v:textbox>
                        <w:txbxContent>
                          <w:p>
                            <w:pPr>
                              <w:jc w:val="center"/>
                            </w:pPr>
                            <w:r>
                              <w:rPr>
                                <w:rFonts w:hint="eastAsia"/>
                              </w:rPr>
                              <w:t>筒仓</w:t>
                            </w:r>
                          </w:p>
                        </w:txbxContent>
                      </v:textbox>
                    </v:rect>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1131570</wp:posOffset>
                      </wp:positionH>
                      <wp:positionV relativeFrom="paragraph">
                        <wp:posOffset>59690</wp:posOffset>
                      </wp:positionV>
                      <wp:extent cx="487045" cy="419100"/>
                      <wp:effectExtent l="4445" t="5080" r="22860" b="13970"/>
                      <wp:wrapNone/>
                      <wp:docPr id="103" name="Rectangle 1286"/>
                      <wp:cNvGraphicFramePr/>
                      <a:graphic xmlns:a="http://schemas.openxmlformats.org/drawingml/2006/main">
                        <a:graphicData uri="http://schemas.microsoft.com/office/word/2010/wordprocessingShape">
                          <wps:wsp>
                            <wps:cNvSpPr>
                              <a:spLocks noChangeArrowheads="1"/>
                            </wps:cNvSpPr>
                            <wps:spPr bwMode="auto">
                              <a:xfrm>
                                <a:off x="0" y="0"/>
                                <a:ext cx="487045" cy="419100"/>
                              </a:xfrm>
                              <a:prstGeom prst="rect">
                                <a:avLst/>
                              </a:prstGeom>
                              <a:solidFill>
                                <a:srgbClr val="FFFFFF"/>
                              </a:solidFill>
                              <a:ln w="9525">
                                <a:solidFill>
                                  <a:srgbClr val="000000"/>
                                </a:solidFill>
                                <a:miter lim="800000"/>
                              </a:ln>
                            </wps:spPr>
                            <wps:txbx>
                              <w:txbxContent>
                                <w:p>
                                  <w:r>
                                    <w:rPr>
                                      <w:rFonts w:hint="eastAsia"/>
                                    </w:rPr>
                                    <w:t>石料</w:t>
                                  </w:r>
                                </w:p>
                                <w:p>
                                  <w:r>
                                    <w:rPr>
                                      <w:rFonts w:hint="eastAsia"/>
                                    </w:rPr>
                                    <w:t>料斗</w:t>
                                  </w:r>
                                </w:p>
                              </w:txbxContent>
                            </wps:txbx>
                            <wps:bodyPr rot="0" vert="horz" wrap="square" lIns="91440" tIns="45720" rIns="91440" bIns="45720" anchor="t" anchorCtr="0" upright="1">
                              <a:noAutofit/>
                            </wps:bodyPr>
                          </wps:wsp>
                        </a:graphicData>
                      </a:graphic>
                    </wp:anchor>
                  </w:drawing>
                </mc:Choice>
                <mc:Fallback>
                  <w:pict>
                    <v:rect id="Rectangle 1286" o:spid="_x0000_s1026" o:spt="1" style="position:absolute;left:0pt;margin-left:89.1pt;margin-top:4.7pt;height:33pt;width:38.35pt;z-index:251673600;mso-width-relative:page;mso-height-relative:page;" fillcolor="#FFFFFF" filled="t" stroked="t" coordsize="21600,21600" o:gfxdata="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VNHDvXAAAACAEAAA8AAAAAAAAAAQAgAAAAIgAAAGRycy9kb3ducmV2Lnht&#10;bFBLAQIUABQAAAAIAIdO4kAUfY2PMwIAAIEEAAAOAAAAAAAAAAEAIAAAACYBAABkcnMvZTJvRG9j&#10;LnhtbFBLBQYAAAAABgAGAFkBAADLBQAAAAA=&#10;">
                      <v:fill on="t" focussize="0,0"/>
                      <v:stroke color="#000000" miterlimit="8" joinstyle="miter"/>
                      <v:imagedata o:title=""/>
                      <o:lock v:ext="edit" aspectratio="f"/>
                      <v:textbox>
                        <w:txbxContent>
                          <w:p>
                            <w:r>
                              <w:rPr>
                                <w:rFonts w:hint="eastAsia"/>
                              </w:rPr>
                              <w:t>石料</w:t>
                            </w:r>
                          </w:p>
                          <w:p>
                            <w:r>
                              <w:rPr>
                                <w:rFonts w:hint="eastAsia"/>
                              </w:rPr>
                              <w:t>料斗</w:t>
                            </w:r>
                          </w:p>
                        </w:txbxContent>
                      </v:textbox>
                    </v:rect>
                  </w:pict>
                </mc:Fallback>
              </mc:AlternateContent>
            </w:r>
          </w:p>
          <w:p>
            <w:pPr>
              <w:adjustRightInd w:val="0"/>
              <w:snapToGrid w:val="0"/>
              <w:spacing w:line="360" w:lineRule="auto"/>
              <w:ind w:firstLine="420" w:firstLineChars="200"/>
              <w:rPr>
                <w:color w:val="auto"/>
                <w:sz w:val="24"/>
              </w:rPr>
            </w:pPr>
            <w:r>
              <w:rPr>
                <w:color w:val="auto"/>
              </w:rPr>
              <mc:AlternateContent>
                <mc:Choice Requires="wps">
                  <w:drawing>
                    <wp:anchor distT="0" distB="0" distL="114300" distR="114300" simplePos="0" relativeHeight="251769856" behindDoc="0" locked="0" layoutInCell="1" allowOverlap="1">
                      <wp:simplePos x="0" y="0"/>
                      <wp:positionH relativeFrom="column">
                        <wp:posOffset>3427730</wp:posOffset>
                      </wp:positionH>
                      <wp:positionV relativeFrom="paragraph">
                        <wp:posOffset>107950</wp:posOffset>
                      </wp:positionV>
                      <wp:extent cx="1905" cy="835660"/>
                      <wp:effectExtent l="38100" t="0" r="36195" b="2540"/>
                      <wp:wrapNone/>
                      <wp:docPr id="161" name="AutoShape 1299"/>
                      <wp:cNvGraphicFramePr/>
                      <a:graphic xmlns:a="http://schemas.openxmlformats.org/drawingml/2006/main">
                        <a:graphicData uri="http://schemas.microsoft.com/office/word/2010/wordprocessingShape">
                          <wps:wsp>
                            <wps:cNvCnPr>
                              <a:cxnSpLocks noChangeShapeType="1"/>
                            </wps:cNvCnPr>
                            <wps:spPr bwMode="auto">
                              <a:xfrm flipH="1">
                                <a:off x="0" y="0"/>
                                <a:ext cx="1905" cy="835660"/>
                              </a:xfrm>
                              <a:prstGeom prst="straightConnector1">
                                <a:avLst/>
                              </a:prstGeom>
                              <a:noFill/>
                              <a:ln w="9525">
                                <a:solidFill>
                                  <a:srgbClr val="000000"/>
                                </a:solidFill>
                                <a:round/>
                                <a:tailEnd type="triangle" w="med" len="med"/>
                              </a:ln>
                            </wps:spPr>
                            <wps:bodyPr/>
                          </wps:wsp>
                        </a:graphicData>
                      </a:graphic>
                    </wp:anchor>
                  </w:drawing>
                </mc:Choice>
                <mc:Fallback>
                  <w:pict>
                    <v:shape id="AutoShape 1299" o:spid="_x0000_s1026" o:spt="32" type="#_x0000_t32" style="position:absolute;left:0pt;flip:x;margin-left:269.9pt;margin-top:8.5pt;height:65.8pt;width:0.15pt;z-index:251769856;mso-width-relative:page;mso-height-relative:page;" filled="f" stroked="t" coordsize="21600,21600" o:gfxdata="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HCkgNkAAAAKAQAADwAAAAAAAAABACAAAAAiAAAAZHJzL2Rvd25y&#10;ZXYueG1sUEsBAhQAFAAAAAgAh07iQDv1LAP9AQAA8QMAAA4AAAAAAAAAAQAgAAAAKAEAAGRycy9l&#10;Mm9Eb2MueG1sUEsFBgAAAAAGAAYAWQEAAJc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4081145</wp:posOffset>
                      </wp:positionH>
                      <wp:positionV relativeFrom="paragraph">
                        <wp:posOffset>123825</wp:posOffset>
                      </wp:positionV>
                      <wp:extent cx="1905" cy="835660"/>
                      <wp:effectExtent l="38100" t="0" r="36195" b="2540"/>
                      <wp:wrapNone/>
                      <wp:docPr id="124" name="AutoShape 1299"/>
                      <wp:cNvGraphicFramePr/>
                      <a:graphic xmlns:a="http://schemas.openxmlformats.org/drawingml/2006/main">
                        <a:graphicData uri="http://schemas.microsoft.com/office/word/2010/wordprocessingShape">
                          <wps:wsp>
                            <wps:cNvCnPr>
                              <a:cxnSpLocks noChangeShapeType="1"/>
                            </wps:cNvCnPr>
                            <wps:spPr bwMode="auto">
                              <a:xfrm flipH="1">
                                <a:off x="0" y="0"/>
                                <a:ext cx="1905" cy="835660"/>
                              </a:xfrm>
                              <a:prstGeom prst="straightConnector1">
                                <a:avLst/>
                              </a:prstGeom>
                              <a:noFill/>
                              <a:ln w="9525">
                                <a:solidFill>
                                  <a:srgbClr val="000000"/>
                                </a:solidFill>
                                <a:round/>
                                <a:tailEnd type="triangle" w="med" len="med"/>
                              </a:ln>
                            </wps:spPr>
                            <wps:bodyPr/>
                          </wps:wsp>
                        </a:graphicData>
                      </a:graphic>
                    </wp:anchor>
                  </w:drawing>
                </mc:Choice>
                <mc:Fallback>
                  <w:pict>
                    <v:shape id="AutoShape 1299" o:spid="_x0000_s1026" o:spt="32" type="#_x0000_t32" style="position:absolute;left:0pt;flip:x;margin-left:321.35pt;margin-top:9.75pt;height:65.8pt;width:0.15pt;z-index:251735040;mso-width-relative:page;mso-height-relative:page;" filled="f" stroked="t" coordsize="21600,21600" o:gfxdata="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3qlU9kAAAAKAQAADwAAAAAAAAABACAAAAAiAAAAZHJzL2Rvd25y&#10;ZXYueG1sUEsBAhQAFAAAAAgAh07iQCmCum39AQAA8QMAAA4AAAAAAAAAAQAgAAAAKAEAAGRycy9l&#10;Mm9Eb2MueG1sUEsFBgAAAAAGAAYAWQEAAJc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1382395</wp:posOffset>
                      </wp:positionH>
                      <wp:positionV relativeFrom="paragraph">
                        <wp:posOffset>248285</wp:posOffset>
                      </wp:positionV>
                      <wp:extent cx="6350" cy="707390"/>
                      <wp:effectExtent l="37465" t="0" r="32385" b="16510"/>
                      <wp:wrapNone/>
                      <wp:docPr id="65" name="AutoShape 1299"/>
                      <wp:cNvGraphicFramePr/>
                      <a:graphic xmlns:a="http://schemas.openxmlformats.org/drawingml/2006/main">
                        <a:graphicData uri="http://schemas.microsoft.com/office/word/2010/wordprocessingShape">
                          <wps:wsp>
                            <wps:cNvCnPr>
                              <a:cxnSpLocks noChangeShapeType="1"/>
                            </wps:cNvCnPr>
                            <wps:spPr bwMode="auto">
                              <a:xfrm flipH="1">
                                <a:off x="0" y="0"/>
                                <a:ext cx="6350" cy="707390"/>
                              </a:xfrm>
                              <a:prstGeom prst="straightConnector1">
                                <a:avLst/>
                              </a:prstGeom>
                              <a:noFill/>
                              <a:ln w="9525">
                                <a:solidFill>
                                  <a:srgbClr val="000000"/>
                                </a:solidFill>
                                <a:round/>
                                <a:tailEnd type="triangle" w="med" len="med"/>
                              </a:ln>
                            </wps:spPr>
                            <wps:bodyPr/>
                          </wps:wsp>
                        </a:graphicData>
                      </a:graphic>
                    </wp:anchor>
                  </w:drawing>
                </mc:Choice>
                <mc:Fallback>
                  <w:pict>
                    <v:shape id="AutoShape 1299" o:spid="_x0000_s1026" o:spt="32" type="#_x0000_t32" style="position:absolute;left:0pt;flip:x;margin-left:108.85pt;margin-top:19.55pt;height:55.7pt;width:0.5pt;z-index:251676672;mso-width-relative:page;mso-height-relative:page;" filled="f" stroked="t" coordsize="21600,21600" o:gfxdata="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P9v2QAAAAoBAAAPAAAAAAAAAAEAIAAAACIAAABkcnMvZG93bnJl&#10;di54bWxQSwECFAAUAAAACACHTuJAV0E5LvwBAADwAwAADgAAAAAAAAABACAAAAAoAQAAZHJzL2Uy&#10;b0RvYy54bWxQSwUGAAAAAAYABgBZAQAAl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4779645</wp:posOffset>
                      </wp:positionH>
                      <wp:positionV relativeFrom="paragraph">
                        <wp:posOffset>218440</wp:posOffset>
                      </wp:positionV>
                      <wp:extent cx="286385" cy="628650"/>
                      <wp:effectExtent l="0" t="0" r="0" b="0"/>
                      <wp:wrapNone/>
                      <wp:docPr id="132" name="Rectangle 1290"/>
                      <wp:cNvGraphicFramePr/>
                      <a:graphic xmlns:a="http://schemas.openxmlformats.org/drawingml/2006/main">
                        <a:graphicData uri="http://schemas.microsoft.com/office/word/2010/wordprocessingShape">
                          <wps:wsp>
                            <wps:cNvSpPr>
                              <a:spLocks noChangeArrowheads="1"/>
                            </wps:cNvSpPr>
                            <wps:spPr bwMode="auto">
                              <a:xfrm>
                                <a:off x="0" y="0"/>
                                <a:ext cx="286385" cy="628650"/>
                              </a:xfrm>
                              <a:prstGeom prst="rect">
                                <a:avLst/>
                              </a:prstGeom>
                              <a:noFill/>
                              <a:ln>
                                <a:noFill/>
                              </a:ln>
                            </wps:spPr>
                            <wps:txbx>
                              <w:txbxContent>
                                <w:p>
                                  <w:r>
                                    <w:rPr>
                                      <w:rFonts w:hint="eastAsia"/>
                                    </w:rPr>
                                    <w:t>输送带</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376.35pt;margin-top:17.2pt;height:49.5pt;width:22.55pt;z-index:251739136;mso-width-relative:page;mso-height-relative:page;" filled="f" stroked="f" coordsize="21600,21600" o:gfxdata="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olPs2wAAAAoBAAAPAAAAAAAAAAEAIAAAACIA&#10;AABkcnMvZG93bnJldi54bWxQSwECFAAUAAAACACHTuJAVG6AmwYCAAAPBAAADgAAAAAAAAABACAA&#10;AAAqAQAAZHJzL2Uyb0RvYy54bWxQSwUGAAAAAAYABgBZAQAAogUAAAAA&#10;">
                      <v:fill on="f" focussize="0,0"/>
                      <v:stroke on="f"/>
                      <v:imagedata o:title=""/>
                      <o:lock v:ext="edit" aspectratio="f"/>
                      <v:textbox>
                        <w:txbxContent>
                          <w:p>
                            <w:r>
                              <w:rPr>
                                <w:rFonts w:hint="eastAsia"/>
                              </w:rPr>
                              <w:t>输送带</w:t>
                            </w:r>
                          </w:p>
                        </w:txbxContent>
                      </v:textbox>
                    </v:rect>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4754245</wp:posOffset>
                      </wp:positionH>
                      <wp:positionV relativeFrom="paragraph">
                        <wp:posOffset>109855</wp:posOffset>
                      </wp:positionV>
                      <wp:extent cx="1270" cy="864235"/>
                      <wp:effectExtent l="38100" t="0" r="36830" b="12065"/>
                      <wp:wrapNone/>
                      <wp:docPr id="126" name="AutoShape 1299"/>
                      <wp:cNvGraphicFramePr/>
                      <a:graphic xmlns:a="http://schemas.openxmlformats.org/drawingml/2006/main">
                        <a:graphicData uri="http://schemas.microsoft.com/office/word/2010/wordprocessingShape">
                          <wps:wsp>
                            <wps:cNvCnPr>
                              <a:cxnSpLocks noChangeShapeType="1"/>
                            </wps:cNvCnPr>
                            <wps:spPr bwMode="auto">
                              <a:xfrm flipH="1">
                                <a:off x="0" y="0"/>
                                <a:ext cx="1270" cy="864235"/>
                              </a:xfrm>
                              <a:prstGeom prst="straightConnector1">
                                <a:avLst/>
                              </a:prstGeom>
                              <a:noFill/>
                              <a:ln w="9525">
                                <a:solidFill>
                                  <a:srgbClr val="000000"/>
                                </a:solidFill>
                                <a:round/>
                                <a:tailEnd type="triangle" w="med" len="med"/>
                              </a:ln>
                            </wps:spPr>
                            <wps:bodyPr/>
                          </wps:wsp>
                        </a:graphicData>
                      </a:graphic>
                    </wp:anchor>
                  </w:drawing>
                </mc:Choice>
                <mc:Fallback>
                  <w:pict>
                    <v:shape id="AutoShape 1299" o:spid="_x0000_s1026" o:spt="32" type="#_x0000_t32" style="position:absolute;left:0pt;flip:x;margin-left:374.35pt;margin-top:8.65pt;height:68.05pt;width:0.1pt;z-index:251736064;mso-width-relative:page;mso-height-relative:page;" filled="f" stroked="t" coordsize="21600,21600" o:gfxdata="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XTe82QAAAAoBAAAPAAAAAAAAAAEAIAAAACIAAABkcnMvZG93bnJl&#10;di54bWxQSwECFAAUAAAACACHTuJAbqgmMfwBAADxAwAADgAAAAAAAAABACAAAAAoAQAAZHJzL2Uy&#10;b0RvYy54bWxQSwUGAAAAAAYABgBZAQAAl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2763520</wp:posOffset>
                      </wp:positionH>
                      <wp:positionV relativeFrom="paragraph">
                        <wp:posOffset>109855</wp:posOffset>
                      </wp:positionV>
                      <wp:extent cx="1905" cy="854710"/>
                      <wp:effectExtent l="38100" t="0" r="36195" b="2540"/>
                      <wp:wrapNone/>
                      <wp:docPr id="123" name="AutoShape 1299"/>
                      <wp:cNvGraphicFramePr/>
                      <a:graphic xmlns:a="http://schemas.openxmlformats.org/drawingml/2006/main">
                        <a:graphicData uri="http://schemas.microsoft.com/office/word/2010/wordprocessingShape">
                          <wps:wsp>
                            <wps:cNvCnPr>
                              <a:cxnSpLocks noChangeShapeType="1"/>
                            </wps:cNvCnPr>
                            <wps:spPr bwMode="auto">
                              <a:xfrm flipH="1">
                                <a:off x="0" y="0"/>
                                <a:ext cx="1905" cy="854710"/>
                              </a:xfrm>
                              <a:prstGeom prst="straightConnector1">
                                <a:avLst/>
                              </a:prstGeom>
                              <a:noFill/>
                              <a:ln w="9525">
                                <a:solidFill>
                                  <a:srgbClr val="000000"/>
                                </a:solidFill>
                                <a:round/>
                                <a:tailEnd type="triangle" w="med" len="med"/>
                              </a:ln>
                            </wps:spPr>
                            <wps:bodyPr/>
                          </wps:wsp>
                        </a:graphicData>
                      </a:graphic>
                    </wp:anchor>
                  </w:drawing>
                </mc:Choice>
                <mc:Fallback>
                  <w:pict>
                    <v:shape id="AutoShape 1299" o:spid="_x0000_s1026" o:spt="32" type="#_x0000_t32" style="position:absolute;left:0pt;flip:x;margin-left:217.6pt;margin-top:8.65pt;height:67.3pt;width:0.15pt;z-index:251734016;mso-width-relative:page;mso-height-relative:page;" filled="f" stroked="t" coordsize="21600,21600" o:gfxdata="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6rSm2AAAAAoBAAAPAAAAAAAAAAEAIAAAACIAAABkcnMvZG93bnJl&#10;di54bWxQSwECFAAUAAAACACHTuJApfDyt/0BAADxAwAADgAAAAAAAAABACAAAAAnAQAAZHJzL2Uy&#10;b0RvYy54bWxQSwUGAAAAAAYABgBZAQAAlg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2017395</wp:posOffset>
                      </wp:positionH>
                      <wp:positionV relativeFrom="paragraph">
                        <wp:posOffset>247650</wp:posOffset>
                      </wp:positionV>
                      <wp:extent cx="3175" cy="697865"/>
                      <wp:effectExtent l="35560" t="0" r="37465" b="6985"/>
                      <wp:wrapNone/>
                      <wp:docPr id="121" name="AutoShape 1299"/>
                      <wp:cNvGraphicFramePr/>
                      <a:graphic xmlns:a="http://schemas.openxmlformats.org/drawingml/2006/main">
                        <a:graphicData uri="http://schemas.microsoft.com/office/word/2010/wordprocessingShape">
                          <wps:wsp>
                            <wps:cNvCnPr>
                              <a:cxnSpLocks noChangeShapeType="1"/>
                            </wps:cNvCnPr>
                            <wps:spPr bwMode="auto">
                              <a:xfrm>
                                <a:off x="0" y="0"/>
                                <a:ext cx="3175" cy="697865"/>
                              </a:xfrm>
                              <a:prstGeom prst="straightConnector1">
                                <a:avLst/>
                              </a:prstGeom>
                              <a:noFill/>
                              <a:ln w="9525">
                                <a:solidFill>
                                  <a:srgbClr val="000000"/>
                                </a:solidFill>
                                <a:round/>
                                <a:tailEnd type="triangle" w="med" len="med"/>
                              </a:ln>
                            </wps:spPr>
                            <wps:bodyPr/>
                          </wps:wsp>
                        </a:graphicData>
                      </a:graphic>
                    </wp:anchor>
                  </w:drawing>
                </mc:Choice>
                <mc:Fallback>
                  <w:pict>
                    <v:shape id="AutoShape 1299" o:spid="_x0000_s1026" o:spt="32" type="#_x0000_t32" style="position:absolute;left:0pt;margin-left:158.85pt;margin-top:19.5pt;height:54.95pt;width:0.25pt;z-index:251731968;mso-width-relative:page;mso-height-relative:page;" filled="f" stroked="t" coordsize="21600,21600" o:gfxdata="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wam6NoAAAAKAQAADwAAAAAAAAABACAAAAAiAAAAZHJzL2Rvd25yZXYueG1s&#10;UEsBAhQAFAAAAAgAh07iQFuC9hT2AQAA5wMAAA4AAAAAAAAAAQAgAAAAKQEAAGRycy9lMm9Eb2Mu&#10;eG1sUEsFBgAAAAAGAAYAWQEAAJEFAAAAAA==&#10;">
                      <v:fill on="f" focussize="0,0"/>
                      <v:stroke color="#000000" joinstyle="round" endarrow="block"/>
                      <v:imagedata o:title=""/>
                      <o:lock v:ext="edit" aspectratio="f"/>
                    </v:shape>
                  </w:pict>
                </mc:Fallback>
              </mc:AlternateContent>
            </w:r>
          </w:p>
          <w:p>
            <w:pPr>
              <w:adjustRightInd w:val="0"/>
              <w:snapToGrid w:val="0"/>
              <w:spacing w:line="360" w:lineRule="auto"/>
              <w:ind w:firstLine="420" w:firstLineChars="200"/>
              <w:rPr>
                <w:color w:val="auto"/>
                <w:sz w:val="24"/>
              </w:rPr>
            </w:pPr>
            <w:r>
              <w:rPr>
                <w:color w:val="auto"/>
              </w:rPr>
              <mc:AlternateContent>
                <mc:Choice Requires="wps">
                  <w:drawing>
                    <wp:anchor distT="0" distB="0" distL="114300" distR="114300" simplePos="0" relativeHeight="251738112" behindDoc="0" locked="0" layoutInCell="1" allowOverlap="1">
                      <wp:simplePos x="0" y="0"/>
                      <wp:positionH relativeFrom="column">
                        <wp:posOffset>2065020</wp:posOffset>
                      </wp:positionH>
                      <wp:positionV relativeFrom="paragraph">
                        <wp:posOffset>3175</wp:posOffset>
                      </wp:positionV>
                      <wp:extent cx="286385" cy="628650"/>
                      <wp:effectExtent l="0" t="0" r="0" b="0"/>
                      <wp:wrapNone/>
                      <wp:docPr id="128" name="Rectangle 1290"/>
                      <wp:cNvGraphicFramePr/>
                      <a:graphic xmlns:a="http://schemas.openxmlformats.org/drawingml/2006/main">
                        <a:graphicData uri="http://schemas.microsoft.com/office/word/2010/wordprocessingShape">
                          <wps:wsp>
                            <wps:cNvSpPr>
                              <a:spLocks noChangeArrowheads="1"/>
                            </wps:cNvSpPr>
                            <wps:spPr bwMode="auto">
                              <a:xfrm>
                                <a:off x="0" y="0"/>
                                <a:ext cx="286385" cy="628650"/>
                              </a:xfrm>
                              <a:prstGeom prst="rect">
                                <a:avLst/>
                              </a:prstGeom>
                              <a:noFill/>
                              <a:ln>
                                <a:noFill/>
                              </a:ln>
                            </wps:spPr>
                            <wps:txbx>
                              <w:txbxContent>
                                <w:p>
                                  <w:r>
                                    <w:rPr>
                                      <w:rFonts w:hint="eastAsia"/>
                                    </w:rPr>
                                    <w:t>输送带</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162.6pt;margin-top:0.25pt;height:49.5pt;width:22.55pt;z-index:251738112;mso-width-relative:page;mso-height-relative:page;" filled="f" stroked="f" coordsize="21600,21600" o:gfxdata="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8Sh3YAAAABwEAAA8AAAAAAAAAAQAgAAAAIgAAAGRy&#10;cy9kb3ducmV2LnhtbFBLAQIUABQAAAAIAIdO4kDso5fjBQIAAA8EAAAOAAAAAAAAAAEAIAAAACcB&#10;AABkcnMvZTJvRG9jLnhtbFBLBQYAAAAABgAGAFkBAACeBQAAAAA=&#10;">
                      <v:fill on="f" focussize="0,0"/>
                      <v:stroke on="f"/>
                      <v:imagedata o:title=""/>
                      <o:lock v:ext="edit" aspectratio="f"/>
                      <v:textbox>
                        <w:txbxContent>
                          <w:p>
                            <w:r>
                              <w:rPr>
                                <w:rFonts w:hint="eastAsia"/>
                              </w:rPr>
                              <w:t>输送带</w:t>
                            </w:r>
                          </w:p>
                        </w:txbxContent>
                      </v:textbox>
                    </v:rect>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1426845</wp:posOffset>
                      </wp:positionH>
                      <wp:positionV relativeFrom="paragraph">
                        <wp:posOffset>3175</wp:posOffset>
                      </wp:positionV>
                      <wp:extent cx="286385" cy="628650"/>
                      <wp:effectExtent l="0" t="0" r="0" b="0"/>
                      <wp:wrapNone/>
                      <wp:docPr id="127" name="Rectangle 1290"/>
                      <wp:cNvGraphicFramePr/>
                      <a:graphic xmlns:a="http://schemas.openxmlformats.org/drawingml/2006/main">
                        <a:graphicData uri="http://schemas.microsoft.com/office/word/2010/wordprocessingShape">
                          <wps:wsp>
                            <wps:cNvSpPr>
                              <a:spLocks noChangeArrowheads="1"/>
                            </wps:cNvSpPr>
                            <wps:spPr bwMode="auto">
                              <a:xfrm>
                                <a:off x="0" y="0"/>
                                <a:ext cx="286385" cy="628650"/>
                              </a:xfrm>
                              <a:prstGeom prst="rect">
                                <a:avLst/>
                              </a:prstGeom>
                              <a:noFill/>
                              <a:ln>
                                <a:noFill/>
                              </a:ln>
                            </wps:spPr>
                            <wps:txbx>
                              <w:txbxContent>
                                <w:p>
                                  <w:r>
                                    <w:rPr>
                                      <w:rFonts w:hint="eastAsia"/>
                                    </w:rPr>
                                    <w:t>输送带</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112.35pt;margin-top:0.25pt;height:49.5pt;width:22.55pt;z-index:251737088;mso-width-relative:page;mso-height-relative:page;" filled="f" stroked="f" coordsize="21600,21600" o:gfxdata="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&#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K+iT2AAAAAcBAAAPAAAAAAAAAAEAIAAAACIAAABk&#10;cnMvZG93bnJldi54bWxQSwECFAAUAAAACACHTuJAfw98cgYCAAAPBAAADgAAAAAAAAABACAAAAAn&#10;AQAAZHJzL2Uyb0RvYy54bWxQSwUGAAAAAAYABgBZAQAAnwUAAAAA&#10;">
                      <v:fill on="f" focussize="0,0"/>
                      <v:stroke on="f"/>
                      <v:imagedata o:title=""/>
                      <o:lock v:ext="edit" aspectratio="f"/>
                      <v:textbox>
                        <w:txbxContent>
                          <w:p>
                            <w:r>
                              <w:rPr>
                                <w:rFonts w:hint="eastAsia"/>
                              </w:rPr>
                              <w:t>输送带</w:t>
                            </w:r>
                          </w:p>
                        </w:txbxContent>
                      </v:textbox>
                    </v:rect>
                  </w:pict>
                </mc:Fallback>
              </mc:AlternateContent>
            </w:r>
          </w:p>
          <w:p>
            <w:pPr>
              <w:adjustRightInd w:val="0"/>
              <w:snapToGrid w:val="0"/>
              <w:spacing w:line="360" w:lineRule="auto"/>
              <w:ind w:firstLine="420" w:firstLineChars="200"/>
              <w:rPr>
                <w:color w:val="auto"/>
                <w:sz w:val="24"/>
              </w:rPr>
            </w:pPr>
            <w:r>
              <w:rPr>
                <w:color w:val="auto"/>
              </w:rPr>
              <mc:AlternateContent>
                <mc:Choice Requires="wps">
                  <w:drawing>
                    <wp:anchor distT="0" distB="0" distL="114300" distR="114300" simplePos="0" relativeHeight="251740160" behindDoc="0" locked="0" layoutInCell="1" allowOverlap="1">
                      <wp:simplePos x="0" y="0"/>
                      <wp:positionH relativeFrom="column">
                        <wp:posOffset>474345</wp:posOffset>
                      </wp:positionH>
                      <wp:positionV relativeFrom="paragraph">
                        <wp:posOffset>130810</wp:posOffset>
                      </wp:positionV>
                      <wp:extent cx="514350" cy="276225"/>
                      <wp:effectExtent l="0" t="0" r="0" b="0"/>
                      <wp:wrapNone/>
                      <wp:docPr id="133" name="Rectangle 1290"/>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r>
                                    <w:rPr>
                                      <w:rFonts w:hint="eastAsia"/>
                                    </w:rPr>
                                    <w:t>噪声</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37.35pt;margin-top:10.3pt;height:21.75pt;width:40.5pt;z-index:251740160;mso-width-relative:page;mso-height-relative:page;" filled="f" stroked="f" coordsize="21600,21600" o:gfxdata="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hQzZAAAACAEAAA8AAAAAAAAAAQAgAAAAIgAA&#10;AGRycy9kb3ducmV2LnhtbFBLAQIUABQAAAAIAIdO4kCBTT6yBwIAAA8EAAAOAAAAAAAAAAEAIAAA&#10;ACgBAABkcnMvZTJvRG9jLnhtbFBLBQYAAAAABgAGAFkBAAChBQAAAAA=&#10;">
                      <v:fill on="f" focussize="0,0"/>
                      <v:stroke on="f"/>
                      <v:imagedata o:title=""/>
                      <o:lock v:ext="edit" aspectratio="f"/>
                      <v:textbox>
                        <w:txbxContent>
                          <w:p>
                            <w:r>
                              <w:rPr>
                                <w:rFonts w:hint="eastAsia"/>
                              </w:rPr>
                              <w:t>噪声</w:t>
                            </w:r>
                          </w:p>
                        </w:txbxContent>
                      </v:textbox>
                    </v:rect>
                  </w:pict>
                </mc:Fallback>
              </mc:AlternateContent>
            </w:r>
          </w:p>
          <w:p>
            <w:pPr>
              <w:adjustRightInd w:val="0"/>
              <w:snapToGrid w:val="0"/>
              <w:spacing w:line="360" w:lineRule="auto"/>
              <w:ind w:firstLine="480" w:firstLineChars="200"/>
              <w:rPr>
                <w:color w:val="auto"/>
                <w:sz w:val="24"/>
              </w:rPr>
            </w:pPr>
            <w:r>
              <w:rPr>
                <w:snapToGrid w:val="0"/>
                <w:color w:val="auto"/>
                <w:kern w:val="0"/>
                <w:sz w:val="24"/>
              </w:rPr>
              <mc:AlternateContent>
                <mc:Choice Requires="wps">
                  <w:drawing>
                    <wp:anchor distT="0" distB="0" distL="114300" distR="114300" simplePos="0" relativeHeight="251680768" behindDoc="0" locked="0" layoutInCell="1" allowOverlap="1">
                      <wp:simplePos x="0" y="0"/>
                      <wp:positionH relativeFrom="column">
                        <wp:posOffset>925195</wp:posOffset>
                      </wp:positionH>
                      <wp:positionV relativeFrom="paragraph">
                        <wp:posOffset>28575</wp:posOffset>
                      </wp:positionV>
                      <wp:extent cx="3816350" cy="13970"/>
                      <wp:effectExtent l="0" t="24130" r="12700" b="38100"/>
                      <wp:wrapNone/>
                      <wp:docPr id="113" name="AutoShape 1314"/>
                      <wp:cNvGraphicFramePr/>
                      <a:graphic xmlns:a="http://schemas.openxmlformats.org/drawingml/2006/main">
                        <a:graphicData uri="http://schemas.microsoft.com/office/word/2010/wordprocessingShape">
                          <wps:wsp>
                            <wps:cNvCnPr>
                              <a:cxnSpLocks noChangeShapeType="1"/>
                            </wps:cNvCnPr>
                            <wps:spPr bwMode="auto">
                              <a:xfrm flipH="1">
                                <a:off x="0" y="0"/>
                                <a:ext cx="3816350" cy="1397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1314" o:spid="_x0000_s1026" o:spt="32" type="#_x0000_t32" style="position:absolute;left:0pt;flip:x;margin-left:72.85pt;margin-top:2.25pt;height:1.1pt;width:300.5pt;z-index:251680768;mso-width-relative:page;mso-height-relative:page;" filled="f" stroked="t" coordsize="21600,21600" o:gfxdata="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vpQq0QAAAAcBAAAPAAAAAAAAAAEAIAAAACIAAABkcnMv&#10;ZG93bnJldi54bWxQSwECFAAUAAAACACHTuJAqsu5ugoCAAALBAAADgAAAAAAAAABACAAAAAgAQAA&#10;ZHJzL2Uyb0RvYy54bWxQSwUGAAAAAAYABgBZAQAAnAUAAAAA&#10;">
                      <v:fill on="f" focussize="0,0"/>
                      <v:stroke color="#000000" joinstyle="round" dashstyle="dash" endarrow="block"/>
                      <v:imagedata o:title=""/>
                      <o:lock v:ext="edit" aspectratio="f"/>
                    </v:shap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283845</wp:posOffset>
                      </wp:positionH>
                      <wp:positionV relativeFrom="paragraph">
                        <wp:posOffset>134620</wp:posOffset>
                      </wp:positionV>
                      <wp:extent cx="410210" cy="276225"/>
                      <wp:effectExtent l="0" t="0" r="0" b="0"/>
                      <wp:wrapNone/>
                      <wp:docPr id="122" name="Rectangle 1290"/>
                      <wp:cNvGraphicFramePr/>
                      <a:graphic xmlns:a="http://schemas.openxmlformats.org/drawingml/2006/main">
                        <a:graphicData uri="http://schemas.microsoft.com/office/word/2010/wordprocessingShape">
                          <wps:wsp>
                            <wps:cNvSpPr>
                              <a:spLocks noChangeArrowheads="1"/>
                            </wps:cNvSpPr>
                            <wps:spPr bwMode="auto">
                              <a:xfrm>
                                <a:off x="0" y="0"/>
                                <a:ext cx="410210" cy="276225"/>
                              </a:xfrm>
                              <a:prstGeom prst="rect">
                                <a:avLst/>
                              </a:prstGeom>
                              <a:noFill/>
                              <a:ln>
                                <a:noFill/>
                              </a:ln>
                            </wps:spPr>
                            <wps:txbx>
                              <w:txbxContent>
                                <w:p>
                                  <w:r>
                                    <w:rPr>
                                      <w:rFonts w:hint="eastAsia"/>
                                    </w:rPr>
                                    <w:t>水</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22.35pt;margin-top:10.6pt;height:21.75pt;width:32.3pt;z-index:251732992;mso-width-relative:page;mso-height-relative:page;" filled="f" stroked="f" coordsize="21600,21600" o:gfxdata="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1b8/fYAAAACAEAAA8AAAAAAAAAAQAgAAAAIgAAAGRy&#10;cy9kb3ducmV2LnhtbFBLAQIUABQAAAAIAIdO4kD6k0C2BQIAAA8EAAAOAAAAAAAAAAEAIAAAACcB&#10;AABkcnMvZTJvRG9jLnhtbFBLBQYAAAAABgAGAFkBAACeBQAAAAA=&#10;">
                      <v:fill on="f" focussize="0,0"/>
                      <v:stroke on="f"/>
                      <v:imagedata o:title=""/>
                      <o:lock v:ext="edit" aspectratio="f"/>
                      <v:textbox>
                        <w:txbxContent>
                          <w:p>
                            <w:r>
                              <w:rPr>
                                <w:rFonts w:hint="eastAsia"/>
                              </w:rPr>
                              <w:t>水</w:t>
                            </w:r>
                          </w:p>
                        </w:txbxContent>
                      </v:textbox>
                    </v:rect>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1112520</wp:posOffset>
                      </wp:positionH>
                      <wp:positionV relativeFrom="paragraph">
                        <wp:posOffset>153670</wp:posOffset>
                      </wp:positionV>
                      <wp:extent cx="3885565" cy="266700"/>
                      <wp:effectExtent l="4445" t="4445" r="15240" b="14605"/>
                      <wp:wrapNone/>
                      <wp:docPr id="105" name="Rectangle 1285"/>
                      <wp:cNvGraphicFramePr/>
                      <a:graphic xmlns:a="http://schemas.openxmlformats.org/drawingml/2006/main">
                        <a:graphicData uri="http://schemas.microsoft.com/office/word/2010/wordprocessingShape">
                          <wps:wsp>
                            <wps:cNvSpPr>
                              <a:spLocks noChangeArrowheads="1"/>
                            </wps:cNvSpPr>
                            <wps:spPr bwMode="auto">
                              <a:xfrm>
                                <a:off x="0" y="0"/>
                                <a:ext cx="3885565" cy="266700"/>
                              </a:xfrm>
                              <a:prstGeom prst="rect">
                                <a:avLst/>
                              </a:prstGeom>
                              <a:solidFill>
                                <a:srgbClr val="FFFFFF"/>
                              </a:solidFill>
                              <a:ln w="9525">
                                <a:solidFill>
                                  <a:srgbClr val="000000"/>
                                </a:solidFill>
                                <a:miter lim="800000"/>
                              </a:ln>
                            </wps:spPr>
                            <wps:txbx>
                              <w:txbxContent>
                                <w:p>
                                  <w:pPr>
                                    <w:jc w:val="center"/>
                                  </w:pPr>
                                  <w:r>
                                    <w:rPr>
                                      <w:rFonts w:hint="eastAsia"/>
                                    </w:rPr>
                                    <w:t>搅拌机</w:t>
                                  </w:r>
                                </w:p>
                              </w:txbxContent>
                            </wps:txbx>
                            <wps:bodyPr rot="0" vert="horz" wrap="square" lIns="91440" tIns="45720" rIns="91440" bIns="45720" anchor="t" anchorCtr="0" upright="1">
                              <a:noAutofit/>
                            </wps:bodyPr>
                          </wps:wsp>
                        </a:graphicData>
                      </a:graphic>
                    </wp:anchor>
                  </w:drawing>
                </mc:Choice>
                <mc:Fallback>
                  <w:pict>
                    <v:rect id="Rectangle 1285" o:spid="_x0000_s1026" o:spt="1" style="position:absolute;left:0pt;margin-left:87.6pt;margin-top:12.1pt;height:21pt;width:305.95pt;z-index:251672576;mso-width-relative:page;mso-height-relative:page;" fillcolor="#FFFFFF" filled="t" stroked="t" coordsize="21600,21600" o:gfxdata="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9bL4/XAAAACQEAAA8AAAAAAAAAAQAgAAAAIgAAAGRycy9kb3ducmV2Lnht&#10;bFBLAQIUABQAAAAIAIdO4kCksJQTMwIAAII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搅拌机</w:t>
                            </w:r>
                          </w:p>
                        </w:txbxContent>
                      </v:textbox>
                    </v:rect>
                  </w:pict>
                </mc:Fallback>
              </mc:AlternateContent>
            </w:r>
          </w:p>
          <w:p>
            <w:pPr>
              <w:adjustRightInd w:val="0"/>
              <w:snapToGrid w:val="0"/>
              <w:spacing w:line="360" w:lineRule="auto"/>
              <w:ind w:firstLine="420" w:firstLineChars="200"/>
              <w:rPr>
                <w:color w:val="auto"/>
                <w:sz w:val="24"/>
              </w:rPr>
            </w:pPr>
            <w:r>
              <w:rPr>
                <w:color w:val="auto"/>
              </w:rPr>
              <mc:AlternateContent>
                <mc:Choice Requires="wps">
                  <w:drawing>
                    <wp:anchor distT="0" distB="0" distL="114300" distR="114300" simplePos="0" relativeHeight="251745280" behindDoc="0" locked="0" layoutInCell="1" allowOverlap="1">
                      <wp:simplePos x="0" y="0"/>
                      <wp:positionH relativeFrom="column">
                        <wp:posOffset>1683385</wp:posOffset>
                      </wp:positionH>
                      <wp:positionV relativeFrom="paragraph">
                        <wp:posOffset>158750</wp:posOffset>
                      </wp:positionV>
                      <wp:extent cx="635" cy="270510"/>
                      <wp:effectExtent l="38100" t="0" r="37465" b="15240"/>
                      <wp:wrapNone/>
                      <wp:docPr id="42" name="AutoShape 1299"/>
                      <wp:cNvGraphicFramePr/>
                      <a:graphic xmlns:a="http://schemas.openxmlformats.org/drawingml/2006/main">
                        <a:graphicData uri="http://schemas.microsoft.com/office/word/2010/wordprocessingShape">
                          <wps:wsp>
                            <wps:cNvCnPr>
                              <a:cxnSpLocks noChangeShapeType="1"/>
                            </wps:cNvCnPr>
                            <wps:spPr bwMode="auto">
                              <a:xfrm flipH="1">
                                <a:off x="0" y="0"/>
                                <a:ext cx="635" cy="270510"/>
                              </a:xfrm>
                              <a:prstGeom prst="straightConnector1">
                                <a:avLst/>
                              </a:prstGeom>
                              <a:noFill/>
                              <a:ln w="9525">
                                <a:solidFill>
                                  <a:srgbClr val="000000"/>
                                </a:solidFill>
                                <a:round/>
                                <a:tailEnd type="triangle" w="med" len="med"/>
                              </a:ln>
                            </wps:spPr>
                            <wps:bodyPr/>
                          </wps:wsp>
                        </a:graphicData>
                      </a:graphic>
                    </wp:anchor>
                  </w:drawing>
                </mc:Choice>
                <mc:Fallback>
                  <w:pict>
                    <v:shape id="AutoShape 1299" o:spid="_x0000_s1026" o:spt="32" type="#_x0000_t32" style="position:absolute;left:0pt;flip:x;margin-left:132.55pt;margin-top:12.5pt;height:21.3pt;width:0.05pt;z-index:251745280;mso-width-relative:page;mso-height-relative:page;" filled="f" stroked="t" coordsize="21600,21600" o:gfxdata="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sb65NgAAAAJAQAADwAAAAAAAAABACAAAAAiAAAAZHJzL2Rvd25yZXYu&#10;eG1sUEsBAhQAFAAAAAgAh07iQHRDuLD7AQAA7wMAAA4AAAAAAAAAAQAgAAAAJwEAAGRycy9lMm9E&#10;b2MueG1sUEsFBgAAAAAGAAYAWQEAAJQFA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748352" behindDoc="0" locked="0" layoutInCell="1" allowOverlap="1">
                      <wp:simplePos x="0" y="0"/>
                      <wp:positionH relativeFrom="column">
                        <wp:posOffset>3146425</wp:posOffset>
                      </wp:positionH>
                      <wp:positionV relativeFrom="paragraph">
                        <wp:posOffset>151765</wp:posOffset>
                      </wp:positionV>
                      <wp:extent cx="762000" cy="398145"/>
                      <wp:effectExtent l="0" t="0" r="0" b="0"/>
                      <wp:wrapNone/>
                      <wp:docPr id="116" name="文本框 116"/>
                      <wp:cNvGraphicFramePr/>
                      <a:graphic xmlns:a="http://schemas.openxmlformats.org/drawingml/2006/main">
                        <a:graphicData uri="http://schemas.microsoft.com/office/word/2010/wordprocessingShape">
                          <wps:wsp>
                            <wps:cNvSpPr txBox="1"/>
                            <wps:spPr>
                              <a:xfrm>
                                <a:off x="4557395" y="7499985"/>
                                <a:ext cx="762000" cy="398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泥沙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75pt;margin-top:11.95pt;height:31.35pt;width:60pt;z-index:251748352;mso-width-relative:page;mso-height-relative:page;" filled="f" stroked="f" coordsize="21600,21600" o:gfxdata="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Sqf9LaAAAACQEAAA8AAAAAAAAA&#10;AQAgAAAAIgAAAGRycy9kb3ducmV2LnhtbFBLAQIUABQAAAAIAIdO4kDqVr82SAIAAHUEAAAOAAAA&#10;AAAAAAEAIAAAACkBAABkcnMvZTJvRG9jLnhtbFBLBQYAAAAABgAGAFkBAADjBQAAAAA=&#10;">
                      <v:fill on="f" focussize="0,0"/>
                      <v:stroke on="f" weight="0.5pt"/>
                      <v:imagedata o:title=""/>
                      <o:lock v:ext="edit" aspectratio="f"/>
                      <v:textbox>
                        <w:txbxContent>
                          <w:p>
                            <w:r>
                              <w:rPr>
                                <w:rFonts w:hint="eastAsia"/>
                              </w:rPr>
                              <w:t>泥沙</w:t>
                            </w:r>
                          </w:p>
                        </w:txbxContent>
                      </v:textbox>
                    </v:shape>
                  </w:pict>
                </mc:Fallback>
              </mc:AlternateContent>
            </w:r>
            <w:r>
              <w:rPr>
                <w:color w:val="auto"/>
                <w:sz w:val="24"/>
              </w:rPr>
              <mc:AlternateContent>
                <mc:Choice Requires="wps">
                  <w:drawing>
                    <wp:anchor distT="0" distB="0" distL="114300" distR="114300" simplePos="0" relativeHeight="251747328" behindDoc="0" locked="0" layoutInCell="1" allowOverlap="1">
                      <wp:simplePos x="0" y="0"/>
                      <wp:positionH relativeFrom="column">
                        <wp:posOffset>4124325</wp:posOffset>
                      </wp:positionH>
                      <wp:positionV relativeFrom="paragraph">
                        <wp:posOffset>177165</wp:posOffset>
                      </wp:positionV>
                      <wp:extent cx="890905" cy="328930"/>
                      <wp:effectExtent l="0" t="0" r="0" b="0"/>
                      <wp:wrapNone/>
                      <wp:docPr id="36" name="文本框 36"/>
                      <wp:cNvGraphicFramePr/>
                      <a:graphic xmlns:a="http://schemas.openxmlformats.org/drawingml/2006/main">
                        <a:graphicData uri="http://schemas.microsoft.com/office/word/2010/wordprocessingShape">
                          <wps:wsp>
                            <wps:cNvSpPr txBox="1"/>
                            <wps:spPr>
                              <a:xfrm>
                                <a:off x="5579110" y="7543165"/>
                                <a:ext cx="890905" cy="328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冲洗废水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75pt;margin-top:13.95pt;height:25.9pt;width:70.15pt;z-index:251747328;mso-width-relative:page;mso-height-relative:page;" filled="f" stroked="f" coordsize="21600,21600" o:gfxdata="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aCSdS2wAAAAkBAAAPAAAA&#10;AAAAAAEAIAAAACIAAABkcnMvZG93bnJldi54bWxQSwECFAAUAAAACACHTuJAffdFI0sCAABzBAAA&#10;DgAAAAAAAAABACAAAAAqAQAAZHJzL2Uyb0RvYy54bWxQSwUGAAAAAAYABgBZAQAA5wUAAAAA&#10;">
                      <v:fill on="f" focussize="0,0"/>
                      <v:stroke on="f" weight="0.5pt"/>
                      <v:imagedata o:title=""/>
                      <o:lock v:ext="edit" aspectratio="f"/>
                      <v:textbox>
                        <w:txbxContent>
                          <w:p>
                            <w:r>
                              <w:rPr>
                                <w:rFonts w:hint="eastAsia"/>
                              </w:rPr>
                              <w:t>冲洗废水</w:t>
                            </w:r>
                          </w:p>
                        </w:txbxContent>
                      </v:textbox>
                    </v:shape>
                  </w:pict>
                </mc:Fallback>
              </mc:AlternateContent>
            </w:r>
            <w:r>
              <w:rPr>
                <w:color w:val="auto"/>
                <w:sz w:val="24"/>
              </w:rPr>
              <mc:AlternateContent>
                <mc:Choice Requires="wps">
                  <w:drawing>
                    <wp:anchor distT="0" distB="0" distL="114300" distR="114300" simplePos="0" relativeHeight="251746304" behindDoc="0" locked="0" layoutInCell="1" allowOverlap="1">
                      <wp:simplePos x="0" y="0"/>
                      <wp:positionH relativeFrom="column">
                        <wp:posOffset>3604895</wp:posOffset>
                      </wp:positionH>
                      <wp:positionV relativeFrom="paragraph">
                        <wp:posOffset>160655</wp:posOffset>
                      </wp:positionV>
                      <wp:extent cx="0" cy="233680"/>
                      <wp:effectExtent l="48895" t="0" r="65405" b="13970"/>
                      <wp:wrapNone/>
                      <wp:docPr id="3" name="直接箭头连接符 3"/>
                      <wp:cNvGraphicFramePr/>
                      <a:graphic xmlns:a="http://schemas.openxmlformats.org/drawingml/2006/main">
                        <a:graphicData uri="http://schemas.microsoft.com/office/word/2010/wordprocessingShape">
                          <wps:wsp>
                            <wps:cNvCnPr/>
                            <wps:spPr>
                              <a:xfrm flipV="1">
                                <a:off x="5007610" y="7465695"/>
                                <a:ext cx="0" cy="233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83.85pt;margin-top:12.65pt;height:18.4pt;width:0pt;z-index:251746304;mso-width-relative:page;mso-height-relative:page;" filled="f" stroked="t" coordsize="21600,21600" o:gfxdata="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u52V1wAAAAkBAAAPAAAAAAAAAAEAIAAA&#10;ACIAAABkcnMvZG93bnJldi54bWxQSwECFAAUAAAACACHTuJAR8NHPQ0CAADcAwAADgAAAAAAAAAB&#10;ACAAAAAmAQAAZHJzL2Uyb0RvYy54bWxQSwUGAAAAAAYABgBZAQAApQUAAAAA&#10;">
                      <v:fill on="f" focussize="0,0"/>
                      <v:stroke color="#000000 [3213]" joinstyle="round" endarrow="open"/>
                      <v:imagedata o:title=""/>
                      <o:lock v:ext="edit" aspectratio="f"/>
                    </v:shape>
                  </w:pict>
                </mc:Fallback>
              </mc:AlternateContent>
            </w:r>
            <w:r>
              <w:rPr>
                <w:color w:val="auto"/>
                <w:sz w:val="24"/>
              </w:rPr>
              <mc:AlternateContent>
                <mc:Choice Requires="wps">
                  <w:drawing>
                    <wp:anchor distT="0" distB="0" distL="114300" distR="114300" simplePos="0" relativeHeight="251744256" behindDoc="0" locked="0" layoutInCell="1" allowOverlap="1">
                      <wp:simplePos x="0" y="0"/>
                      <wp:positionH relativeFrom="column">
                        <wp:posOffset>4072890</wp:posOffset>
                      </wp:positionH>
                      <wp:positionV relativeFrom="paragraph">
                        <wp:posOffset>160655</wp:posOffset>
                      </wp:positionV>
                      <wp:extent cx="0" cy="250825"/>
                      <wp:effectExtent l="48895" t="0" r="65405" b="15875"/>
                      <wp:wrapNone/>
                      <wp:docPr id="1" name="直接箭头连接符 1"/>
                      <wp:cNvGraphicFramePr/>
                      <a:graphic xmlns:a="http://schemas.openxmlformats.org/drawingml/2006/main">
                        <a:graphicData uri="http://schemas.microsoft.com/office/word/2010/wordprocessingShape">
                          <wps:wsp>
                            <wps:cNvCnPr/>
                            <wps:spPr>
                              <a:xfrm>
                                <a:off x="5215890" y="7465695"/>
                                <a:ext cx="0" cy="250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0.7pt;margin-top:12.65pt;height:19.75pt;width:0pt;z-index:251744256;mso-width-relative:page;mso-height-relative:page;" filled="f" stroked="t" coordsize="21600,21600" o:gfxdata="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zi9gdUAAAAJAQAADwAAAAAAAAABACAAAAAiAAAAZHJzL2Rv&#10;d25yZXYueG1sUEsBAhQAFAAAAAgAh07iQP43rNcEAgAA0gMAAA4AAAAAAAAAAQAgAAAAJAEAAGRy&#10;cy9lMm9Eb2MueG1sUEsFBgAAAAAGAAYAWQEAAJoFAAAAAA==&#10;">
                      <v:fill on="f" focussize="0,0"/>
                      <v:stroke color="#000000 [3213]" joinstyle="round" endarrow="open"/>
                      <v:imagedata o:title=""/>
                      <o:lock v:ext="edit" aspectratio="f"/>
                    </v:shape>
                  </w:pict>
                </mc:Fallback>
              </mc:AlternateContent>
            </w:r>
            <w:r>
              <w:rPr>
                <w:color w:val="auto"/>
                <w:sz w:val="24"/>
              </w:rPr>
              <mc:AlternateContent>
                <mc:Choice Requires="wps">
                  <w:drawing>
                    <wp:anchor distT="0" distB="0" distL="114300" distR="114300" simplePos="0" relativeHeight="251741184" behindDoc="0" locked="0" layoutInCell="1" allowOverlap="1">
                      <wp:simplePos x="0" y="0"/>
                      <wp:positionH relativeFrom="column">
                        <wp:posOffset>2893695</wp:posOffset>
                      </wp:positionH>
                      <wp:positionV relativeFrom="paragraph">
                        <wp:posOffset>176530</wp:posOffset>
                      </wp:positionV>
                      <wp:extent cx="3175" cy="336550"/>
                      <wp:effectExtent l="35560" t="0" r="37465" b="6350"/>
                      <wp:wrapNone/>
                      <wp:docPr id="134" name="AutoShape 1302"/>
                      <wp:cNvGraphicFramePr/>
                      <a:graphic xmlns:a="http://schemas.openxmlformats.org/drawingml/2006/main">
                        <a:graphicData uri="http://schemas.microsoft.com/office/word/2010/wordprocessingShape">
                          <wps:wsp>
                            <wps:cNvCnPr>
                              <a:cxnSpLocks noChangeShapeType="1"/>
                            </wps:cNvCnPr>
                            <wps:spPr bwMode="auto">
                              <a:xfrm>
                                <a:off x="0" y="0"/>
                                <a:ext cx="3175" cy="33655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1302" o:spid="_x0000_s1026" o:spt="32" type="#_x0000_t32" style="position:absolute;left:0pt;margin-left:227.85pt;margin-top:13.9pt;height:26.5pt;width:0.25pt;z-index:251741184;mso-width-relative:page;mso-height-relative:page;" filled="f" stroked="t" coordsize="21600,21600" o:gfxdata="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tK0ptcAAAAJAQAADwAAAAAAAAABACAAAAAiAAAAZHJzL2Rv&#10;d25yZXYueG1sUEsBAhQAFAAAAAgAh07iQMPfec8CAgAA/wMAAA4AAAAAAAAAAQAgAAAAJgEAAGRy&#10;cy9lMm9Eb2MueG1sUEsFBgAAAAAGAAYAWQEAAJoFAAAAAA==&#10;">
                      <v:fill on="f" focussize="0,0"/>
                      <v:stroke color="#000000" joinstyle="round" dashstyle="dash" endarrow="block"/>
                      <v:imagedata o:title=""/>
                      <o:lock v:ext="edit" aspectratio="f"/>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607695</wp:posOffset>
                      </wp:positionH>
                      <wp:positionV relativeFrom="paragraph">
                        <wp:posOffset>14605</wp:posOffset>
                      </wp:positionV>
                      <wp:extent cx="504825" cy="635"/>
                      <wp:effectExtent l="9525" t="55880" r="19050" b="57785"/>
                      <wp:wrapNone/>
                      <wp:docPr id="107" name="AutoShape 1292"/>
                      <wp:cNvGraphicFramePr/>
                      <a:graphic xmlns:a="http://schemas.openxmlformats.org/drawingml/2006/main">
                        <a:graphicData uri="http://schemas.microsoft.com/office/word/2010/wordprocessingShape">
                          <wps:wsp>
                            <wps:cNvCnPr>
                              <a:cxnSpLocks noChangeShapeType="1"/>
                            </wps:cNvCnPr>
                            <wps:spPr bwMode="auto">
                              <a:xfrm>
                                <a:off x="0" y="0"/>
                                <a:ext cx="504825" cy="635"/>
                              </a:xfrm>
                              <a:prstGeom prst="straightConnector1">
                                <a:avLst/>
                              </a:prstGeom>
                              <a:noFill/>
                              <a:ln w="9525">
                                <a:solidFill>
                                  <a:srgbClr val="000000"/>
                                </a:solidFill>
                                <a:round/>
                                <a:tailEnd type="triangle" w="med" len="med"/>
                              </a:ln>
                            </wps:spPr>
                            <wps:bodyPr/>
                          </wps:wsp>
                        </a:graphicData>
                      </a:graphic>
                    </wp:anchor>
                  </w:drawing>
                </mc:Choice>
                <mc:Fallback>
                  <w:pict>
                    <v:shape id="AutoShape 1292" o:spid="_x0000_s1026" o:spt="32" type="#_x0000_t32" style="position:absolute;left:0pt;margin-left:47.85pt;margin-top:1.15pt;height:0.05pt;width:39.75pt;z-index:251675648;mso-width-relative:page;mso-height-relative:page;" filled="f" stroked="t" coordsize="21600,21600" o:gfxdata="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etrjXAAAABgEAAA8AAAAAAAAAAQAgAAAAIgAAAGRycy9kb3ducmV2LnhtbFBLAQIU&#10;ABQAAAAIAIdO4kDZDReH9AEAAOYDAAAOAAAAAAAAAAEAIAAAACYBAABkcnMvZTJvRG9jLnhtbFBL&#10;BQYAAAAABgAGAFkBAACMBQAAAAA=&#10;">
                      <v:fill on="f" focussize="0,0"/>
                      <v:stroke color="#000000" joinstyle="round" endarrow="block"/>
                      <v:imagedata o:title=""/>
                      <o:lock v:ext="edit" aspectratio="f"/>
                    </v:shape>
                  </w:pict>
                </mc:Fallback>
              </mc:AlternateContent>
            </w:r>
          </w:p>
          <w:p>
            <w:pPr>
              <w:adjustRightInd w:val="0"/>
              <w:snapToGrid w:val="0"/>
              <w:spacing w:line="360" w:lineRule="auto"/>
              <w:ind w:firstLine="420" w:firstLineChars="200"/>
              <w:rPr>
                <w:color w:val="auto"/>
                <w:sz w:val="24"/>
              </w:rPr>
            </w:pPr>
            <w:r>
              <w:rPr>
                <w:color w:val="auto"/>
              </w:rPr>
              <mc:AlternateContent>
                <mc:Choice Requires="wps">
                  <w:drawing>
                    <wp:anchor distT="0" distB="0" distL="114300" distR="114300" simplePos="0" relativeHeight="251783168" behindDoc="0" locked="0" layoutInCell="1" allowOverlap="1">
                      <wp:simplePos x="0" y="0"/>
                      <wp:positionH relativeFrom="column">
                        <wp:posOffset>17780</wp:posOffset>
                      </wp:positionH>
                      <wp:positionV relativeFrom="paragraph">
                        <wp:posOffset>94615</wp:posOffset>
                      </wp:positionV>
                      <wp:extent cx="1285240" cy="475615"/>
                      <wp:effectExtent l="0" t="0" r="0" b="0"/>
                      <wp:wrapNone/>
                      <wp:docPr id="48" name="Rectangle 1290"/>
                      <wp:cNvGraphicFramePr/>
                      <a:graphic xmlns:a="http://schemas.openxmlformats.org/drawingml/2006/main">
                        <a:graphicData uri="http://schemas.microsoft.com/office/word/2010/wordprocessingShape">
                          <wps:wsp>
                            <wps:cNvSpPr>
                              <a:spLocks noChangeArrowheads="1"/>
                            </wps:cNvSpPr>
                            <wps:spPr bwMode="auto">
                              <a:xfrm>
                                <a:off x="0" y="0"/>
                                <a:ext cx="1285240" cy="475615"/>
                              </a:xfrm>
                              <a:prstGeom prst="rect">
                                <a:avLst/>
                              </a:prstGeom>
                              <a:noFill/>
                              <a:ln>
                                <a:noFill/>
                              </a:ln>
                            </wps:spPr>
                            <wps:txbx>
                              <w:txbxContent>
                                <w:p>
                                  <w:pPr>
                                    <w:rPr>
                                      <w:rFonts w:hint="eastAsia"/>
                                      <w:lang w:val="en-US" w:eastAsia="zh-CN"/>
                                    </w:rPr>
                                  </w:pPr>
                                  <w:r>
                                    <w:rPr>
                                      <w:rFonts w:hint="eastAsia"/>
                                      <w:lang w:val="en-US" w:eastAsia="zh-CN"/>
                                    </w:rPr>
                                    <w:t>外运及生产预制</w:t>
                                  </w:r>
                                </w:p>
                                <w:p>
                                  <w:pPr>
                                    <w:rPr>
                                      <w:rFonts w:hint="default" w:eastAsia="宋体"/>
                                      <w:lang w:val="en-US" w:eastAsia="zh-CN"/>
                                    </w:rPr>
                                  </w:pPr>
                                  <w:r>
                                    <w:rPr>
                                      <w:rFonts w:hint="eastAsia"/>
                                      <w:lang w:val="en-US" w:eastAsia="zh-CN"/>
                                    </w:rPr>
                                    <w:t>构件</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1.4pt;margin-top:7.45pt;height:37.45pt;width:101.2pt;z-index:251783168;mso-width-relative:page;mso-height-relative:page;" filled="f" stroked="f" coordsize="21600,21600" o:gfxdata="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&#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FIG02AAAAAcBAAAPAAAAAAAAAAEAIAAAACIAAABk&#10;cnMvZG93bnJldi54bWxQSwECFAAUAAAACACHTuJAuOb4/gYCAAAPBAAADgAAAAAAAAABACAAAAAn&#10;AQAAZHJzL2Uyb0RvYy54bWxQSwUGAAAAAAYABgBZAQAAnwUAAAAA&#10;">
                      <v:fill on="f" focussize="0,0"/>
                      <v:stroke on="f"/>
                      <v:imagedata o:title=""/>
                      <o:lock v:ext="edit" aspectratio="f"/>
                      <v:textbox>
                        <w:txbxContent>
                          <w:p>
                            <w:pPr>
                              <w:rPr>
                                <w:rFonts w:hint="eastAsia"/>
                                <w:lang w:val="en-US" w:eastAsia="zh-CN"/>
                              </w:rPr>
                            </w:pPr>
                            <w:r>
                              <w:rPr>
                                <w:rFonts w:hint="eastAsia"/>
                                <w:lang w:val="en-US" w:eastAsia="zh-CN"/>
                              </w:rPr>
                              <w:t>外运及生产预制</w:t>
                            </w:r>
                          </w:p>
                          <w:p>
                            <w:pPr>
                              <w:rPr>
                                <w:rFonts w:hint="default" w:eastAsia="宋体"/>
                                <w:lang w:val="en-US" w:eastAsia="zh-CN"/>
                              </w:rPr>
                            </w:pPr>
                            <w:r>
                              <w:rPr>
                                <w:rFonts w:hint="eastAsia"/>
                                <w:lang w:val="en-US" w:eastAsia="zh-CN"/>
                              </w:rPr>
                              <w:t>构件</w:t>
                            </w:r>
                          </w:p>
                        </w:txbxContent>
                      </v:textbox>
                    </v:rect>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1016635</wp:posOffset>
                      </wp:positionH>
                      <wp:positionV relativeFrom="paragraph">
                        <wp:posOffset>233045</wp:posOffset>
                      </wp:positionV>
                      <wp:extent cx="438785" cy="4445"/>
                      <wp:effectExtent l="0" t="37465" r="18415" b="34290"/>
                      <wp:wrapNone/>
                      <wp:docPr id="47" name="AutoShape 1292"/>
                      <wp:cNvGraphicFramePr/>
                      <a:graphic xmlns:a="http://schemas.openxmlformats.org/drawingml/2006/main">
                        <a:graphicData uri="http://schemas.microsoft.com/office/word/2010/wordprocessingShape">
                          <wps:wsp>
                            <wps:cNvCnPr>
                              <a:cxnSpLocks noChangeShapeType="1"/>
                            </wps:cNvCnPr>
                            <wps:spPr bwMode="auto">
                              <a:xfrm flipH="1" flipV="1">
                                <a:off x="0" y="0"/>
                                <a:ext cx="438785" cy="4445"/>
                              </a:xfrm>
                              <a:prstGeom prst="straightConnector1">
                                <a:avLst/>
                              </a:prstGeom>
                              <a:noFill/>
                              <a:ln w="9525">
                                <a:solidFill>
                                  <a:srgbClr val="000000"/>
                                </a:solidFill>
                                <a:round/>
                                <a:tailEnd type="triangle" w="med" len="med"/>
                              </a:ln>
                            </wps:spPr>
                            <wps:bodyPr/>
                          </wps:wsp>
                        </a:graphicData>
                      </a:graphic>
                    </wp:anchor>
                  </w:drawing>
                </mc:Choice>
                <mc:Fallback>
                  <w:pict>
                    <v:shape id="AutoShape 1292" o:spid="_x0000_s1026" o:spt="32" type="#_x0000_t32" style="position:absolute;left:0pt;flip:x y;margin-left:80.05pt;margin-top:18.35pt;height:0.35pt;width:34.55pt;z-index:251750400;mso-width-relative:page;mso-height-relative:page;" filled="f" stroked="t" coordsize="21600,21600" o:gfxdata="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SSq+rXAAAACQEAAA8AAAAAAAAAAQAgAAAAIgAAAGRycy9kb3du&#10;cmV2LnhtbFBLAQIUABQAAAAIAIdO4kAOzMRhAAIAAPoDAAAOAAAAAAAAAAEAIAAAACYBAABkcnMv&#10;ZTJvRG9jLnhtbFBLBQYAAAAABgAGAFkBAACY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82144" behindDoc="0" locked="0" layoutInCell="1" allowOverlap="1">
                      <wp:simplePos x="0" y="0"/>
                      <wp:positionH relativeFrom="column">
                        <wp:posOffset>1341120</wp:posOffset>
                      </wp:positionH>
                      <wp:positionV relativeFrom="paragraph">
                        <wp:posOffset>104140</wp:posOffset>
                      </wp:positionV>
                      <wp:extent cx="876300" cy="276225"/>
                      <wp:effectExtent l="0" t="0" r="0" b="0"/>
                      <wp:wrapNone/>
                      <wp:docPr id="43" name="Rectangle 1290"/>
                      <wp:cNvGraphicFramePr/>
                      <a:graphic xmlns:a="http://schemas.openxmlformats.org/drawingml/2006/main">
                        <a:graphicData uri="http://schemas.microsoft.com/office/word/2010/wordprocessingShape">
                          <wps:wsp>
                            <wps:cNvSpPr>
                              <a:spLocks noChangeArrowheads="1"/>
                            </wps:cNvSpPr>
                            <wps:spPr bwMode="auto">
                              <a:xfrm>
                                <a:off x="0" y="0"/>
                                <a:ext cx="876300" cy="276225"/>
                              </a:xfrm>
                              <a:prstGeom prst="rect">
                                <a:avLst/>
                              </a:prstGeom>
                              <a:noFill/>
                              <a:ln>
                                <a:noFill/>
                              </a:ln>
                            </wps:spPr>
                            <wps:txbx>
                              <w:txbxContent>
                                <w:p>
                                  <w:pPr>
                                    <w:rPr>
                                      <w:rFonts w:hint="default" w:eastAsia="宋体"/>
                                      <w:lang w:val="en-US" w:eastAsia="zh-CN"/>
                                    </w:rPr>
                                  </w:pPr>
                                  <w:r>
                                    <w:rPr>
                                      <w:rFonts w:hint="eastAsia"/>
                                      <w:lang w:val="en-US" w:eastAsia="zh-CN"/>
                                    </w:rPr>
                                    <w:t>商品混凝土</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105.6pt;margin-top:8.2pt;height:21.75pt;width:69pt;z-index:251782144;mso-width-relative:page;mso-height-relative:page;" filled="f" stroked="f" coordsize="21600,21600" o:gfxdata="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DtAgPaAAAACQEAAA8AAAAAAAAAAQAgAAAAIgAA&#10;AGRycy9kb3ducmV2LnhtbFBLAQIUABQAAAAIAIdO4kA6HGhSBgIAAA4EAAAOAAAAAAAAAAEAIAAA&#10;ACkBAABkcnMvZTJvRG9jLnhtbFBLBQYAAAAABgAGAFkBAAChBQAAAAA=&#10;">
                      <v:fill on="f" focussize="0,0"/>
                      <v:stroke on="f"/>
                      <v:imagedata o:title=""/>
                      <o:lock v:ext="edit" aspectratio="f"/>
                      <v:textbox>
                        <w:txbxContent>
                          <w:p>
                            <w:pPr>
                              <w:rPr>
                                <w:rFonts w:hint="default" w:eastAsia="宋体"/>
                                <w:lang w:val="en-US" w:eastAsia="zh-CN"/>
                              </w:rPr>
                            </w:pPr>
                            <w:r>
                              <w:rPr>
                                <w:rFonts w:hint="eastAsia"/>
                                <w:lang w:val="en-US" w:eastAsia="zh-CN"/>
                              </w:rPr>
                              <w:t>商品混凝土</w:t>
                            </w:r>
                          </w:p>
                        </w:txbxContent>
                      </v:textbox>
                    </v:rect>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3475355</wp:posOffset>
                      </wp:positionH>
                      <wp:positionV relativeFrom="paragraph">
                        <wp:posOffset>131445</wp:posOffset>
                      </wp:positionV>
                      <wp:extent cx="744855" cy="363220"/>
                      <wp:effectExtent l="4445" t="4445" r="12700" b="13335"/>
                      <wp:wrapNone/>
                      <wp:docPr id="2" name="矩形 2"/>
                      <wp:cNvGraphicFramePr/>
                      <a:graphic xmlns:a="http://schemas.openxmlformats.org/drawingml/2006/main">
                        <a:graphicData uri="http://schemas.microsoft.com/office/word/2010/wordprocessingShape">
                          <wps:wsp>
                            <wps:cNvSpPr/>
                            <wps:spPr>
                              <a:xfrm>
                                <a:off x="4878070" y="7699375"/>
                                <a:ext cx="744855" cy="363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沉淀池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65pt;margin-top:10.35pt;height:28.6pt;width:58.65pt;z-index:251745280;v-text-anchor:middle;mso-width-relative:page;mso-height-relative:page;" filled="f" stroked="t" coordsize="21600,21600" o:gfxdata="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Zz/nZAAAACQEAAA8AAAAAAAAAAQAgAAAAIgAAAGRycy9kb3du&#10;cmV2LnhtbFBLAQIUABQAAAAIAIdO4kA6a9RwcAIAAMkEAAAOAAAAAAAAAAEAIAAAACgBAABkcnMv&#10;ZTJvRG9jLnhtbFBLBQYAAAAABgAGAFkBAAAKBgAAAAA=&#10;">
                      <v:fill on="f" focussize="0,0"/>
                      <v:stroke color="#000000 [3213]" joinstyle="round"/>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沉淀池</w:t>
                            </w:r>
                          </w:p>
                        </w:txbxContent>
                      </v:textbox>
                    </v:rect>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2560320</wp:posOffset>
                      </wp:positionH>
                      <wp:positionV relativeFrom="paragraph">
                        <wp:posOffset>247015</wp:posOffset>
                      </wp:positionV>
                      <wp:extent cx="789940" cy="276225"/>
                      <wp:effectExtent l="0" t="0" r="0" b="0"/>
                      <wp:wrapNone/>
                      <wp:docPr id="135" name="Rectangle 1290"/>
                      <wp:cNvGraphicFramePr/>
                      <a:graphic xmlns:a="http://schemas.openxmlformats.org/drawingml/2006/main">
                        <a:graphicData uri="http://schemas.microsoft.com/office/word/2010/wordprocessingShape">
                          <wps:wsp>
                            <wps:cNvSpPr>
                              <a:spLocks noChangeArrowheads="1"/>
                            </wps:cNvSpPr>
                            <wps:spPr bwMode="auto">
                              <a:xfrm>
                                <a:off x="0" y="0"/>
                                <a:ext cx="789940" cy="276225"/>
                              </a:xfrm>
                              <a:prstGeom prst="rect">
                                <a:avLst/>
                              </a:prstGeom>
                              <a:noFill/>
                              <a:ln>
                                <a:noFill/>
                              </a:ln>
                            </wps:spPr>
                            <wps:txbx>
                              <w:txbxContent>
                                <w:p>
                                  <w:r>
                                    <w:rPr>
                                      <w:rFonts w:hint="eastAsia"/>
                                    </w:rPr>
                                    <w:t>噪声、粉尘</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201.6pt;margin-top:19.45pt;height:21.75pt;width:62.2pt;z-index:251659264;mso-width-relative:page;mso-height-relative:page;" filled="f" stroked="f" coordsize="21600,21600" o:gfxdata="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nIzl2wAAAAkBAAAPAAAAAAAAAAEAIAAAACIA&#10;AABkcnMvZG93bnJldi54bWxQSwECFAAUAAAACACHTuJARCxpRQYCAAAPBAAADgAAAAAAAAABACAA&#10;AAAqAQAAZHJzL2Uyb0RvYy54bWxQSwUGAAAAAAYABgBZAQAAogUAAAAA&#10;">
                      <v:fill on="f" focussize="0,0"/>
                      <v:stroke on="f"/>
                      <v:imagedata o:title=""/>
                      <o:lock v:ext="edit" aspectratio="f"/>
                      <v:textbox>
                        <w:txbxContent>
                          <w:p>
                            <w:r>
                              <w:rPr>
                                <w:rFonts w:hint="eastAsia"/>
                              </w:rPr>
                              <w:t>噪声、粉尘</w:t>
                            </w:r>
                          </w:p>
                        </w:txbxContent>
                      </v:textbox>
                    </v:rect>
                  </w:pict>
                </mc:Fallback>
              </mc:AlternateContent>
            </w:r>
          </w:p>
          <w:p>
            <w:pPr>
              <w:pStyle w:val="64"/>
              <w:spacing w:before="100" w:beforeAutospacing="1" w:line="240" w:lineRule="auto"/>
              <w:ind w:firstLine="480"/>
              <w:jc w:val="center"/>
              <w:rPr>
                <w:rFonts w:hAnsi="Times New Roman" w:eastAsia="黑体"/>
                <w:b w:val="0"/>
                <w:bCs w:val="0"/>
                <w:color w:val="auto"/>
                <w:szCs w:val="24"/>
              </w:rPr>
            </w:pPr>
            <w:r>
              <w:rPr>
                <w:color w:val="auto"/>
                <w:sz w:val="24"/>
              </w:rPr>
              <mc:AlternateContent>
                <mc:Choice Requires="wps">
                  <w:drawing>
                    <wp:anchor distT="0" distB="0" distL="114300" distR="114300" simplePos="0" relativeHeight="251784192" behindDoc="0" locked="0" layoutInCell="1" allowOverlap="1">
                      <wp:simplePos x="0" y="0"/>
                      <wp:positionH relativeFrom="column">
                        <wp:posOffset>788670</wp:posOffset>
                      </wp:positionH>
                      <wp:positionV relativeFrom="paragraph">
                        <wp:posOffset>31750</wp:posOffset>
                      </wp:positionV>
                      <wp:extent cx="3175" cy="336550"/>
                      <wp:effectExtent l="35560" t="0" r="37465" b="6350"/>
                      <wp:wrapNone/>
                      <wp:docPr id="130" name="AutoShape 1302"/>
                      <wp:cNvGraphicFramePr/>
                      <a:graphic xmlns:a="http://schemas.openxmlformats.org/drawingml/2006/main">
                        <a:graphicData uri="http://schemas.microsoft.com/office/word/2010/wordprocessingShape">
                          <wps:wsp>
                            <wps:cNvCnPr>
                              <a:cxnSpLocks noChangeShapeType="1"/>
                            </wps:cNvCnPr>
                            <wps:spPr bwMode="auto">
                              <a:xfrm>
                                <a:off x="0" y="0"/>
                                <a:ext cx="3175" cy="336550"/>
                              </a:xfrm>
                              <a:prstGeom prst="straightConnector1">
                                <a:avLst/>
                              </a:prstGeom>
                              <a:noFill/>
                              <a:ln w="9525">
                                <a:solidFill>
                                  <a:srgbClr val="000000"/>
                                </a:solidFill>
                                <a:prstDash val="dash"/>
                                <a:round/>
                                <a:tailEnd type="triangle" w="med" len="med"/>
                              </a:ln>
                            </wps:spPr>
                            <wps:bodyPr/>
                          </wps:wsp>
                        </a:graphicData>
                      </a:graphic>
                    </wp:anchor>
                  </w:drawing>
                </mc:Choice>
                <mc:Fallback>
                  <w:pict>
                    <v:shape id="AutoShape 1302" o:spid="_x0000_s1026" o:spt="32" type="#_x0000_t32" style="position:absolute;left:0pt;margin-left:62.1pt;margin-top:2.5pt;height:26.5pt;width:0.25pt;z-index:251784192;mso-width-relative:page;mso-height-relative:page;" filled="f" stroked="t" coordsize="21600,21600" o:gfxdata="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lVs6tIAAAAIAQAADwAAAAAAAAABACAAAAAiAAAAZHJzL2Rvd25yZXYu&#10;eG1sUEsBAhQAFAAAAAgAh07iQCa7y7YBAgAA/wMAAA4AAAAAAAAAAQAgAAAAIQEAAGRycy9lMm9E&#10;b2MueG1sUEsFBgAAAAAGAAYAWQEAAJQFAAAAAA==&#10;">
                      <v:fill on="f" focussize="0,0"/>
                      <v:stroke color="#000000" joinstyle="round" dashstyle="dash" endarrow="block"/>
                      <v:imagedata o:title=""/>
                      <o:lock v:ext="edit" aspectratio="f"/>
                    </v:shape>
                  </w:pict>
                </mc:Fallback>
              </mc:AlternateContent>
            </w:r>
          </w:p>
          <w:p>
            <w:pPr>
              <w:pStyle w:val="64"/>
              <w:spacing w:before="100" w:beforeAutospacing="1" w:line="240" w:lineRule="auto"/>
              <w:ind w:firstLine="480"/>
              <w:jc w:val="center"/>
              <w:rPr>
                <w:rFonts w:hAnsi="Times New Roman" w:eastAsia="黑体"/>
                <w:b w:val="0"/>
                <w:bCs w:val="0"/>
                <w:color w:val="auto"/>
                <w:szCs w:val="24"/>
              </w:rPr>
            </w:pPr>
            <w:r>
              <w:rPr>
                <w:color w:val="auto"/>
              </w:rPr>
              <mc:AlternateContent>
                <mc:Choice Requires="wps">
                  <w:drawing>
                    <wp:anchor distT="0" distB="0" distL="114300" distR="114300" simplePos="0" relativeHeight="251785216" behindDoc="0" locked="0" layoutInCell="1" allowOverlap="1">
                      <wp:simplePos x="0" y="0"/>
                      <wp:positionH relativeFrom="column">
                        <wp:posOffset>255905</wp:posOffset>
                      </wp:positionH>
                      <wp:positionV relativeFrom="paragraph">
                        <wp:posOffset>31115</wp:posOffset>
                      </wp:positionV>
                      <wp:extent cx="1285240" cy="475615"/>
                      <wp:effectExtent l="0" t="0" r="0" b="0"/>
                      <wp:wrapNone/>
                      <wp:docPr id="143" name="Rectangle 1290"/>
                      <wp:cNvGraphicFramePr/>
                      <a:graphic xmlns:a="http://schemas.openxmlformats.org/drawingml/2006/main">
                        <a:graphicData uri="http://schemas.microsoft.com/office/word/2010/wordprocessingShape">
                          <wps:wsp>
                            <wps:cNvSpPr>
                              <a:spLocks noChangeArrowheads="1"/>
                            </wps:cNvSpPr>
                            <wps:spPr bwMode="auto">
                              <a:xfrm>
                                <a:off x="0" y="0"/>
                                <a:ext cx="1285240" cy="475615"/>
                              </a:xfrm>
                              <a:prstGeom prst="rect">
                                <a:avLst/>
                              </a:prstGeom>
                              <a:noFill/>
                              <a:ln>
                                <a:noFill/>
                              </a:ln>
                            </wps:spPr>
                            <wps:txbx>
                              <w:txbxContent>
                                <w:p>
                                  <w:pPr>
                                    <w:rPr>
                                      <w:rFonts w:hint="default" w:eastAsia="宋体"/>
                                      <w:lang w:val="en-US" w:eastAsia="zh-CN"/>
                                    </w:rPr>
                                  </w:pPr>
                                  <w:r>
                                    <w:rPr>
                                      <w:rFonts w:hint="eastAsia"/>
                                      <w:lang w:val="en-US" w:eastAsia="zh-CN"/>
                                    </w:rPr>
                                    <w:t>噪声、粉尘</w:t>
                                  </w:r>
                                </w:p>
                              </w:txbxContent>
                            </wps:txbx>
                            <wps:bodyPr rot="0" vert="horz" wrap="square" lIns="91440" tIns="45720" rIns="91440" bIns="45720" anchor="t" anchorCtr="0" upright="1">
                              <a:noAutofit/>
                            </wps:bodyPr>
                          </wps:wsp>
                        </a:graphicData>
                      </a:graphic>
                    </wp:anchor>
                  </w:drawing>
                </mc:Choice>
                <mc:Fallback>
                  <w:pict>
                    <v:rect id="Rectangle 1290" o:spid="_x0000_s1026" o:spt="1" style="position:absolute;left:0pt;margin-left:20.15pt;margin-top:2.45pt;height:37.45pt;width:101.2pt;z-index:251785216;mso-width-relative:page;mso-height-relative:page;" filled="f" stroked="f" coordsize="21600,21600" o:gfxdata="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X7YidgAAAAHAQAADwAAAAAAAAABACAAAAAiAAAA&#10;ZHJzL2Rvd25yZXYueG1sUEsBAhQAFAAAAAgAh07iQNErEK0HAgAAEAQAAA4AAAAAAAAAAQAgAAAA&#10;JwEAAGRycy9lMm9Eb2MueG1sUEsFBgAAAAAGAAYAWQEAAKAFAAAAAA==&#10;">
                      <v:fill on="f" focussize="0,0"/>
                      <v:stroke on="f"/>
                      <v:imagedata o:title=""/>
                      <o:lock v:ext="edit" aspectratio="f"/>
                      <v:textbox>
                        <w:txbxContent>
                          <w:p>
                            <w:pPr>
                              <w:rPr>
                                <w:rFonts w:hint="default" w:eastAsia="宋体"/>
                                <w:lang w:val="en-US" w:eastAsia="zh-CN"/>
                              </w:rPr>
                            </w:pPr>
                            <w:r>
                              <w:rPr>
                                <w:rFonts w:hint="eastAsia"/>
                                <w:lang w:val="en-US" w:eastAsia="zh-CN"/>
                              </w:rPr>
                              <w:t>噪声、粉尘</w:t>
                            </w:r>
                          </w:p>
                        </w:txbxContent>
                      </v:textbox>
                    </v:rect>
                  </w:pict>
                </mc:Fallback>
              </mc:AlternateContent>
            </w:r>
          </w:p>
          <w:p>
            <w:pPr>
              <w:pStyle w:val="64"/>
              <w:spacing w:before="100" w:beforeAutospacing="1" w:line="240" w:lineRule="auto"/>
              <w:ind w:firstLine="480"/>
              <w:jc w:val="center"/>
              <w:rPr>
                <w:rFonts w:hAnsi="Times New Roman" w:eastAsia="黑体"/>
                <w:b w:val="0"/>
                <w:bCs w:val="0"/>
                <w:color w:val="auto"/>
                <w:szCs w:val="24"/>
              </w:rPr>
            </w:pPr>
            <w:r>
              <w:rPr>
                <w:rFonts w:hAnsi="Times New Roman" w:eastAsia="黑体"/>
                <w:b w:val="0"/>
                <w:bCs w:val="0"/>
                <w:color w:val="auto"/>
                <w:szCs w:val="24"/>
              </w:rPr>
              <w:t>图2-</w:t>
            </w:r>
            <w:r>
              <w:rPr>
                <w:rFonts w:hint="eastAsia" w:hAnsi="Times New Roman" w:eastAsia="黑体"/>
                <w:b w:val="0"/>
                <w:bCs w:val="0"/>
                <w:color w:val="auto"/>
                <w:szCs w:val="24"/>
                <w:lang w:val="en-US" w:eastAsia="zh-CN"/>
              </w:rPr>
              <w:t>4</w:t>
            </w:r>
            <w:r>
              <w:rPr>
                <w:rFonts w:hAnsi="Times New Roman" w:eastAsia="黑体"/>
                <w:b w:val="0"/>
                <w:bCs w:val="0"/>
                <w:color w:val="auto"/>
                <w:szCs w:val="24"/>
              </w:rPr>
              <w:t xml:space="preserve">    </w:t>
            </w:r>
            <w:r>
              <w:rPr>
                <w:rFonts w:hint="eastAsia" w:hAnsi="Times New Roman" w:eastAsia="黑体"/>
                <w:b w:val="0"/>
                <w:bCs w:val="0"/>
                <w:color w:val="auto"/>
                <w:szCs w:val="24"/>
              </w:rPr>
              <w:t>商品混凝土</w:t>
            </w:r>
            <w:r>
              <w:rPr>
                <w:rFonts w:hAnsi="Times New Roman" w:eastAsia="黑体"/>
                <w:b w:val="0"/>
                <w:bCs w:val="0"/>
                <w:color w:val="auto"/>
                <w:szCs w:val="24"/>
              </w:rPr>
              <w:t>工艺流程及产污环节</w:t>
            </w:r>
          </w:p>
          <w:p>
            <w:pPr>
              <w:spacing w:line="560" w:lineRule="exact"/>
              <w:ind w:firstLine="482" w:firstLineChars="200"/>
              <w:rPr>
                <w:b/>
                <w:bCs/>
                <w:color w:val="auto"/>
                <w:kern w:val="0"/>
                <w:sz w:val="24"/>
              </w:rPr>
            </w:pPr>
            <w:r>
              <w:rPr>
                <w:rFonts w:hint="eastAsia"/>
                <w:b/>
                <w:bCs/>
                <w:color w:val="auto"/>
                <w:kern w:val="0"/>
                <w:sz w:val="24"/>
              </w:rPr>
              <w:t>（2）预制构件生产工艺</w:t>
            </w:r>
          </w:p>
          <w:p>
            <w:pPr>
              <w:spacing w:line="560" w:lineRule="exact"/>
              <w:ind w:firstLine="480" w:firstLineChars="200"/>
              <w:rPr>
                <w:color w:val="auto"/>
                <w:kern w:val="0"/>
                <w:sz w:val="24"/>
              </w:rPr>
            </w:pPr>
            <w:r>
              <w:rPr>
                <w:color w:val="auto"/>
                <w:kern w:val="0"/>
                <w:sz w:val="24"/>
              </w:rPr>
              <w:t>1</w:t>
            </w:r>
            <w:r>
              <w:rPr>
                <w:rFonts w:hint="eastAsia"/>
                <w:color w:val="auto"/>
                <w:kern w:val="0"/>
                <w:sz w:val="24"/>
              </w:rPr>
              <w:t>）钢筋加工：本项目钢筋加工在专用的钢筋加工房内进行。</w:t>
            </w:r>
          </w:p>
          <w:p>
            <w:pPr>
              <w:spacing w:line="560" w:lineRule="exact"/>
              <w:ind w:firstLine="480" w:firstLineChars="200"/>
              <w:rPr>
                <w:color w:val="auto"/>
                <w:kern w:val="0"/>
                <w:sz w:val="24"/>
              </w:rPr>
            </w:pPr>
            <w:r>
              <w:rPr>
                <w:rFonts w:hint="eastAsia"/>
                <w:color w:val="auto"/>
                <w:kern w:val="0"/>
                <w:sz w:val="24"/>
              </w:rPr>
              <w:t>钢筋机械加工：采用钢筋切断机、调直切断机、弯曲机对检验合格的钢筋进行剪切、定型、拉伸、校直、弯曲加工等。</w:t>
            </w:r>
          </w:p>
          <w:p>
            <w:pPr>
              <w:spacing w:line="560" w:lineRule="exact"/>
              <w:ind w:firstLine="480" w:firstLineChars="200"/>
              <w:rPr>
                <w:color w:val="auto"/>
                <w:kern w:val="0"/>
                <w:sz w:val="24"/>
              </w:rPr>
            </w:pPr>
            <w:r>
              <w:rPr>
                <w:rFonts w:hint="eastAsia"/>
                <w:color w:val="auto"/>
                <w:kern w:val="0"/>
                <w:sz w:val="24"/>
              </w:rPr>
              <w:t>钢网编制：项目采用扎丝对加工后的钢筋进行编网形成钢筋骨架。</w:t>
            </w:r>
          </w:p>
          <w:p>
            <w:pPr>
              <w:spacing w:line="560" w:lineRule="exact"/>
              <w:ind w:firstLine="480" w:firstLineChars="200"/>
              <w:rPr>
                <w:color w:val="auto"/>
                <w:kern w:val="0"/>
                <w:sz w:val="24"/>
              </w:rPr>
            </w:pPr>
            <w:r>
              <w:rPr>
                <w:color w:val="auto"/>
                <w:kern w:val="0"/>
                <w:sz w:val="24"/>
              </w:rPr>
              <w:t>2</w:t>
            </w:r>
            <w:r>
              <w:rPr>
                <w:rFonts w:hint="eastAsia"/>
                <w:color w:val="auto"/>
                <w:kern w:val="0"/>
                <w:sz w:val="24"/>
              </w:rPr>
              <w:t>）安装模板：对底模表面进行清理，清除残余混凝土渣，使模台表面整洁干净在底模上喷涂脱模剂，使底模表面形成一层脱模剂油膜，便于拆模。根据梁板的具体要求，安装相应梁板中的钢筋及绑扎梁体钢筋骨架。</w:t>
            </w:r>
          </w:p>
          <w:p>
            <w:pPr>
              <w:spacing w:line="560" w:lineRule="exact"/>
              <w:ind w:firstLine="480" w:firstLineChars="200"/>
              <w:rPr>
                <w:color w:val="auto"/>
                <w:kern w:val="0"/>
                <w:sz w:val="24"/>
              </w:rPr>
            </w:pPr>
            <w:r>
              <w:rPr>
                <w:color w:val="auto"/>
                <w:kern w:val="0"/>
                <w:sz w:val="24"/>
              </w:rPr>
              <w:t>3</w:t>
            </w:r>
            <w:r>
              <w:rPr>
                <w:rFonts w:hint="eastAsia"/>
                <w:color w:val="auto"/>
                <w:kern w:val="0"/>
                <w:sz w:val="24"/>
              </w:rPr>
              <w:t>）浇注振捣：根据梁板的混凝士用量，对边模的型腔进行浇筑，浇筑完成后将混凝土振捣密实。</w:t>
            </w:r>
          </w:p>
          <w:p>
            <w:pPr>
              <w:spacing w:line="560" w:lineRule="exact"/>
              <w:ind w:firstLine="480" w:firstLineChars="200"/>
              <w:rPr>
                <w:color w:val="auto"/>
                <w:kern w:val="0"/>
                <w:sz w:val="24"/>
              </w:rPr>
            </w:pPr>
            <w:r>
              <w:rPr>
                <w:color w:val="auto"/>
                <w:kern w:val="0"/>
                <w:sz w:val="24"/>
              </w:rPr>
              <w:t>4</w:t>
            </w:r>
            <w:r>
              <w:rPr>
                <w:rFonts w:hint="eastAsia"/>
                <w:color w:val="auto"/>
                <w:kern w:val="0"/>
                <w:sz w:val="24"/>
              </w:rPr>
              <w:t>）拆模：按照技术规范，当混凝士强度达到</w:t>
            </w:r>
            <w:r>
              <w:rPr>
                <w:color w:val="auto"/>
                <w:kern w:val="0"/>
                <w:sz w:val="24"/>
              </w:rPr>
              <w:t>22MP</w:t>
            </w:r>
            <w:r>
              <w:rPr>
                <w:rFonts w:hint="eastAsia"/>
                <w:color w:val="auto"/>
                <w:kern w:val="0"/>
                <w:sz w:val="24"/>
              </w:rPr>
              <w:t>，方能脱模。分别拆除内模与外模模板。模具拆除并放到指定区域，使模台上只放有预制桥梁构件成品。</w:t>
            </w:r>
          </w:p>
          <w:p>
            <w:pPr>
              <w:spacing w:line="560" w:lineRule="exact"/>
              <w:ind w:firstLine="480" w:firstLineChars="200"/>
              <w:rPr>
                <w:color w:val="auto"/>
                <w:kern w:val="0"/>
                <w:sz w:val="24"/>
              </w:rPr>
            </w:pPr>
            <w:r>
              <w:rPr>
                <w:rFonts w:hint="eastAsia"/>
                <w:color w:val="auto"/>
                <w:kern w:val="0"/>
                <w:sz w:val="24"/>
              </w:rPr>
              <w:t>拆模前后都需要进行混凝土养护。</w:t>
            </w:r>
          </w:p>
          <w:p>
            <w:pPr>
              <w:spacing w:line="560" w:lineRule="exact"/>
              <w:ind w:firstLine="480" w:firstLineChars="200"/>
              <w:rPr>
                <w:color w:val="auto"/>
                <w:kern w:val="0"/>
                <w:sz w:val="24"/>
              </w:rPr>
            </w:pPr>
            <w:r>
              <w:rPr>
                <w:color w:val="auto"/>
                <w:kern w:val="0"/>
                <w:sz w:val="24"/>
              </w:rPr>
              <w:t>5</w:t>
            </w:r>
            <w:r>
              <w:rPr>
                <w:rFonts w:hint="eastAsia"/>
                <w:color w:val="auto"/>
                <w:kern w:val="0"/>
                <w:sz w:val="24"/>
              </w:rPr>
              <w:t>）自然养护：本项目采用自然养护，项目梁板在自然气温条件下</w:t>
            </w:r>
            <w:r>
              <w:rPr>
                <w:color w:val="auto"/>
                <w:kern w:val="0"/>
                <w:sz w:val="24"/>
              </w:rPr>
              <w:t>(</w:t>
            </w:r>
            <w:r>
              <w:rPr>
                <w:rFonts w:hint="eastAsia"/>
                <w:color w:val="auto"/>
                <w:kern w:val="0"/>
                <w:sz w:val="24"/>
              </w:rPr>
              <w:t>高于</w:t>
            </w:r>
            <w:r>
              <w:rPr>
                <w:color w:val="auto"/>
                <w:kern w:val="0"/>
                <w:sz w:val="24"/>
              </w:rPr>
              <w:t>+5°C)</w:t>
            </w:r>
            <w:r>
              <w:rPr>
                <w:rFonts w:hint="eastAsia"/>
                <w:color w:val="auto"/>
                <w:kern w:val="0"/>
                <w:sz w:val="24"/>
              </w:rPr>
              <w:t>，对混凝土梁板采取的覆盖、浇水润湿、挡风、保温等养护措施。养护周</w:t>
            </w:r>
          </w:p>
          <w:p>
            <w:pPr>
              <w:spacing w:line="560" w:lineRule="exact"/>
              <w:ind w:firstLine="0" w:firstLineChars="0"/>
              <w:rPr>
                <w:color w:val="auto"/>
                <w:kern w:val="0"/>
                <w:sz w:val="24"/>
              </w:rPr>
            </w:pPr>
            <w:r>
              <w:rPr>
                <w:rFonts w:hint="eastAsia"/>
                <w:color w:val="auto"/>
                <w:kern w:val="0"/>
                <w:sz w:val="24"/>
              </w:rPr>
              <w:t>期不少于（</w:t>
            </w:r>
            <w:r>
              <w:rPr>
                <w:color w:val="auto"/>
                <w:kern w:val="0"/>
                <w:sz w:val="24"/>
              </w:rPr>
              <w:t>14</w:t>
            </w:r>
            <w:r>
              <w:rPr>
                <w:rFonts w:hint="eastAsia"/>
                <w:color w:val="auto"/>
                <w:kern w:val="0"/>
                <w:sz w:val="24"/>
              </w:rPr>
              <w:t>天），达到设计强度后，方能进行张拉。</w:t>
            </w:r>
          </w:p>
          <w:p>
            <w:pPr>
              <w:numPr>
                <w:ilvl w:val="0"/>
                <w:numId w:val="6"/>
              </w:numPr>
              <w:spacing w:line="560" w:lineRule="exact"/>
              <w:ind w:firstLine="480" w:firstLineChars="200"/>
              <w:rPr>
                <w:color w:val="auto"/>
                <w:kern w:val="0"/>
                <w:sz w:val="24"/>
              </w:rPr>
            </w:pPr>
            <w:r>
              <w:rPr>
                <w:rFonts w:hint="eastAsia"/>
                <w:color w:val="auto"/>
                <w:kern w:val="0"/>
                <w:sz w:val="24"/>
              </w:rPr>
              <w:t>成品：检验合格采用起重机将预制件转移运输到预制件堆场存放，待通知运至施工现场安装。</w:t>
            </w:r>
          </w:p>
          <w:p>
            <w:pPr>
              <w:pStyle w:val="69"/>
              <w:rPr>
                <w:color w:val="auto"/>
              </w:rPr>
            </w:pPr>
            <w:r>
              <w:rPr>
                <w:rFonts w:hint="eastAsia"/>
                <w:color w:val="auto"/>
              </w:rPr>
              <w:t>混凝土预制构件生产线</w:t>
            </w:r>
            <w:r>
              <w:rPr>
                <w:color w:val="auto"/>
              </w:rPr>
              <w:t>工艺流程及产污环节详见下图。</w:t>
            </w:r>
          </w:p>
          <w:p>
            <w:pPr>
              <w:rPr>
                <w:rFonts w:eastAsia="黑体"/>
                <w:color w:val="auto"/>
              </w:rPr>
            </w:pPr>
            <w:r>
              <w:rPr>
                <w:rFonts w:hint="eastAsia" w:eastAsia="黑体"/>
                <w:color w:val="auto"/>
              </w:rPr>
              <w:object>
                <v:shape id="_x0000_i1026" o:spt="75" type="#_x0000_t75" style="height:244pt;width:408.3pt;" o:ole="t" filled="f" o:preferrelative="t" stroked="f" coordsize="21600,21600">
                  <v:path/>
                  <v:fill on="f" focussize="0,0"/>
                  <v:stroke on="f" joinstyle="miter"/>
                  <v:imagedata r:id="rId12" o:title=""/>
                  <o:lock v:ext="edit" aspectratio="f"/>
                  <w10:wrap type="none"/>
                  <w10:anchorlock/>
                </v:shape>
                <o:OLEObject Type="Embed" ProgID="Visio.Drawing.11" ShapeID="_x0000_i1026" DrawAspect="Content" ObjectID="_1468075727" r:id="rId11">
                  <o:LockedField>false</o:LockedField>
                </o:OLEObject>
              </w:object>
            </w:r>
          </w:p>
          <w:p>
            <w:pPr>
              <w:adjustRightInd w:val="0"/>
              <w:snapToGrid w:val="0"/>
              <w:spacing w:line="520" w:lineRule="exact"/>
              <w:ind w:firstLine="480" w:firstLineChars="200"/>
              <w:jc w:val="center"/>
              <w:rPr>
                <w:rFonts w:eastAsia="黑体"/>
                <w:color w:val="auto"/>
              </w:rPr>
            </w:pPr>
            <w:r>
              <w:rPr>
                <w:rFonts w:hint="eastAsia" w:eastAsia="黑体"/>
                <w:color w:val="auto"/>
                <w:sz w:val="24"/>
              </w:rPr>
              <w:t>图2-</w:t>
            </w:r>
            <w:r>
              <w:rPr>
                <w:rFonts w:hint="eastAsia" w:eastAsia="黑体"/>
                <w:color w:val="auto"/>
                <w:sz w:val="24"/>
                <w:lang w:val="en-US" w:eastAsia="zh-CN"/>
              </w:rPr>
              <w:t>5</w:t>
            </w:r>
            <w:r>
              <w:rPr>
                <w:rFonts w:hint="eastAsia" w:eastAsia="黑体"/>
                <w:color w:val="auto"/>
                <w:sz w:val="24"/>
              </w:rPr>
              <w:t xml:space="preserve"> 混凝土</w:t>
            </w:r>
            <w:r>
              <w:rPr>
                <w:rFonts w:hint="eastAsia" w:eastAsia="黑体"/>
                <w:color w:val="auto"/>
                <w:sz w:val="24"/>
                <w:lang w:val="en-US" w:eastAsia="zh-CN"/>
              </w:rPr>
              <w:t>预制构件生产</w:t>
            </w:r>
            <w:r>
              <w:rPr>
                <w:rFonts w:eastAsia="黑体"/>
                <w:color w:val="auto"/>
                <w:sz w:val="24"/>
              </w:rPr>
              <w:t>工艺流程及产污环节</w:t>
            </w:r>
          </w:p>
          <w:p>
            <w:pPr>
              <w:adjustRightInd w:val="0"/>
              <w:snapToGrid w:val="0"/>
              <w:spacing w:line="520" w:lineRule="exact"/>
              <w:ind w:firstLine="482" w:firstLineChars="200"/>
              <w:rPr>
                <w:b/>
                <w:bCs/>
                <w:color w:val="auto"/>
                <w:sz w:val="24"/>
              </w:rPr>
            </w:pPr>
            <w:r>
              <w:rPr>
                <w:b/>
                <w:bCs/>
                <w:color w:val="auto"/>
                <w:sz w:val="24"/>
              </w:rPr>
              <w:t>2.2</w:t>
            </w:r>
            <w:r>
              <w:rPr>
                <w:rFonts w:hint="eastAsia"/>
                <w:b/>
                <w:bCs/>
                <w:color w:val="auto"/>
                <w:sz w:val="24"/>
              </w:rPr>
              <w:t>运营期</w:t>
            </w:r>
            <w:r>
              <w:rPr>
                <w:b/>
                <w:bCs/>
                <w:color w:val="auto"/>
                <w:sz w:val="24"/>
              </w:rPr>
              <w:t>产污环节</w:t>
            </w:r>
          </w:p>
          <w:p>
            <w:pPr>
              <w:spacing w:line="560" w:lineRule="exact"/>
              <w:ind w:firstLine="480" w:firstLineChars="200"/>
              <w:rPr>
                <w:rFonts w:ascii="宋体" w:cs="宋体"/>
                <w:color w:val="auto"/>
                <w:sz w:val="24"/>
              </w:rPr>
            </w:pPr>
            <w:r>
              <w:rPr>
                <w:rFonts w:hint="eastAsia"/>
                <w:color w:val="auto"/>
                <w:kern w:val="0"/>
                <w:sz w:val="24"/>
              </w:rPr>
              <w:t>（1）</w:t>
            </w:r>
            <w:r>
              <w:rPr>
                <w:rFonts w:hint="eastAsia" w:ascii="宋体" w:cs="宋体"/>
                <w:color w:val="auto"/>
                <w:kern w:val="0"/>
                <w:sz w:val="24"/>
              </w:rPr>
              <w:t>大气污染源</w:t>
            </w:r>
          </w:p>
          <w:p>
            <w:pPr>
              <w:spacing w:line="560" w:lineRule="exact"/>
              <w:ind w:firstLine="480" w:firstLineChars="200"/>
              <w:rPr>
                <w:rFonts w:ascii="宋体" w:cs="宋体"/>
                <w:color w:val="auto"/>
                <w:kern w:val="0"/>
                <w:sz w:val="24"/>
              </w:rPr>
            </w:pPr>
            <w:r>
              <w:rPr>
                <w:rFonts w:hint="eastAsia" w:ascii="宋体" w:cs="宋体"/>
                <w:color w:val="auto"/>
                <w:kern w:val="0"/>
                <w:sz w:val="24"/>
              </w:rPr>
              <w:t>混凝土生产线：混凝土生产过程较简单，运营期大气污染物主要为粉尘，其来源有物料装卸、储存、转载、搅拌粉尘，粉料筒仓顶呼吸粉尘及运输道路扬尘。</w:t>
            </w:r>
          </w:p>
          <w:p>
            <w:pPr>
              <w:spacing w:line="560" w:lineRule="exact"/>
              <w:ind w:firstLine="480" w:firstLineChars="200"/>
              <w:rPr>
                <w:rFonts w:ascii="宋体" w:cs="宋体"/>
                <w:color w:val="auto"/>
                <w:kern w:val="0"/>
                <w:sz w:val="24"/>
              </w:rPr>
            </w:pPr>
            <w:r>
              <w:rPr>
                <w:rFonts w:hint="eastAsia" w:ascii="宋体" w:cs="宋体"/>
                <w:color w:val="auto"/>
                <w:kern w:val="0"/>
                <w:sz w:val="24"/>
              </w:rPr>
              <w:t>预制构件生产线：本项目预制构件生产线采用项目混凝土生产线生产的混凝土直接进行浇筑，运营期无废气产生。</w:t>
            </w:r>
          </w:p>
          <w:p>
            <w:pPr>
              <w:spacing w:line="560" w:lineRule="exact"/>
              <w:ind w:firstLine="480" w:firstLineChars="200"/>
              <w:rPr>
                <w:color w:val="auto"/>
              </w:rPr>
            </w:pPr>
            <w:r>
              <w:rPr>
                <w:rFonts w:hint="eastAsia" w:ascii="宋体" w:cs="宋体"/>
                <w:color w:val="auto"/>
                <w:kern w:val="0"/>
                <w:sz w:val="24"/>
              </w:rPr>
              <w:t>另外项目建有一座食堂，运营过程有食堂油烟产生，原料及产品运输过程有汽车尾气产生。</w:t>
            </w:r>
          </w:p>
          <w:p>
            <w:pPr>
              <w:spacing w:line="560" w:lineRule="exact"/>
              <w:ind w:firstLine="480" w:firstLineChars="200"/>
              <w:rPr>
                <w:rFonts w:ascii="宋体" w:cs="宋体"/>
                <w:color w:val="auto"/>
                <w:kern w:val="0"/>
                <w:sz w:val="24"/>
              </w:rPr>
            </w:pPr>
            <w:r>
              <w:rPr>
                <w:rFonts w:hint="eastAsia" w:ascii="宋体" w:cs="宋体"/>
                <w:color w:val="auto"/>
                <w:kern w:val="0"/>
                <w:sz w:val="24"/>
              </w:rPr>
              <w:t>（2）水污染源</w:t>
            </w:r>
          </w:p>
          <w:p>
            <w:pPr>
              <w:spacing w:line="560" w:lineRule="exact"/>
              <w:ind w:firstLine="480" w:firstLineChars="200"/>
              <w:rPr>
                <w:color w:val="auto"/>
                <w:kern w:val="0"/>
                <w:sz w:val="24"/>
              </w:rPr>
            </w:pPr>
            <w:r>
              <w:rPr>
                <w:color w:val="auto"/>
                <w:kern w:val="0"/>
                <w:sz w:val="24"/>
              </w:rPr>
              <w:t>项目生产废水主要包括搅拌机冲洗水、运输车辆冲洗废水，主要污染物为SS；生活污水为职工生活废水</w:t>
            </w:r>
            <w:r>
              <w:rPr>
                <w:rFonts w:hint="eastAsia"/>
                <w:color w:val="auto"/>
                <w:kern w:val="0"/>
                <w:sz w:val="24"/>
                <w:lang w:eastAsia="zh-CN"/>
              </w:rPr>
              <w:t>（</w:t>
            </w:r>
            <w:r>
              <w:rPr>
                <w:rFonts w:hint="eastAsia"/>
                <w:color w:val="auto"/>
                <w:kern w:val="0"/>
                <w:sz w:val="24"/>
                <w:lang w:val="en-US" w:eastAsia="zh-CN"/>
              </w:rPr>
              <w:t>含餐饮废水</w:t>
            </w:r>
            <w:r>
              <w:rPr>
                <w:rFonts w:hint="eastAsia"/>
                <w:color w:val="auto"/>
                <w:kern w:val="0"/>
                <w:sz w:val="24"/>
                <w:lang w:eastAsia="zh-CN"/>
              </w:rPr>
              <w:t>）</w:t>
            </w:r>
            <w:r>
              <w:rPr>
                <w:color w:val="auto"/>
                <w:kern w:val="0"/>
                <w:sz w:val="24"/>
              </w:rPr>
              <w:t>，主要污染因子是pH、COD、BOD</w:t>
            </w:r>
            <w:r>
              <w:rPr>
                <w:color w:val="auto"/>
                <w:kern w:val="0"/>
                <w:sz w:val="24"/>
                <w:vertAlign w:val="subscript"/>
              </w:rPr>
              <w:t>5</w:t>
            </w:r>
            <w:r>
              <w:rPr>
                <w:color w:val="auto"/>
                <w:kern w:val="0"/>
                <w:sz w:val="24"/>
              </w:rPr>
              <w:t>、NH</w:t>
            </w:r>
            <w:r>
              <w:rPr>
                <w:color w:val="auto"/>
                <w:kern w:val="0"/>
                <w:sz w:val="24"/>
                <w:vertAlign w:val="subscript"/>
              </w:rPr>
              <w:t>3</w:t>
            </w:r>
            <w:r>
              <w:rPr>
                <w:color w:val="auto"/>
                <w:kern w:val="0"/>
                <w:sz w:val="24"/>
              </w:rPr>
              <w:t>-N、SS</w:t>
            </w:r>
            <w:r>
              <w:rPr>
                <w:rFonts w:hint="eastAsia"/>
                <w:color w:val="auto"/>
                <w:kern w:val="0"/>
                <w:sz w:val="24"/>
                <w:lang w:eastAsia="zh-CN"/>
              </w:rPr>
              <w:t>、</w:t>
            </w:r>
            <w:r>
              <w:rPr>
                <w:rFonts w:hint="eastAsia"/>
                <w:color w:val="auto"/>
                <w:kern w:val="0"/>
                <w:sz w:val="24"/>
                <w:lang w:val="en-US" w:eastAsia="zh-CN"/>
              </w:rPr>
              <w:t>动植物油</w:t>
            </w:r>
            <w:r>
              <w:rPr>
                <w:color w:val="auto"/>
                <w:kern w:val="0"/>
                <w:sz w:val="24"/>
              </w:rPr>
              <w:t>等污染物。</w:t>
            </w:r>
          </w:p>
          <w:p>
            <w:pPr>
              <w:spacing w:line="560" w:lineRule="exact"/>
              <w:ind w:firstLine="480" w:firstLineChars="200"/>
              <w:rPr>
                <w:color w:val="auto"/>
                <w:kern w:val="0"/>
                <w:sz w:val="24"/>
              </w:rPr>
            </w:pPr>
            <w:r>
              <w:rPr>
                <w:color w:val="auto"/>
                <w:kern w:val="0"/>
                <w:sz w:val="24"/>
              </w:rPr>
              <w:t>（3）噪声污染源</w:t>
            </w:r>
          </w:p>
          <w:p>
            <w:pPr>
              <w:spacing w:line="520" w:lineRule="exact"/>
              <w:ind w:firstLine="480" w:firstLineChars="200"/>
              <w:rPr>
                <w:color w:val="auto"/>
                <w:kern w:val="0"/>
                <w:sz w:val="24"/>
              </w:rPr>
            </w:pPr>
            <w:r>
              <w:rPr>
                <w:color w:val="auto"/>
                <w:kern w:val="0"/>
                <w:sz w:val="24"/>
              </w:rPr>
              <w:t>项目噪声源主要为生产设备（搅拌机）、输送设备、除尘风机、泵类、运输车辆。根据项目设备设施运营情况，噪声源其声级值约为75～90dB（A）。</w:t>
            </w:r>
          </w:p>
          <w:p>
            <w:pPr>
              <w:spacing w:line="560" w:lineRule="exact"/>
              <w:ind w:firstLine="480" w:firstLineChars="200"/>
              <w:rPr>
                <w:rFonts w:ascii="宋体" w:cs="宋体"/>
                <w:color w:val="auto"/>
                <w:kern w:val="0"/>
                <w:sz w:val="24"/>
              </w:rPr>
            </w:pPr>
            <w:r>
              <w:rPr>
                <w:rFonts w:hint="eastAsia"/>
                <w:color w:val="auto"/>
                <w:kern w:val="0"/>
                <w:sz w:val="24"/>
              </w:rPr>
              <w:t>（4）</w:t>
            </w:r>
            <w:r>
              <w:rPr>
                <w:rFonts w:hint="eastAsia" w:ascii="宋体" w:cs="宋体"/>
                <w:color w:val="auto"/>
                <w:kern w:val="0"/>
                <w:sz w:val="24"/>
              </w:rPr>
              <w:t>固体废物</w:t>
            </w:r>
          </w:p>
          <w:p>
            <w:pPr>
              <w:spacing w:line="520" w:lineRule="exact"/>
              <w:ind w:firstLine="480" w:firstLineChars="200"/>
              <w:rPr>
                <w:rFonts w:ascii="宋体" w:cs="宋体"/>
                <w:color w:val="auto"/>
                <w:kern w:val="0"/>
                <w:sz w:val="24"/>
                <w:highlight w:val="yellow"/>
              </w:rPr>
            </w:pPr>
            <w:r>
              <w:rPr>
                <w:rFonts w:hint="eastAsia" w:ascii="宋体" w:cs="宋体"/>
                <w:color w:val="auto"/>
                <w:kern w:val="0"/>
                <w:sz w:val="24"/>
              </w:rPr>
              <w:t>本项目固废主要来源有沉淀池沉淀物、实验后混凝土、除尘器收尘、钢筋边角料、职工生活垃圾及废润滑油</w:t>
            </w:r>
            <w:r>
              <w:rPr>
                <w:rFonts w:hint="eastAsia" w:ascii="宋体" w:cs="宋体"/>
                <w:color w:val="auto"/>
                <w:kern w:val="0"/>
                <w:sz w:val="24"/>
                <w:lang w:eastAsia="zh-CN"/>
              </w:rPr>
              <w:t>、</w:t>
            </w:r>
            <w:r>
              <w:rPr>
                <w:rFonts w:hint="eastAsia" w:ascii="宋体" w:cs="宋体"/>
                <w:color w:val="auto"/>
                <w:kern w:val="0"/>
                <w:sz w:val="24"/>
                <w:lang w:val="en-US" w:eastAsia="zh-CN"/>
              </w:rPr>
              <w:t>废油桶</w:t>
            </w:r>
            <w:r>
              <w:rPr>
                <w:rFonts w:hint="eastAsia" w:ascii="宋体" w:cs="宋体"/>
                <w:color w:val="auto"/>
                <w:kern w:val="0"/>
                <w:sz w:val="24"/>
              </w:rPr>
              <w:t>等。</w:t>
            </w:r>
          </w:p>
          <w:p>
            <w:pPr>
              <w:adjustRightInd w:val="0"/>
              <w:snapToGrid w:val="0"/>
              <w:spacing w:line="520" w:lineRule="exact"/>
              <w:ind w:firstLine="480" w:firstLineChars="200"/>
              <w:rPr>
                <w:color w:val="auto"/>
                <w:sz w:val="24"/>
              </w:rPr>
            </w:pPr>
            <w:r>
              <w:rPr>
                <w:rFonts w:hint="eastAsia"/>
                <w:color w:val="auto"/>
                <w:sz w:val="24"/>
              </w:rPr>
              <w:t>综上所述，本项目产污环节见表2-</w:t>
            </w:r>
            <w:r>
              <w:rPr>
                <w:rFonts w:hint="eastAsia"/>
                <w:color w:val="auto"/>
                <w:sz w:val="24"/>
                <w:lang w:val="en-US" w:eastAsia="zh-CN"/>
              </w:rPr>
              <w:t>7</w:t>
            </w:r>
            <w:r>
              <w:rPr>
                <w:rFonts w:hint="eastAsia"/>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表2-</w:t>
            </w:r>
            <w:r>
              <w:rPr>
                <w:rFonts w:hint="eastAsia" w:cs="Times New Roman"/>
                <w:b/>
                <w:color w:val="auto"/>
                <w:szCs w:val="21"/>
                <w:lang w:val="en-US" w:eastAsia="zh-CN"/>
              </w:rPr>
              <w:t>7</w:t>
            </w:r>
            <w:r>
              <w:rPr>
                <w:rFonts w:hint="eastAsia" w:ascii="Times New Roman" w:hAnsi="Times New Roman" w:eastAsia="宋体" w:cs="Times New Roman"/>
                <w:b/>
                <w:color w:val="auto"/>
                <w:szCs w:val="21"/>
              </w:rPr>
              <w:t xml:space="preserve">    运营期主要产污环节一览表</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58"/>
              <w:gridCol w:w="2295"/>
              <w:gridCol w:w="31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adjustRightInd w:val="0"/>
                    <w:snapToGrid w:val="0"/>
                    <w:jc w:val="center"/>
                    <w:rPr>
                      <w:color w:val="auto"/>
                      <w:szCs w:val="21"/>
                    </w:rPr>
                  </w:pPr>
                  <w:r>
                    <w:rPr>
                      <w:color w:val="auto"/>
                      <w:szCs w:val="21"/>
                    </w:rPr>
                    <w:t>排放类别</w:t>
                  </w:r>
                </w:p>
              </w:tc>
              <w:tc>
                <w:tcPr>
                  <w:tcW w:w="1958" w:type="dxa"/>
                  <w:vAlign w:val="center"/>
                </w:tcPr>
                <w:p>
                  <w:pPr>
                    <w:adjustRightInd w:val="0"/>
                    <w:snapToGrid w:val="0"/>
                    <w:jc w:val="center"/>
                    <w:rPr>
                      <w:color w:val="auto"/>
                      <w:szCs w:val="21"/>
                    </w:rPr>
                  </w:pPr>
                  <w:r>
                    <w:rPr>
                      <w:color w:val="auto"/>
                      <w:szCs w:val="21"/>
                    </w:rPr>
                    <w:t>污染物</w:t>
                  </w:r>
                </w:p>
              </w:tc>
              <w:tc>
                <w:tcPr>
                  <w:tcW w:w="2295" w:type="dxa"/>
                  <w:vAlign w:val="center"/>
                </w:tcPr>
                <w:p>
                  <w:pPr>
                    <w:adjustRightInd w:val="0"/>
                    <w:snapToGrid w:val="0"/>
                    <w:jc w:val="center"/>
                    <w:rPr>
                      <w:color w:val="auto"/>
                      <w:szCs w:val="21"/>
                    </w:rPr>
                  </w:pPr>
                  <w:r>
                    <w:rPr>
                      <w:color w:val="auto"/>
                      <w:szCs w:val="21"/>
                    </w:rPr>
                    <w:t>污染工序</w:t>
                  </w:r>
                </w:p>
              </w:tc>
              <w:tc>
                <w:tcPr>
                  <w:tcW w:w="3184" w:type="dxa"/>
                  <w:vAlign w:val="center"/>
                </w:tcPr>
                <w:p>
                  <w:pPr>
                    <w:adjustRightInd w:val="0"/>
                    <w:snapToGrid w:val="0"/>
                    <w:jc w:val="center"/>
                    <w:rPr>
                      <w:color w:val="auto"/>
                      <w:szCs w:val="21"/>
                    </w:rPr>
                  </w:pPr>
                  <w:r>
                    <w:rPr>
                      <w:color w:val="auto"/>
                      <w:szCs w:val="21"/>
                    </w:rPr>
                    <w:t>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restart"/>
                  <w:vAlign w:val="center"/>
                </w:tcPr>
                <w:p>
                  <w:pPr>
                    <w:adjustRightInd w:val="0"/>
                    <w:snapToGrid w:val="0"/>
                    <w:jc w:val="center"/>
                    <w:rPr>
                      <w:color w:val="auto"/>
                      <w:szCs w:val="21"/>
                    </w:rPr>
                  </w:pPr>
                  <w:r>
                    <w:rPr>
                      <w:color w:val="auto"/>
                      <w:szCs w:val="21"/>
                    </w:rPr>
                    <w:t>废气</w:t>
                  </w:r>
                </w:p>
              </w:tc>
              <w:tc>
                <w:tcPr>
                  <w:tcW w:w="1958" w:type="dxa"/>
                  <w:vAlign w:val="center"/>
                </w:tcPr>
                <w:p>
                  <w:pPr>
                    <w:adjustRightInd w:val="0"/>
                    <w:snapToGrid w:val="0"/>
                    <w:jc w:val="center"/>
                    <w:rPr>
                      <w:color w:val="auto"/>
                      <w:szCs w:val="21"/>
                    </w:rPr>
                  </w:pPr>
                  <w:r>
                    <w:rPr>
                      <w:rFonts w:hint="eastAsia"/>
                      <w:color w:val="auto"/>
                      <w:szCs w:val="21"/>
                    </w:rPr>
                    <w:t>原料筒仓上料粉尘</w:t>
                  </w:r>
                </w:p>
              </w:tc>
              <w:tc>
                <w:tcPr>
                  <w:tcW w:w="2295" w:type="dxa"/>
                  <w:vAlign w:val="center"/>
                </w:tcPr>
                <w:p>
                  <w:pPr>
                    <w:adjustRightInd w:val="0"/>
                    <w:snapToGrid w:val="0"/>
                    <w:jc w:val="center"/>
                    <w:rPr>
                      <w:color w:val="auto"/>
                      <w:szCs w:val="21"/>
                    </w:rPr>
                  </w:pPr>
                  <w:r>
                    <w:rPr>
                      <w:rFonts w:hint="eastAsia"/>
                      <w:color w:val="auto"/>
                      <w:szCs w:val="21"/>
                    </w:rPr>
                    <w:t>上料工序</w:t>
                  </w:r>
                </w:p>
              </w:tc>
              <w:tc>
                <w:tcPr>
                  <w:tcW w:w="3184" w:type="dxa"/>
                  <w:vMerge w:val="restart"/>
                  <w:vAlign w:val="center"/>
                </w:tcPr>
                <w:p>
                  <w:pPr>
                    <w:adjustRightInd w:val="0"/>
                    <w:snapToGrid w:val="0"/>
                    <w:jc w:val="center"/>
                    <w:rPr>
                      <w:color w:val="auto"/>
                      <w:szCs w:val="21"/>
                    </w:rPr>
                  </w:pPr>
                  <w:r>
                    <w:rPr>
                      <w:color w:val="auto"/>
                      <w:szCs w:val="21"/>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color w:val="auto"/>
                      <w:szCs w:val="21"/>
                    </w:rPr>
                  </w:pPr>
                  <w:r>
                    <w:rPr>
                      <w:rFonts w:hint="eastAsia"/>
                      <w:color w:val="auto"/>
                      <w:szCs w:val="21"/>
                    </w:rPr>
                    <w:t>搅拌机粉尘</w:t>
                  </w:r>
                </w:p>
              </w:tc>
              <w:tc>
                <w:tcPr>
                  <w:tcW w:w="2295" w:type="dxa"/>
                  <w:vAlign w:val="center"/>
                </w:tcPr>
                <w:p>
                  <w:pPr>
                    <w:adjustRightInd w:val="0"/>
                    <w:snapToGrid w:val="0"/>
                    <w:jc w:val="center"/>
                    <w:rPr>
                      <w:color w:val="auto"/>
                      <w:szCs w:val="21"/>
                    </w:rPr>
                  </w:pPr>
                  <w:r>
                    <w:rPr>
                      <w:rFonts w:hint="eastAsia"/>
                      <w:color w:val="auto"/>
                      <w:szCs w:val="21"/>
                    </w:rPr>
                    <w:t>搅拌工序</w:t>
                  </w:r>
                </w:p>
              </w:tc>
              <w:tc>
                <w:tcPr>
                  <w:tcW w:w="3184" w:type="dxa"/>
                  <w:vMerge w:val="continue"/>
                  <w:vAlign w:val="center"/>
                </w:tcPr>
                <w:p>
                  <w:pPr>
                    <w:adjustRightInd w:val="0"/>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color w:val="auto"/>
                      <w:szCs w:val="21"/>
                    </w:rPr>
                  </w:pPr>
                  <w:r>
                    <w:rPr>
                      <w:rFonts w:hint="eastAsia"/>
                      <w:color w:val="auto"/>
                      <w:szCs w:val="21"/>
                    </w:rPr>
                    <w:t>运输扬尘</w:t>
                  </w:r>
                </w:p>
              </w:tc>
              <w:tc>
                <w:tcPr>
                  <w:tcW w:w="2295" w:type="dxa"/>
                  <w:vAlign w:val="center"/>
                </w:tcPr>
                <w:p>
                  <w:pPr>
                    <w:adjustRightInd w:val="0"/>
                    <w:snapToGrid w:val="0"/>
                    <w:jc w:val="center"/>
                    <w:rPr>
                      <w:color w:val="auto"/>
                      <w:szCs w:val="21"/>
                    </w:rPr>
                  </w:pPr>
                  <w:r>
                    <w:rPr>
                      <w:rFonts w:hint="eastAsia"/>
                      <w:color w:val="auto"/>
                      <w:szCs w:val="21"/>
                    </w:rPr>
                    <w:t>运输</w:t>
                  </w:r>
                </w:p>
              </w:tc>
              <w:tc>
                <w:tcPr>
                  <w:tcW w:w="3184" w:type="dxa"/>
                  <w:vMerge w:val="continue"/>
                  <w:vAlign w:val="center"/>
                </w:tcPr>
                <w:p>
                  <w:pPr>
                    <w:adjustRightInd w:val="0"/>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color w:val="auto"/>
                      <w:szCs w:val="21"/>
                    </w:rPr>
                  </w:pPr>
                  <w:r>
                    <w:rPr>
                      <w:rFonts w:hint="eastAsia"/>
                      <w:color w:val="auto"/>
                      <w:szCs w:val="21"/>
                    </w:rPr>
                    <w:t>砂石料装卸粉尘</w:t>
                  </w:r>
                </w:p>
              </w:tc>
              <w:tc>
                <w:tcPr>
                  <w:tcW w:w="2295" w:type="dxa"/>
                  <w:vAlign w:val="center"/>
                </w:tcPr>
                <w:p>
                  <w:pPr>
                    <w:adjustRightInd w:val="0"/>
                    <w:snapToGrid w:val="0"/>
                    <w:jc w:val="center"/>
                    <w:rPr>
                      <w:color w:val="auto"/>
                      <w:szCs w:val="21"/>
                    </w:rPr>
                  </w:pPr>
                  <w:r>
                    <w:rPr>
                      <w:rFonts w:hint="eastAsia"/>
                      <w:color w:val="auto"/>
                      <w:szCs w:val="21"/>
                    </w:rPr>
                    <w:t>装卸工序</w:t>
                  </w:r>
                </w:p>
              </w:tc>
              <w:tc>
                <w:tcPr>
                  <w:tcW w:w="3184" w:type="dxa"/>
                  <w:vMerge w:val="continue"/>
                  <w:vAlign w:val="center"/>
                </w:tcPr>
                <w:p>
                  <w:pPr>
                    <w:adjustRightInd w:val="0"/>
                    <w:snapToGrid w:val="0"/>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color w:val="auto"/>
                      <w:szCs w:val="21"/>
                    </w:rPr>
                  </w:pPr>
                  <w:r>
                    <w:rPr>
                      <w:rFonts w:hint="eastAsia"/>
                      <w:color w:val="auto"/>
                      <w:szCs w:val="21"/>
                    </w:rPr>
                    <w:t>食堂油烟</w:t>
                  </w:r>
                </w:p>
              </w:tc>
              <w:tc>
                <w:tcPr>
                  <w:tcW w:w="2295" w:type="dxa"/>
                  <w:vAlign w:val="center"/>
                </w:tcPr>
                <w:p>
                  <w:pPr>
                    <w:adjustRightInd w:val="0"/>
                    <w:snapToGrid w:val="0"/>
                    <w:jc w:val="center"/>
                    <w:rPr>
                      <w:color w:val="auto"/>
                      <w:szCs w:val="21"/>
                    </w:rPr>
                  </w:pPr>
                  <w:r>
                    <w:rPr>
                      <w:rFonts w:hint="eastAsia"/>
                      <w:color w:val="auto"/>
                      <w:szCs w:val="21"/>
                    </w:rPr>
                    <w:t>食堂</w:t>
                  </w:r>
                </w:p>
              </w:tc>
              <w:tc>
                <w:tcPr>
                  <w:tcW w:w="3184" w:type="dxa"/>
                  <w:vAlign w:val="center"/>
                </w:tcPr>
                <w:p>
                  <w:pPr>
                    <w:adjustRightInd w:val="0"/>
                    <w:snapToGrid w:val="0"/>
                    <w:jc w:val="center"/>
                    <w:rPr>
                      <w:color w:val="auto"/>
                      <w:szCs w:val="21"/>
                    </w:rPr>
                  </w:pPr>
                  <w:r>
                    <w:rPr>
                      <w:rFonts w:hint="eastAsia"/>
                      <w:color w:val="auto"/>
                      <w:szCs w:val="21"/>
                    </w:rPr>
                    <w:t>油烟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color w:val="auto"/>
                      <w:szCs w:val="21"/>
                    </w:rPr>
                  </w:pPr>
                  <w:r>
                    <w:rPr>
                      <w:rFonts w:hint="eastAsia"/>
                      <w:color w:val="auto"/>
                      <w:szCs w:val="21"/>
                    </w:rPr>
                    <w:t>汽车尾气</w:t>
                  </w:r>
                </w:p>
              </w:tc>
              <w:tc>
                <w:tcPr>
                  <w:tcW w:w="2295" w:type="dxa"/>
                  <w:vAlign w:val="center"/>
                </w:tcPr>
                <w:p>
                  <w:pPr>
                    <w:adjustRightInd w:val="0"/>
                    <w:snapToGrid w:val="0"/>
                    <w:jc w:val="center"/>
                    <w:rPr>
                      <w:color w:val="auto"/>
                      <w:szCs w:val="21"/>
                    </w:rPr>
                  </w:pPr>
                  <w:r>
                    <w:rPr>
                      <w:rFonts w:hint="eastAsia"/>
                      <w:color w:val="auto"/>
                      <w:szCs w:val="21"/>
                    </w:rPr>
                    <w:t>运输</w:t>
                  </w:r>
                </w:p>
              </w:tc>
              <w:tc>
                <w:tcPr>
                  <w:tcW w:w="3184" w:type="dxa"/>
                  <w:vAlign w:val="center"/>
                </w:tcPr>
                <w:p>
                  <w:pPr>
                    <w:adjustRightInd w:val="0"/>
                    <w:snapToGrid w:val="0"/>
                    <w:jc w:val="center"/>
                    <w:rPr>
                      <w:color w:val="auto"/>
                      <w:szCs w:val="21"/>
                    </w:rPr>
                  </w:pPr>
                  <w:r>
                    <w:rPr>
                      <w:rFonts w:hint="eastAsia"/>
                      <w:color w:val="auto"/>
                      <w:szCs w:val="21"/>
                    </w:rPr>
                    <w:t>CO、NOx、THC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restart"/>
                  <w:vAlign w:val="center"/>
                </w:tcPr>
                <w:p>
                  <w:pPr>
                    <w:adjustRightInd w:val="0"/>
                    <w:snapToGrid w:val="0"/>
                    <w:jc w:val="center"/>
                    <w:rPr>
                      <w:color w:val="auto"/>
                      <w:szCs w:val="21"/>
                    </w:rPr>
                  </w:pPr>
                  <w:r>
                    <w:rPr>
                      <w:color w:val="auto"/>
                      <w:szCs w:val="21"/>
                    </w:rPr>
                    <w:t>废水</w:t>
                  </w:r>
                </w:p>
              </w:tc>
              <w:tc>
                <w:tcPr>
                  <w:tcW w:w="1958" w:type="dxa"/>
                  <w:vAlign w:val="center"/>
                </w:tcPr>
                <w:p>
                  <w:pPr>
                    <w:adjustRightInd w:val="0"/>
                    <w:snapToGrid w:val="0"/>
                    <w:jc w:val="center"/>
                    <w:rPr>
                      <w:color w:val="auto"/>
                      <w:szCs w:val="21"/>
                    </w:rPr>
                  </w:pPr>
                  <w:r>
                    <w:rPr>
                      <w:color w:val="auto"/>
                      <w:szCs w:val="21"/>
                    </w:rPr>
                    <w:t>生活</w:t>
                  </w:r>
                  <w:r>
                    <w:rPr>
                      <w:rFonts w:hint="eastAsia"/>
                      <w:color w:val="auto"/>
                      <w:szCs w:val="21"/>
                    </w:rPr>
                    <w:t>污水</w:t>
                  </w:r>
                </w:p>
              </w:tc>
              <w:tc>
                <w:tcPr>
                  <w:tcW w:w="2295" w:type="dxa"/>
                  <w:vAlign w:val="center"/>
                </w:tcPr>
                <w:p>
                  <w:pPr>
                    <w:adjustRightInd w:val="0"/>
                    <w:snapToGrid w:val="0"/>
                    <w:jc w:val="center"/>
                    <w:rPr>
                      <w:color w:val="auto"/>
                      <w:szCs w:val="21"/>
                    </w:rPr>
                  </w:pPr>
                  <w:r>
                    <w:rPr>
                      <w:color w:val="auto"/>
                      <w:szCs w:val="21"/>
                    </w:rPr>
                    <w:t>办公、生活过程</w:t>
                  </w:r>
                </w:p>
              </w:tc>
              <w:tc>
                <w:tcPr>
                  <w:tcW w:w="3184"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pH、</w:t>
                  </w:r>
                  <w:r>
                    <w:rPr>
                      <w:color w:val="auto"/>
                      <w:szCs w:val="21"/>
                    </w:rPr>
                    <w:t>COD、BOD</w:t>
                  </w:r>
                  <w:r>
                    <w:rPr>
                      <w:color w:val="auto"/>
                      <w:szCs w:val="21"/>
                      <w:vertAlign w:val="subscript"/>
                    </w:rPr>
                    <w:t>5</w:t>
                  </w:r>
                  <w:r>
                    <w:rPr>
                      <w:color w:val="auto"/>
                      <w:szCs w:val="21"/>
                    </w:rPr>
                    <w:t>、SS、NH</w:t>
                  </w:r>
                  <w:r>
                    <w:rPr>
                      <w:color w:val="auto"/>
                      <w:szCs w:val="21"/>
                      <w:vertAlign w:val="subscript"/>
                    </w:rPr>
                    <w:t>3</w:t>
                  </w:r>
                  <w:r>
                    <w:rPr>
                      <w:color w:val="auto"/>
                      <w:szCs w:val="21"/>
                    </w:rPr>
                    <w:t>-N</w:t>
                  </w:r>
                  <w:r>
                    <w:rPr>
                      <w:rFonts w:hint="eastAsia"/>
                      <w:color w:val="auto"/>
                      <w:szCs w:val="21"/>
                      <w:lang w:eastAsia="zh-CN"/>
                    </w:rPr>
                    <w:t>、</w:t>
                  </w:r>
                  <w:r>
                    <w:rPr>
                      <w:rFonts w:hint="eastAsia"/>
                      <w:color w:val="auto"/>
                      <w:szCs w:val="21"/>
                      <w:lang w:val="en-US" w:eastAsia="zh-CN"/>
                    </w:rPr>
                    <w:t>动植物油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color w:val="auto"/>
                      <w:szCs w:val="21"/>
                    </w:rPr>
                  </w:pPr>
                  <w:r>
                    <w:rPr>
                      <w:rFonts w:hint="eastAsia"/>
                      <w:color w:val="auto"/>
                      <w:szCs w:val="21"/>
                    </w:rPr>
                    <w:t>搅拌机清洗水</w:t>
                  </w:r>
                </w:p>
              </w:tc>
              <w:tc>
                <w:tcPr>
                  <w:tcW w:w="2295" w:type="dxa"/>
                  <w:vAlign w:val="center"/>
                </w:tcPr>
                <w:p>
                  <w:pPr>
                    <w:adjustRightInd w:val="0"/>
                    <w:snapToGrid w:val="0"/>
                    <w:jc w:val="center"/>
                    <w:rPr>
                      <w:color w:val="auto"/>
                      <w:szCs w:val="21"/>
                    </w:rPr>
                  </w:pPr>
                  <w:r>
                    <w:rPr>
                      <w:rFonts w:hint="eastAsia"/>
                      <w:color w:val="auto"/>
                      <w:szCs w:val="21"/>
                    </w:rPr>
                    <w:t>搅拌机清洗</w:t>
                  </w:r>
                </w:p>
              </w:tc>
              <w:tc>
                <w:tcPr>
                  <w:tcW w:w="3184" w:type="dxa"/>
                  <w:vAlign w:val="center"/>
                </w:tcPr>
                <w:p>
                  <w:pPr>
                    <w:adjustRightInd w:val="0"/>
                    <w:snapToGrid w:val="0"/>
                    <w:jc w:val="center"/>
                    <w:rPr>
                      <w:color w:val="auto"/>
                      <w:szCs w:val="21"/>
                    </w:rPr>
                  </w:pPr>
                  <w:r>
                    <w:rPr>
                      <w:color w:val="auto"/>
                      <w:szCs w:val="21"/>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color w:val="auto"/>
                      <w:szCs w:val="21"/>
                    </w:rPr>
                  </w:pPr>
                  <w:r>
                    <w:rPr>
                      <w:rFonts w:hint="eastAsia"/>
                      <w:color w:val="auto"/>
                      <w:szCs w:val="21"/>
                    </w:rPr>
                    <w:t>运输车清洗水</w:t>
                  </w:r>
                </w:p>
              </w:tc>
              <w:tc>
                <w:tcPr>
                  <w:tcW w:w="2295" w:type="dxa"/>
                  <w:vAlign w:val="center"/>
                </w:tcPr>
                <w:p>
                  <w:pPr>
                    <w:adjustRightInd w:val="0"/>
                    <w:snapToGrid w:val="0"/>
                    <w:jc w:val="center"/>
                    <w:rPr>
                      <w:color w:val="auto"/>
                      <w:szCs w:val="21"/>
                    </w:rPr>
                  </w:pPr>
                  <w:r>
                    <w:rPr>
                      <w:rFonts w:hint="eastAsia"/>
                      <w:color w:val="auto"/>
                      <w:szCs w:val="21"/>
                    </w:rPr>
                    <w:t>运输车清洗</w:t>
                  </w:r>
                </w:p>
              </w:tc>
              <w:tc>
                <w:tcPr>
                  <w:tcW w:w="3184" w:type="dxa"/>
                  <w:vAlign w:val="center"/>
                </w:tcPr>
                <w:p>
                  <w:pPr>
                    <w:adjustRightInd w:val="0"/>
                    <w:snapToGrid w:val="0"/>
                    <w:jc w:val="center"/>
                    <w:rPr>
                      <w:color w:val="auto"/>
                      <w:szCs w:val="21"/>
                    </w:rPr>
                  </w:pPr>
                  <w:r>
                    <w:rPr>
                      <w:rFonts w:hint="eastAsia"/>
                      <w:color w:val="auto"/>
                      <w:szCs w:val="21"/>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adjustRightInd w:val="0"/>
                    <w:snapToGrid w:val="0"/>
                    <w:jc w:val="center"/>
                    <w:rPr>
                      <w:color w:val="auto"/>
                      <w:szCs w:val="21"/>
                    </w:rPr>
                  </w:pPr>
                  <w:r>
                    <w:rPr>
                      <w:color w:val="auto"/>
                      <w:szCs w:val="21"/>
                    </w:rPr>
                    <w:t>噪声</w:t>
                  </w:r>
                </w:p>
              </w:tc>
              <w:tc>
                <w:tcPr>
                  <w:tcW w:w="1958" w:type="dxa"/>
                  <w:vAlign w:val="center"/>
                </w:tcPr>
                <w:p>
                  <w:pPr>
                    <w:adjustRightInd w:val="0"/>
                    <w:snapToGrid w:val="0"/>
                    <w:jc w:val="center"/>
                    <w:rPr>
                      <w:color w:val="auto"/>
                      <w:szCs w:val="21"/>
                    </w:rPr>
                  </w:pPr>
                  <w:r>
                    <w:rPr>
                      <w:color w:val="auto"/>
                      <w:szCs w:val="21"/>
                    </w:rPr>
                    <w:t>机械噪声</w:t>
                  </w:r>
                </w:p>
              </w:tc>
              <w:tc>
                <w:tcPr>
                  <w:tcW w:w="2295" w:type="dxa"/>
                  <w:vAlign w:val="center"/>
                </w:tcPr>
                <w:p>
                  <w:pPr>
                    <w:adjustRightInd w:val="0"/>
                    <w:snapToGrid w:val="0"/>
                    <w:jc w:val="center"/>
                    <w:rPr>
                      <w:color w:val="auto"/>
                      <w:szCs w:val="21"/>
                    </w:rPr>
                  </w:pPr>
                  <w:r>
                    <w:rPr>
                      <w:color w:val="auto"/>
                      <w:szCs w:val="21"/>
                    </w:rPr>
                    <w:t>各类设备运转过程</w:t>
                  </w:r>
                </w:p>
              </w:tc>
              <w:tc>
                <w:tcPr>
                  <w:tcW w:w="3184" w:type="dxa"/>
                  <w:vAlign w:val="center"/>
                </w:tcPr>
                <w:p>
                  <w:pPr>
                    <w:adjustRightInd w:val="0"/>
                    <w:snapToGrid w:val="0"/>
                    <w:jc w:val="center"/>
                    <w:rPr>
                      <w:color w:val="auto"/>
                      <w:szCs w:val="21"/>
                    </w:rPr>
                  </w:pPr>
                  <w:r>
                    <w:rPr>
                      <w:color w:val="auto"/>
                      <w:szCs w:val="21"/>
                    </w:rPr>
                    <w:t>设备噪声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restart"/>
                  <w:vAlign w:val="center"/>
                </w:tcPr>
                <w:p>
                  <w:pPr>
                    <w:adjustRightInd w:val="0"/>
                    <w:snapToGrid w:val="0"/>
                    <w:jc w:val="center"/>
                    <w:rPr>
                      <w:color w:val="auto"/>
                      <w:szCs w:val="21"/>
                    </w:rPr>
                  </w:pPr>
                  <w:r>
                    <w:rPr>
                      <w:color w:val="auto"/>
                      <w:szCs w:val="21"/>
                    </w:rPr>
                    <w:t>固废</w:t>
                  </w:r>
                </w:p>
              </w:tc>
              <w:tc>
                <w:tcPr>
                  <w:tcW w:w="1958" w:type="dxa"/>
                  <w:vMerge w:val="restart"/>
                  <w:vAlign w:val="center"/>
                </w:tcPr>
                <w:p>
                  <w:pPr>
                    <w:adjustRightInd w:val="0"/>
                    <w:snapToGrid w:val="0"/>
                    <w:jc w:val="center"/>
                    <w:rPr>
                      <w:color w:val="auto"/>
                      <w:szCs w:val="21"/>
                    </w:rPr>
                  </w:pPr>
                  <w:r>
                    <w:rPr>
                      <w:color w:val="auto"/>
                      <w:szCs w:val="21"/>
                    </w:rPr>
                    <w:t>生产固废</w:t>
                  </w:r>
                </w:p>
              </w:tc>
              <w:tc>
                <w:tcPr>
                  <w:tcW w:w="2295" w:type="dxa"/>
                  <w:vAlign w:val="center"/>
                </w:tcPr>
                <w:p>
                  <w:pPr>
                    <w:adjustRightInd w:val="0"/>
                    <w:snapToGrid w:val="0"/>
                    <w:jc w:val="center"/>
                    <w:rPr>
                      <w:color w:val="auto"/>
                      <w:szCs w:val="21"/>
                    </w:rPr>
                  </w:pPr>
                  <w:r>
                    <w:rPr>
                      <w:rFonts w:hint="eastAsia"/>
                      <w:color w:val="auto"/>
                      <w:szCs w:val="21"/>
                    </w:rPr>
                    <w:t>除尘装置</w:t>
                  </w:r>
                </w:p>
              </w:tc>
              <w:tc>
                <w:tcPr>
                  <w:tcW w:w="3184" w:type="dxa"/>
                  <w:vAlign w:val="center"/>
                </w:tcPr>
                <w:p>
                  <w:pPr>
                    <w:adjustRightInd w:val="0"/>
                    <w:snapToGrid w:val="0"/>
                    <w:jc w:val="center"/>
                    <w:rPr>
                      <w:color w:val="auto"/>
                      <w:szCs w:val="21"/>
                    </w:rPr>
                  </w:pPr>
                  <w:r>
                    <w:rPr>
                      <w:rFonts w:hint="eastAsia"/>
                      <w:color w:val="auto"/>
                      <w:szCs w:val="21"/>
                    </w:rPr>
                    <w:t>原料粉尘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Merge w:val="continue"/>
                  <w:vAlign w:val="center"/>
                </w:tcPr>
                <w:p>
                  <w:pPr>
                    <w:adjustRightInd w:val="0"/>
                    <w:snapToGrid w:val="0"/>
                    <w:jc w:val="center"/>
                    <w:rPr>
                      <w:color w:val="auto"/>
                      <w:szCs w:val="21"/>
                    </w:rPr>
                  </w:pPr>
                </w:p>
              </w:tc>
              <w:tc>
                <w:tcPr>
                  <w:tcW w:w="2295" w:type="dxa"/>
                  <w:vAlign w:val="center"/>
                </w:tcPr>
                <w:p>
                  <w:pPr>
                    <w:adjustRightInd w:val="0"/>
                    <w:snapToGrid w:val="0"/>
                    <w:jc w:val="center"/>
                    <w:rPr>
                      <w:color w:val="auto"/>
                      <w:szCs w:val="21"/>
                    </w:rPr>
                  </w:pPr>
                  <w:r>
                    <w:rPr>
                      <w:rFonts w:hint="eastAsia"/>
                      <w:color w:val="auto"/>
                      <w:szCs w:val="21"/>
                    </w:rPr>
                    <w:t>沉淀池沉渣</w:t>
                  </w:r>
                </w:p>
              </w:tc>
              <w:tc>
                <w:tcPr>
                  <w:tcW w:w="3184" w:type="dxa"/>
                  <w:vAlign w:val="center"/>
                </w:tcPr>
                <w:p>
                  <w:pPr>
                    <w:adjustRightInd w:val="0"/>
                    <w:snapToGrid w:val="0"/>
                    <w:jc w:val="center"/>
                    <w:rPr>
                      <w:color w:val="auto"/>
                      <w:szCs w:val="21"/>
                    </w:rPr>
                  </w:pPr>
                  <w:r>
                    <w:rPr>
                      <w:rFonts w:hint="eastAsia"/>
                      <w:color w:val="auto"/>
                      <w:szCs w:val="21"/>
                    </w:rPr>
                    <w:t>沉渣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Merge w:val="continue"/>
                  <w:vAlign w:val="center"/>
                </w:tcPr>
                <w:p>
                  <w:pPr>
                    <w:adjustRightInd w:val="0"/>
                    <w:snapToGrid w:val="0"/>
                    <w:jc w:val="center"/>
                    <w:rPr>
                      <w:color w:val="auto"/>
                      <w:szCs w:val="21"/>
                    </w:rPr>
                  </w:pPr>
                </w:p>
              </w:tc>
              <w:tc>
                <w:tcPr>
                  <w:tcW w:w="2295" w:type="dxa"/>
                  <w:vAlign w:val="center"/>
                </w:tcPr>
                <w:p>
                  <w:pPr>
                    <w:adjustRightInd w:val="0"/>
                    <w:snapToGrid w:val="0"/>
                    <w:jc w:val="center"/>
                    <w:rPr>
                      <w:color w:val="auto"/>
                      <w:szCs w:val="21"/>
                    </w:rPr>
                  </w:pPr>
                  <w:r>
                    <w:rPr>
                      <w:rFonts w:hint="eastAsia"/>
                      <w:color w:val="auto"/>
                      <w:szCs w:val="21"/>
                    </w:rPr>
                    <w:t>混凝土实验</w:t>
                  </w:r>
                </w:p>
              </w:tc>
              <w:tc>
                <w:tcPr>
                  <w:tcW w:w="3184" w:type="dxa"/>
                  <w:vAlign w:val="center"/>
                </w:tcPr>
                <w:p>
                  <w:pPr>
                    <w:adjustRightInd w:val="0"/>
                    <w:snapToGrid w:val="0"/>
                    <w:jc w:val="center"/>
                    <w:rPr>
                      <w:color w:val="auto"/>
                      <w:szCs w:val="21"/>
                    </w:rPr>
                  </w:pPr>
                  <w:r>
                    <w:rPr>
                      <w:rFonts w:hint="eastAsia"/>
                      <w:color w:val="auto"/>
                      <w:szCs w:val="21"/>
                    </w:rPr>
                    <w:t>混凝土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Merge w:val="continue"/>
                  <w:vAlign w:val="center"/>
                </w:tcPr>
                <w:p>
                  <w:pPr>
                    <w:adjustRightInd w:val="0"/>
                    <w:snapToGrid w:val="0"/>
                    <w:jc w:val="center"/>
                    <w:rPr>
                      <w:color w:val="auto"/>
                      <w:szCs w:val="21"/>
                    </w:rPr>
                  </w:pPr>
                </w:p>
              </w:tc>
              <w:tc>
                <w:tcPr>
                  <w:tcW w:w="2295" w:type="dxa"/>
                  <w:vAlign w:val="center"/>
                </w:tcPr>
                <w:p>
                  <w:pPr>
                    <w:adjustRightInd w:val="0"/>
                    <w:snapToGrid w:val="0"/>
                    <w:jc w:val="center"/>
                    <w:rPr>
                      <w:color w:val="auto"/>
                      <w:szCs w:val="21"/>
                    </w:rPr>
                  </w:pPr>
                  <w:r>
                    <w:rPr>
                      <w:rFonts w:hint="eastAsia"/>
                      <w:color w:val="auto"/>
                      <w:szCs w:val="21"/>
                    </w:rPr>
                    <w:t>钢筋机械加工</w:t>
                  </w:r>
                </w:p>
              </w:tc>
              <w:tc>
                <w:tcPr>
                  <w:tcW w:w="3184" w:type="dxa"/>
                  <w:vAlign w:val="center"/>
                </w:tcPr>
                <w:p>
                  <w:pPr>
                    <w:adjustRightInd w:val="0"/>
                    <w:snapToGrid w:val="0"/>
                    <w:jc w:val="center"/>
                    <w:rPr>
                      <w:color w:val="auto"/>
                      <w:szCs w:val="21"/>
                    </w:rPr>
                  </w:pPr>
                  <w:r>
                    <w:rPr>
                      <w:rFonts w:hint="eastAsia"/>
                      <w:color w:val="auto"/>
                      <w:szCs w:val="21"/>
                    </w:rPr>
                    <w:t>钢筋边角料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color w:val="auto"/>
                      <w:szCs w:val="21"/>
                    </w:rPr>
                  </w:pPr>
                  <w:r>
                    <w:rPr>
                      <w:rFonts w:hint="eastAsia"/>
                      <w:color w:val="auto"/>
                      <w:szCs w:val="21"/>
                    </w:rPr>
                    <w:t>危险废物</w:t>
                  </w:r>
                </w:p>
              </w:tc>
              <w:tc>
                <w:tcPr>
                  <w:tcW w:w="2295" w:type="dxa"/>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设备维修、保养</w:t>
                  </w:r>
                </w:p>
              </w:tc>
              <w:tc>
                <w:tcPr>
                  <w:tcW w:w="3184" w:type="dxa"/>
                  <w:vAlign w:val="center"/>
                </w:tcPr>
                <w:p>
                  <w:pPr>
                    <w:adjustRightInd w:val="0"/>
                    <w:snapToGrid w:val="0"/>
                    <w:jc w:val="center"/>
                    <w:rPr>
                      <w:rFonts w:hint="default" w:eastAsia="宋体"/>
                      <w:color w:val="auto"/>
                      <w:szCs w:val="21"/>
                      <w:lang w:val="en-US" w:eastAsia="zh-CN"/>
                    </w:rPr>
                  </w:pPr>
                  <w:r>
                    <w:rPr>
                      <w:rFonts w:hint="eastAsia"/>
                      <w:color w:val="auto"/>
                      <w:szCs w:val="21"/>
                    </w:rPr>
                    <w:t>废润滑油</w:t>
                  </w:r>
                  <w:r>
                    <w:rPr>
                      <w:rFonts w:hint="eastAsia"/>
                      <w:color w:val="auto"/>
                      <w:szCs w:val="21"/>
                      <w:lang w:eastAsia="zh-CN"/>
                    </w:rPr>
                    <w:t>、</w:t>
                  </w:r>
                  <w:r>
                    <w:rPr>
                      <w:rFonts w:hint="eastAsia"/>
                      <w:color w:val="auto"/>
                      <w:szCs w:val="21"/>
                      <w:lang w:val="en-US" w:eastAsia="zh-CN"/>
                    </w:rPr>
                    <w:t>废油桶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vAlign w:val="center"/>
                </w:tcPr>
                <w:p>
                  <w:pPr>
                    <w:adjustRightInd w:val="0"/>
                    <w:snapToGrid w:val="0"/>
                    <w:jc w:val="center"/>
                    <w:rPr>
                      <w:color w:val="auto"/>
                      <w:szCs w:val="21"/>
                    </w:rPr>
                  </w:pPr>
                </w:p>
              </w:tc>
              <w:tc>
                <w:tcPr>
                  <w:tcW w:w="1958" w:type="dxa"/>
                  <w:vAlign w:val="center"/>
                </w:tcPr>
                <w:p>
                  <w:pPr>
                    <w:adjustRightInd w:val="0"/>
                    <w:snapToGrid w:val="0"/>
                    <w:jc w:val="center"/>
                    <w:rPr>
                      <w:rFonts w:hint="eastAsia" w:eastAsia="宋体"/>
                      <w:color w:val="auto"/>
                      <w:szCs w:val="21"/>
                      <w:lang w:eastAsia="zh-CN"/>
                    </w:rPr>
                  </w:pPr>
                  <w:r>
                    <w:rPr>
                      <w:color w:val="auto"/>
                      <w:szCs w:val="21"/>
                    </w:rPr>
                    <w:t>生活垃圾</w:t>
                  </w:r>
                  <w:r>
                    <w:rPr>
                      <w:rFonts w:hint="eastAsia"/>
                      <w:color w:val="auto"/>
                      <w:szCs w:val="21"/>
                      <w:lang w:eastAsia="zh-CN"/>
                    </w:rPr>
                    <w:t>、隔油池废油</w:t>
                  </w:r>
                </w:p>
              </w:tc>
              <w:tc>
                <w:tcPr>
                  <w:tcW w:w="2295" w:type="dxa"/>
                  <w:vAlign w:val="center"/>
                </w:tcPr>
                <w:p>
                  <w:pPr>
                    <w:adjustRightInd w:val="0"/>
                    <w:snapToGrid w:val="0"/>
                    <w:jc w:val="center"/>
                    <w:rPr>
                      <w:color w:val="auto"/>
                      <w:szCs w:val="21"/>
                    </w:rPr>
                  </w:pPr>
                  <w:r>
                    <w:rPr>
                      <w:color w:val="auto"/>
                      <w:szCs w:val="21"/>
                    </w:rPr>
                    <w:t>生活、办公过程</w:t>
                  </w:r>
                </w:p>
              </w:tc>
              <w:tc>
                <w:tcPr>
                  <w:tcW w:w="3184" w:type="dxa"/>
                  <w:vAlign w:val="center"/>
                </w:tcPr>
                <w:p>
                  <w:pPr>
                    <w:adjustRightInd w:val="0"/>
                    <w:snapToGrid w:val="0"/>
                    <w:jc w:val="center"/>
                    <w:rPr>
                      <w:rFonts w:hint="default" w:eastAsia="宋体"/>
                      <w:color w:val="auto"/>
                      <w:szCs w:val="21"/>
                      <w:lang w:val="en-US" w:eastAsia="zh-CN"/>
                    </w:rPr>
                  </w:pPr>
                  <w:r>
                    <w:rPr>
                      <w:color w:val="auto"/>
                      <w:szCs w:val="21"/>
                    </w:rPr>
                    <w:t>生活垃圾</w:t>
                  </w:r>
                  <w:r>
                    <w:rPr>
                      <w:rFonts w:hint="eastAsia"/>
                      <w:color w:val="auto"/>
                      <w:szCs w:val="21"/>
                      <w:lang w:eastAsia="zh-CN"/>
                    </w:rPr>
                    <w:t>、</w:t>
                  </w:r>
                  <w:r>
                    <w:rPr>
                      <w:rFonts w:hint="eastAsia"/>
                      <w:color w:val="auto"/>
                      <w:szCs w:val="21"/>
                      <w:lang w:val="en-US" w:eastAsia="zh-CN"/>
                    </w:rPr>
                    <w:t>厨房隔油池废油</w:t>
                  </w:r>
                </w:p>
              </w:tc>
            </w:tr>
          </w:tbl>
          <w:p>
            <w:pPr>
              <w:pStyle w:val="29"/>
              <w:ind w:left="0" w:leftChars="0" w:firstLine="0" w:firstLineChars="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8" w:type="dxa"/>
            <w:vAlign w:val="center"/>
          </w:tcPr>
          <w:p>
            <w:pPr>
              <w:pStyle w:val="26"/>
              <w:adjustRightInd w:val="0"/>
              <w:snapToGrid w:val="0"/>
              <w:spacing w:before="0" w:beforeAutospacing="0" w:after="0" w:afterAutospacing="0"/>
              <w:jc w:val="center"/>
              <w:rPr>
                <w:rFonts w:ascii="Times New Roman" w:hAnsi="Times New Roman"/>
                <w:bCs/>
                <w:color w:val="auto"/>
                <w:kern w:val="2"/>
                <w:szCs w:val="24"/>
              </w:rPr>
            </w:pPr>
            <w:r>
              <w:rPr>
                <w:rFonts w:ascii="Times New Roman" w:hAnsi="Times New Roman"/>
                <w:bCs/>
                <w:color w:val="auto"/>
                <w:kern w:val="2"/>
                <w:szCs w:val="24"/>
              </w:rPr>
              <w:t>与项目有关的原有环境污染问题</w:t>
            </w:r>
          </w:p>
        </w:tc>
        <w:tc>
          <w:tcPr>
            <w:tcW w:w="8382" w:type="dxa"/>
          </w:tcPr>
          <w:p>
            <w:pPr>
              <w:rPr>
                <w:color w:val="auto"/>
              </w:rPr>
            </w:pPr>
          </w:p>
          <w:p>
            <w:pPr>
              <w:pStyle w:val="4"/>
              <w:rPr>
                <w:color w:val="auto"/>
              </w:rPr>
            </w:pPr>
          </w:p>
          <w:p>
            <w:pPr>
              <w:rPr>
                <w:color w:val="auto"/>
              </w:rPr>
            </w:pPr>
          </w:p>
          <w:p>
            <w:pPr>
              <w:rPr>
                <w:color w:val="auto"/>
              </w:rPr>
            </w:pPr>
          </w:p>
          <w:p>
            <w:pPr>
              <w:pStyle w:val="29"/>
              <w:spacing w:after="0" w:line="520" w:lineRule="exact"/>
              <w:ind w:left="0" w:leftChars="0" w:firstLine="480"/>
              <w:rPr>
                <w:rFonts w:hint="eastAsia"/>
                <w:color w:val="auto"/>
                <w:sz w:val="24"/>
                <w:highlight w:val="none"/>
              </w:rPr>
            </w:pPr>
            <w:r>
              <w:rPr>
                <w:rFonts w:hint="eastAsia"/>
                <w:color w:val="auto"/>
                <w:sz w:val="24"/>
                <w:szCs w:val="32"/>
                <w:highlight w:val="none"/>
              </w:rPr>
              <w:t>本项目属于新建项目，项目区现状为空地，</w:t>
            </w:r>
            <w:r>
              <w:rPr>
                <w:rFonts w:hint="eastAsia"/>
                <w:color w:val="auto"/>
                <w:sz w:val="24"/>
                <w:szCs w:val="32"/>
                <w:highlight w:val="none"/>
                <w:lang w:val="en-US" w:eastAsia="zh-CN"/>
              </w:rPr>
              <w:t>但东南角尚有少量废石堆存（项目区原为不合规砂石料场，已关闭，项目区土地已出让给建设单位，土地出让合同见附件3），建设单位进行“三通一平”时，应尽快将废石运至相关部门指定位置进行填埋处置，除此之外</w:t>
            </w:r>
            <w:r>
              <w:rPr>
                <w:rFonts w:hint="eastAsia"/>
                <w:color w:val="auto"/>
                <w:sz w:val="24"/>
                <w:highlight w:val="none"/>
              </w:rPr>
              <w:t>不存在与项目有关的原有环境污染问题。</w:t>
            </w: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4"/>
              <w:rPr>
                <w:rFonts w:hint="eastAsia"/>
                <w:color w:val="auto"/>
                <w:sz w:val="24"/>
                <w:highlight w:val="none"/>
              </w:rPr>
            </w:pPr>
          </w:p>
          <w:p>
            <w:pPr>
              <w:rPr>
                <w:rFonts w:hint="eastAsia"/>
                <w:color w:val="auto"/>
                <w:sz w:val="24"/>
                <w:highlight w:val="none"/>
              </w:rPr>
            </w:pPr>
          </w:p>
          <w:p>
            <w:pPr>
              <w:pStyle w:val="29"/>
              <w:spacing w:after="0"/>
              <w:ind w:left="0" w:leftChars="0" w:firstLine="0" w:firstLineChars="0"/>
              <w:rPr>
                <w:color w:val="auto"/>
                <w:highlight w:val="none"/>
              </w:rPr>
            </w:pPr>
          </w:p>
          <w:p>
            <w:pPr>
              <w:pStyle w:val="29"/>
              <w:spacing w:after="0"/>
              <w:ind w:left="0" w:leftChars="0"/>
              <w:rPr>
                <w:color w:val="auto"/>
              </w:rPr>
            </w:pPr>
          </w:p>
          <w:p>
            <w:pPr>
              <w:pStyle w:val="29"/>
              <w:spacing w:after="0"/>
              <w:ind w:left="0" w:leftChars="0"/>
              <w:rPr>
                <w:color w:val="auto"/>
              </w:rPr>
            </w:pPr>
          </w:p>
          <w:p>
            <w:pPr>
              <w:pStyle w:val="29"/>
              <w:spacing w:after="0"/>
              <w:ind w:left="0" w:leftChars="0" w:firstLine="0" w:firstLineChars="0"/>
              <w:rPr>
                <w:color w:val="auto"/>
              </w:rPr>
            </w:pPr>
          </w:p>
          <w:p>
            <w:pPr>
              <w:rPr>
                <w:color w:val="auto"/>
              </w:rPr>
            </w:pPr>
          </w:p>
        </w:tc>
      </w:tr>
    </w:tbl>
    <w:p>
      <w:pPr>
        <w:pStyle w:val="26"/>
        <w:jc w:val="center"/>
        <w:rPr>
          <w:rFonts w:ascii="黑体" w:hAnsi="黑体"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6"/>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5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667" w:type="dxa"/>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区域</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质量</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现状</w:t>
            </w:r>
          </w:p>
        </w:tc>
        <w:tc>
          <w:tcPr>
            <w:tcW w:w="8394" w:type="dxa"/>
            <w:vAlign w:val="center"/>
          </w:tcPr>
          <w:p>
            <w:pPr>
              <w:numPr>
                <w:ilvl w:val="0"/>
                <w:numId w:val="7"/>
              </w:numPr>
              <w:autoSpaceDE w:val="0"/>
              <w:autoSpaceDN w:val="0"/>
              <w:adjustRightInd w:val="0"/>
              <w:snapToGrid w:val="0"/>
              <w:spacing w:line="520" w:lineRule="exact"/>
              <w:ind w:firstLine="482"/>
              <w:rPr>
                <w:b/>
                <w:bCs/>
                <w:color w:val="auto"/>
                <w:sz w:val="24"/>
              </w:rPr>
            </w:pPr>
            <w:r>
              <w:rPr>
                <w:b/>
                <w:bCs/>
                <w:color w:val="auto"/>
                <w:sz w:val="24"/>
              </w:rPr>
              <w:t>大气环境</w:t>
            </w:r>
          </w:p>
          <w:p>
            <w:pPr>
              <w:numPr>
                <w:ilvl w:val="0"/>
                <w:numId w:val="0"/>
              </w:numPr>
              <w:autoSpaceDE w:val="0"/>
              <w:autoSpaceDN w:val="0"/>
              <w:adjustRightInd w:val="0"/>
              <w:snapToGrid w:val="0"/>
              <w:spacing w:line="520" w:lineRule="exact"/>
              <w:ind w:left="422" w:leftChars="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1.1基本污染物环境质量现状</w:t>
            </w:r>
          </w:p>
          <w:p>
            <w:pPr>
              <w:numPr>
                <w:ilvl w:val="0"/>
                <w:numId w:val="0"/>
              </w:numPr>
              <w:autoSpaceDE w:val="0"/>
              <w:autoSpaceDN w:val="0"/>
              <w:adjustRightInd w:val="0"/>
              <w:snapToGrid w:val="0"/>
              <w:spacing w:line="520" w:lineRule="exact"/>
              <w:ind w:left="422" w:leftChars="0"/>
              <w:rPr>
                <w:b/>
                <w:bCs/>
                <w:color w:val="auto"/>
                <w:sz w:val="24"/>
              </w:rPr>
            </w:pPr>
            <w:r>
              <w:rPr>
                <w:rFonts w:hint="eastAsia"/>
                <w:b/>
                <w:bCs/>
                <w:color w:val="auto"/>
                <w:sz w:val="24"/>
                <w:lang w:val="en-US" w:eastAsia="zh-CN"/>
              </w:rPr>
              <w:t>1）</w:t>
            </w:r>
            <w:r>
              <w:rPr>
                <w:rFonts w:hint="eastAsia"/>
                <w:b/>
                <w:bCs/>
                <w:color w:val="auto"/>
                <w:sz w:val="24"/>
              </w:rPr>
              <w:t>达标区判定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snapToGrid w:val="0"/>
                <w:color w:val="auto"/>
                <w:kern w:val="2"/>
                <w:sz w:val="24"/>
                <w:szCs w:val="24"/>
                <w:lang w:val="en-US" w:eastAsia="zh-CN" w:bidi="ar-SA"/>
              </w:rPr>
            </w:pPr>
            <w:r>
              <w:rPr>
                <w:rFonts w:hint="eastAsia" w:ascii="Times New Roman" w:hAnsi="Times New Roman" w:eastAsia="宋体" w:cs="宋体"/>
                <w:snapToGrid w:val="0"/>
                <w:color w:val="auto"/>
                <w:kern w:val="2"/>
                <w:sz w:val="24"/>
                <w:szCs w:val="24"/>
                <w:lang w:val="en-US" w:eastAsia="zh-CN" w:bidi="ar-SA"/>
              </w:rPr>
              <w:t>本项目位于第七师131团10连011号，</w:t>
            </w:r>
            <w:r>
              <w:rPr>
                <w:rFonts w:ascii="Times New Roman" w:hAnsi="Times New Roman" w:eastAsia="宋体" w:cs="宋体"/>
                <w:snapToGrid w:val="0"/>
                <w:color w:val="auto"/>
                <w:kern w:val="2"/>
                <w:sz w:val="24"/>
                <w:szCs w:val="24"/>
                <w:lang w:val="en-US" w:eastAsia="zh-CN" w:bidi="ar-SA"/>
              </w:rPr>
              <w:t>根据《环境影响评价技术导则-大气环境》（H.J2.2-2018）对环境质量现状数据的要求，</w:t>
            </w:r>
            <w:r>
              <w:rPr>
                <w:rFonts w:hint="eastAsia" w:ascii="Times New Roman" w:hAnsi="Times New Roman" w:eastAsia="宋体" w:cs="宋体"/>
                <w:snapToGrid w:val="0"/>
                <w:color w:val="auto"/>
                <w:kern w:val="2"/>
                <w:sz w:val="24"/>
                <w:szCs w:val="24"/>
                <w:lang w:val="en-US" w:eastAsia="zh-CN" w:bidi="ar-SA"/>
              </w:rPr>
              <w:t>依据《新疆维吾尔自治区奎屯市环境质量状况报告（2022年）》</w:t>
            </w:r>
            <w:r>
              <w:rPr>
                <w:rFonts w:hint="eastAsia" w:cs="宋体"/>
                <w:snapToGrid w:val="0"/>
                <w:color w:val="auto"/>
                <w:kern w:val="2"/>
                <w:sz w:val="24"/>
                <w:szCs w:val="24"/>
                <w:lang w:val="en-US" w:eastAsia="zh-CN" w:bidi="ar-SA"/>
              </w:rPr>
              <w:t>，</w:t>
            </w:r>
            <w:r>
              <w:rPr>
                <w:rFonts w:hint="eastAsia" w:ascii="Times New Roman" w:hAnsi="Times New Roman" w:eastAsia="宋体" w:cs="宋体"/>
                <w:snapToGrid w:val="0"/>
                <w:color w:val="auto"/>
                <w:kern w:val="2"/>
                <w:sz w:val="24"/>
                <w:szCs w:val="24"/>
                <w:lang w:val="en-US" w:eastAsia="zh-CN" w:bidi="ar-SA"/>
              </w:rPr>
              <w:t>奎屯市环境空气中主要指标细颗粒物</w:t>
            </w:r>
            <w:r>
              <w:rPr>
                <w:rFonts w:hint="default" w:ascii="Times New Roman" w:hAnsi="Times New Roman" w:eastAsia="宋体" w:cs="宋体"/>
                <w:snapToGrid w:val="0"/>
                <w:color w:val="auto"/>
                <w:kern w:val="2"/>
                <w:sz w:val="24"/>
                <w:szCs w:val="24"/>
                <w:lang w:val="en-US" w:eastAsia="zh-CN" w:bidi="ar-SA"/>
              </w:rPr>
              <w:t>(PM</w:t>
            </w:r>
            <w:r>
              <w:rPr>
                <w:rFonts w:hint="default" w:ascii="Times New Roman" w:hAnsi="Times New Roman" w:eastAsia="宋体" w:cs="宋体"/>
                <w:snapToGrid w:val="0"/>
                <w:color w:val="auto"/>
                <w:kern w:val="2"/>
                <w:sz w:val="24"/>
                <w:szCs w:val="24"/>
                <w:vertAlign w:val="subscript"/>
                <w:lang w:val="en-US" w:eastAsia="zh-CN" w:bidi="ar-SA"/>
              </w:rPr>
              <w:t>2.5</w:t>
            </w:r>
            <w:r>
              <w:rPr>
                <w:rFonts w:hint="default" w:ascii="Times New Roman" w:hAnsi="Times New Roman" w:eastAsia="宋体" w:cs="宋体"/>
                <w:snapToGrid w:val="0"/>
                <w:color w:val="auto"/>
                <w:kern w:val="2"/>
                <w:sz w:val="24"/>
                <w:szCs w:val="24"/>
                <w:lang w:val="en-US" w:eastAsia="zh-CN" w:bidi="ar-SA"/>
              </w:rPr>
              <w:t>)</w:t>
            </w:r>
            <w:r>
              <w:rPr>
                <w:rFonts w:hint="eastAsia" w:ascii="Times New Roman" w:hAnsi="Times New Roman" w:eastAsia="宋体" w:cs="宋体"/>
                <w:snapToGrid w:val="0"/>
                <w:color w:val="auto"/>
                <w:kern w:val="2"/>
                <w:sz w:val="24"/>
                <w:szCs w:val="24"/>
                <w:lang w:val="en-US" w:eastAsia="zh-CN" w:bidi="ar-SA"/>
              </w:rPr>
              <w:t>、可吸入颗粒物</w:t>
            </w:r>
            <w:r>
              <w:rPr>
                <w:rFonts w:hint="default" w:ascii="Times New Roman" w:hAnsi="Times New Roman" w:eastAsia="宋体" w:cs="宋体"/>
                <w:snapToGrid w:val="0"/>
                <w:color w:val="auto"/>
                <w:kern w:val="2"/>
                <w:sz w:val="24"/>
                <w:szCs w:val="24"/>
                <w:lang w:val="en-US" w:eastAsia="zh-CN" w:bidi="ar-SA"/>
              </w:rPr>
              <w:t>(PM</w:t>
            </w:r>
            <w:r>
              <w:rPr>
                <w:rFonts w:hint="default" w:ascii="Times New Roman" w:hAnsi="Times New Roman" w:eastAsia="宋体" w:cs="宋体"/>
                <w:snapToGrid w:val="0"/>
                <w:color w:val="auto"/>
                <w:kern w:val="2"/>
                <w:sz w:val="24"/>
                <w:szCs w:val="24"/>
                <w:vertAlign w:val="subscript"/>
                <w:lang w:val="en-US" w:eastAsia="zh-CN" w:bidi="ar-SA"/>
              </w:rPr>
              <w:t>10</w:t>
            </w:r>
            <w:r>
              <w:rPr>
                <w:rFonts w:hint="default" w:ascii="Times New Roman" w:hAnsi="Times New Roman" w:eastAsia="宋体" w:cs="宋体"/>
                <w:snapToGrid w:val="0"/>
                <w:color w:val="auto"/>
                <w:kern w:val="2"/>
                <w:sz w:val="24"/>
                <w:szCs w:val="24"/>
                <w:lang w:val="en-US" w:eastAsia="zh-CN" w:bidi="ar-SA"/>
              </w:rPr>
              <w:t>)</w:t>
            </w:r>
            <w:r>
              <w:rPr>
                <w:rFonts w:hint="eastAsia" w:ascii="Times New Roman" w:hAnsi="Times New Roman" w:eastAsia="宋体" w:cs="宋体"/>
                <w:snapToGrid w:val="0"/>
                <w:color w:val="auto"/>
                <w:kern w:val="2"/>
                <w:sz w:val="24"/>
                <w:szCs w:val="24"/>
                <w:lang w:val="en-US" w:eastAsia="zh-CN" w:bidi="ar-SA"/>
              </w:rPr>
              <w:t>、二氧化硫</w:t>
            </w:r>
            <w:r>
              <w:rPr>
                <w:rFonts w:hint="default" w:ascii="Times New Roman" w:hAnsi="Times New Roman" w:eastAsia="宋体" w:cs="宋体"/>
                <w:snapToGrid w:val="0"/>
                <w:color w:val="auto"/>
                <w:kern w:val="2"/>
                <w:sz w:val="24"/>
                <w:szCs w:val="24"/>
                <w:lang w:val="en-US" w:eastAsia="zh-CN" w:bidi="ar-SA"/>
              </w:rPr>
              <w:t>(SO</w:t>
            </w:r>
            <w:r>
              <w:rPr>
                <w:rFonts w:hint="default" w:ascii="Times New Roman" w:hAnsi="Times New Roman" w:eastAsia="宋体" w:cs="宋体"/>
                <w:snapToGrid w:val="0"/>
                <w:color w:val="auto"/>
                <w:kern w:val="2"/>
                <w:sz w:val="24"/>
                <w:szCs w:val="24"/>
                <w:vertAlign w:val="subscript"/>
                <w:lang w:val="en-US" w:eastAsia="zh-CN" w:bidi="ar-SA"/>
              </w:rPr>
              <w:t>2</w:t>
            </w:r>
            <w:r>
              <w:rPr>
                <w:rFonts w:hint="default" w:ascii="Times New Roman" w:hAnsi="Times New Roman" w:eastAsia="宋体" w:cs="宋体"/>
                <w:snapToGrid w:val="0"/>
                <w:color w:val="auto"/>
                <w:kern w:val="2"/>
                <w:sz w:val="24"/>
                <w:szCs w:val="24"/>
                <w:lang w:val="en-US" w:eastAsia="zh-CN" w:bidi="ar-SA"/>
              </w:rPr>
              <w:t>)</w:t>
            </w:r>
            <w:r>
              <w:rPr>
                <w:rFonts w:hint="eastAsia" w:ascii="Times New Roman" w:hAnsi="Times New Roman" w:eastAsia="宋体" w:cs="宋体"/>
                <w:snapToGrid w:val="0"/>
                <w:color w:val="auto"/>
                <w:kern w:val="2"/>
                <w:sz w:val="24"/>
                <w:szCs w:val="24"/>
                <w:lang w:val="en-US" w:eastAsia="zh-CN" w:bidi="ar-SA"/>
              </w:rPr>
              <w:t>、二氧化氮</w:t>
            </w:r>
            <w:r>
              <w:rPr>
                <w:rFonts w:hint="default" w:ascii="Times New Roman" w:hAnsi="Times New Roman" w:eastAsia="宋体" w:cs="宋体"/>
                <w:snapToGrid w:val="0"/>
                <w:color w:val="auto"/>
                <w:kern w:val="2"/>
                <w:sz w:val="24"/>
                <w:szCs w:val="24"/>
                <w:lang w:val="en-US" w:eastAsia="zh-CN" w:bidi="ar-SA"/>
              </w:rPr>
              <w:t>(NO</w:t>
            </w:r>
            <w:r>
              <w:rPr>
                <w:rFonts w:hint="default" w:ascii="Times New Roman" w:hAnsi="Times New Roman" w:eastAsia="宋体" w:cs="宋体"/>
                <w:snapToGrid w:val="0"/>
                <w:color w:val="auto"/>
                <w:kern w:val="2"/>
                <w:sz w:val="24"/>
                <w:szCs w:val="24"/>
                <w:vertAlign w:val="subscript"/>
                <w:lang w:val="en-US" w:eastAsia="zh-CN" w:bidi="ar-SA"/>
              </w:rPr>
              <w:t>2</w:t>
            </w:r>
            <w:r>
              <w:rPr>
                <w:rFonts w:hint="default" w:ascii="Times New Roman" w:hAnsi="Times New Roman" w:eastAsia="宋体" w:cs="宋体"/>
                <w:snapToGrid w:val="0"/>
                <w:color w:val="auto"/>
                <w:kern w:val="2"/>
                <w:sz w:val="24"/>
                <w:szCs w:val="24"/>
                <w:lang w:val="en-US" w:eastAsia="zh-CN" w:bidi="ar-SA"/>
              </w:rPr>
              <w:t>)</w:t>
            </w:r>
            <w:r>
              <w:rPr>
                <w:rFonts w:hint="eastAsia" w:ascii="Times New Roman" w:hAnsi="Times New Roman" w:eastAsia="宋体" w:cs="宋体"/>
                <w:snapToGrid w:val="0"/>
                <w:color w:val="auto"/>
                <w:kern w:val="2"/>
                <w:sz w:val="24"/>
                <w:szCs w:val="24"/>
                <w:lang w:val="en-US" w:eastAsia="zh-CN" w:bidi="ar-SA"/>
              </w:rPr>
              <w:t>、一氧化碳</w:t>
            </w:r>
            <w:r>
              <w:rPr>
                <w:rFonts w:hint="default" w:ascii="Times New Roman" w:hAnsi="Times New Roman" w:eastAsia="宋体" w:cs="宋体"/>
                <w:snapToGrid w:val="0"/>
                <w:color w:val="auto"/>
                <w:kern w:val="2"/>
                <w:sz w:val="24"/>
                <w:szCs w:val="24"/>
                <w:lang w:val="en-US" w:eastAsia="zh-CN" w:bidi="ar-SA"/>
              </w:rPr>
              <w:t>(CO)</w:t>
            </w:r>
            <w:r>
              <w:rPr>
                <w:rFonts w:hint="eastAsia" w:ascii="Times New Roman" w:hAnsi="Times New Roman" w:eastAsia="宋体" w:cs="宋体"/>
                <w:snapToGrid w:val="0"/>
                <w:color w:val="auto"/>
                <w:kern w:val="2"/>
                <w:sz w:val="24"/>
                <w:szCs w:val="24"/>
                <w:lang w:val="en-US" w:eastAsia="zh-CN" w:bidi="ar-SA"/>
              </w:rPr>
              <w:t>、臭氧</w:t>
            </w:r>
            <w:r>
              <w:rPr>
                <w:rFonts w:hint="default" w:ascii="Times New Roman" w:hAnsi="Times New Roman" w:eastAsia="宋体" w:cs="宋体"/>
                <w:snapToGrid w:val="0"/>
                <w:color w:val="auto"/>
                <w:kern w:val="2"/>
                <w:sz w:val="24"/>
                <w:szCs w:val="24"/>
                <w:lang w:val="en-US" w:eastAsia="zh-CN" w:bidi="ar-SA"/>
              </w:rPr>
              <w:t>(O</w:t>
            </w:r>
            <w:r>
              <w:rPr>
                <w:rFonts w:hint="default" w:ascii="Times New Roman" w:hAnsi="Times New Roman" w:eastAsia="宋体" w:cs="宋体"/>
                <w:snapToGrid w:val="0"/>
                <w:color w:val="auto"/>
                <w:kern w:val="2"/>
                <w:sz w:val="24"/>
                <w:szCs w:val="24"/>
                <w:vertAlign w:val="subscript"/>
                <w:lang w:val="en-US" w:eastAsia="zh-CN" w:bidi="ar-SA"/>
              </w:rPr>
              <w:t>3</w:t>
            </w:r>
            <w:r>
              <w:rPr>
                <w:rFonts w:hint="default" w:ascii="Times New Roman" w:hAnsi="Times New Roman" w:eastAsia="宋体" w:cs="宋体"/>
                <w:snapToGrid w:val="0"/>
                <w:color w:val="auto"/>
                <w:kern w:val="2"/>
                <w:sz w:val="24"/>
                <w:szCs w:val="24"/>
                <w:lang w:val="en-US" w:eastAsia="zh-CN" w:bidi="ar-SA"/>
              </w:rPr>
              <w:t>)</w:t>
            </w:r>
            <w:r>
              <w:rPr>
                <w:rFonts w:hint="eastAsia" w:ascii="Times New Roman" w:hAnsi="Times New Roman" w:eastAsia="宋体" w:cs="宋体"/>
                <w:snapToGrid w:val="0"/>
                <w:color w:val="auto"/>
                <w:kern w:val="2"/>
                <w:sz w:val="24"/>
                <w:szCs w:val="24"/>
                <w:lang w:val="en-US" w:eastAsia="zh-CN" w:bidi="ar-SA"/>
              </w:rPr>
              <w:t>年均浓度均达到《环境空气质量标准》</w:t>
            </w:r>
            <w:r>
              <w:rPr>
                <w:rFonts w:hint="default" w:ascii="Times New Roman" w:hAnsi="Times New Roman" w:eastAsia="宋体" w:cs="宋体"/>
                <w:snapToGrid w:val="0"/>
                <w:color w:val="auto"/>
                <w:kern w:val="2"/>
                <w:sz w:val="24"/>
                <w:szCs w:val="24"/>
                <w:lang w:val="en-US" w:eastAsia="zh-CN" w:bidi="ar-SA"/>
              </w:rPr>
              <w:t>(GB 3095-2012)</w:t>
            </w:r>
            <w:r>
              <w:rPr>
                <w:rFonts w:hint="eastAsia" w:ascii="Times New Roman" w:hAnsi="Times New Roman" w:eastAsia="宋体" w:cs="宋体"/>
                <w:snapToGrid w:val="0"/>
                <w:color w:val="auto"/>
                <w:kern w:val="2"/>
                <w:sz w:val="24"/>
                <w:szCs w:val="24"/>
                <w:lang w:val="en-US" w:eastAsia="zh-CN" w:bidi="ar-SA"/>
              </w:rPr>
              <w:t>二级标准浓度限值，空气质量达标。</w:t>
            </w:r>
          </w:p>
          <w:p>
            <w:pPr>
              <w:pStyle w:val="2"/>
              <w:jc w:val="center"/>
              <w:rPr>
                <w:color w:val="auto"/>
              </w:rPr>
            </w:pPr>
          </w:p>
          <w:p>
            <w:pPr>
              <w:pStyle w:val="39"/>
              <w:bidi w:val="0"/>
              <w:rPr>
                <w:rFonts w:hint="default"/>
                <w:color w:val="auto"/>
                <w:lang w:val="en-US" w:eastAsia="zh-CN"/>
              </w:rPr>
            </w:pPr>
            <w:r>
              <w:rPr>
                <w:rFonts w:hint="eastAsia"/>
                <w:color w:val="auto"/>
                <w:lang w:val="en-US" w:eastAsia="zh-CN"/>
              </w:rPr>
              <w:t>图3-1  2022年奎屯市达标区判定情况</w:t>
            </w:r>
          </w:p>
          <w:p>
            <w:pPr>
              <w:pStyle w:val="69"/>
              <w:numPr>
                <w:ilvl w:val="0"/>
                <w:numId w:val="8"/>
              </w:numPr>
              <w:rPr>
                <w:rFonts w:hint="eastAsia"/>
                <w:b/>
                <w:bCs/>
                <w:color w:val="auto"/>
                <w:lang w:val="en-US" w:eastAsia="zh-CN"/>
              </w:rPr>
            </w:pPr>
            <w:r>
              <w:rPr>
                <w:rFonts w:hint="eastAsia"/>
                <w:b/>
                <w:bCs/>
                <w:color w:val="auto"/>
                <w:lang w:val="en-US" w:eastAsia="zh-CN"/>
              </w:rPr>
              <w:t>基本污染物环境质量现状评价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color w:val="auto"/>
              </w:rPr>
              <w:t xml:space="preserve">数据来源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color w:val="auto"/>
              </w:rPr>
            </w:pPr>
            <w:r>
              <w:rPr>
                <w:color w:val="auto"/>
              </w:rPr>
              <w:t>根据《环境影响评价技术导则 大气环境》（HJ2.2-2018）的要求，对基本污染物和特征污染物的环境质量现状进行评价。按照大气导则要求，本次评价收集了</w:t>
            </w:r>
            <w:r>
              <w:rPr>
                <w:rFonts w:hint="eastAsia"/>
                <w:color w:val="auto"/>
                <w:lang w:val="en-US" w:eastAsia="zh-CN"/>
              </w:rPr>
              <w:t>奎屯市监测站2022年的监测数据</w:t>
            </w:r>
            <w:r>
              <w:rPr>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评价标准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color w:val="auto"/>
              </w:rPr>
            </w:pPr>
            <w:r>
              <w:rPr>
                <w:color w:val="auto"/>
              </w:rPr>
              <w:t>常规污染物SO</w:t>
            </w:r>
            <w:r>
              <w:rPr>
                <w:color w:val="auto"/>
                <w:vertAlign w:val="subscript"/>
              </w:rPr>
              <w:t>2</w:t>
            </w:r>
            <w:r>
              <w:rPr>
                <w:color w:val="auto"/>
              </w:rPr>
              <w:t>、NO</w:t>
            </w:r>
            <w:r>
              <w:rPr>
                <w:color w:val="auto"/>
                <w:vertAlign w:val="subscript"/>
              </w:rPr>
              <w:t>2</w:t>
            </w:r>
            <w:r>
              <w:rPr>
                <w:color w:val="auto"/>
              </w:rPr>
              <w:t>、PM</w:t>
            </w:r>
            <w:r>
              <w:rPr>
                <w:color w:val="auto"/>
                <w:vertAlign w:val="subscript"/>
              </w:rPr>
              <w:t>10</w:t>
            </w:r>
            <w:r>
              <w:rPr>
                <w:color w:val="auto"/>
              </w:rPr>
              <w:t>、PM</w:t>
            </w:r>
            <w:r>
              <w:rPr>
                <w:color w:val="auto"/>
                <w:vertAlign w:val="subscript"/>
              </w:rPr>
              <w:t>2.5</w:t>
            </w:r>
            <w:r>
              <w:rPr>
                <w:color w:val="auto"/>
              </w:rPr>
              <w:t>、CO、O</w:t>
            </w:r>
            <w:r>
              <w:rPr>
                <w:color w:val="auto"/>
                <w:vertAlign w:val="subscript"/>
              </w:rPr>
              <w:t>3</w:t>
            </w:r>
            <w:r>
              <w:rPr>
                <w:color w:val="auto"/>
              </w:rPr>
              <w:t>执行《环境空气质量标准》（GB3095-2012）二级标准。</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420" w:firstLineChars="200"/>
              <w:textAlignment w:val="auto"/>
              <w:rPr>
                <w:color w:val="auto"/>
              </w:rPr>
            </w:pPr>
            <w:r>
              <w:rPr>
                <w:color w:val="auto"/>
              </w:rPr>
              <w:t xml:space="preserve">评价方法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color w:val="auto"/>
              </w:rPr>
            </w:pPr>
            <w:r>
              <w:rPr>
                <w:color w:val="auto"/>
              </w:rPr>
              <w:t>采用最大占标率法：P</w:t>
            </w:r>
            <w:r>
              <w:rPr>
                <w:color w:val="auto"/>
                <w:vertAlign w:val="subscript"/>
              </w:rPr>
              <w:t>i</w:t>
            </w:r>
            <w:r>
              <w:rPr>
                <w:color w:val="auto"/>
              </w:rPr>
              <w:t>=C</w:t>
            </w:r>
            <w:r>
              <w:rPr>
                <w:color w:val="auto"/>
                <w:vertAlign w:val="subscript"/>
              </w:rPr>
              <w:t>i</w:t>
            </w:r>
            <w:r>
              <w:rPr>
                <w:color w:val="auto"/>
              </w:rPr>
              <w:t>/C</w:t>
            </w:r>
            <w:r>
              <w:rPr>
                <w:color w:val="auto"/>
                <w:vertAlign w:val="subscript"/>
              </w:rPr>
              <w:t>oi</w:t>
            </w:r>
            <w:r>
              <w:rPr>
                <w:color w:val="auto"/>
              </w:rPr>
              <w:t>×100%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color w:val="auto"/>
              </w:rPr>
            </w:pPr>
            <w:r>
              <w:rPr>
                <w:color w:val="auto"/>
              </w:rPr>
              <w:t>其中：P</w:t>
            </w:r>
            <w:r>
              <w:rPr>
                <w:color w:val="auto"/>
                <w:vertAlign w:val="subscript"/>
              </w:rPr>
              <w:t>i</w:t>
            </w:r>
            <w:r>
              <w:rPr>
                <w:color w:val="auto"/>
              </w:rPr>
              <w:t>——污染物i的最大地面空气质量浓度占标率，%；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color w:val="auto"/>
              </w:rPr>
            </w:pPr>
            <w:r>
              <w:rPr>
                <w:color w:val="auto"/>
              </w:rPr>
              <w:t>C</w:t>
            </w:r>
            <w:r>
              <w:rPr>
                <w:color w:val="auto"/>
                <w:vertAlign w:val="subscript"/>
              </w:rPr>
              <w:t>i</w:t>
            </w:r>
            <w:r>
              <w:rPr>
                <w:color w:val="auto"/>
              </w:rPr>
              <w:t>——常规污染物i的</w:t>
            </w:r>
            <w:r>
              <w:rPr>
                <w:rFonts w:hint="eastAsia"/>
                <w:color w:val="auto"/>
                <w:lang w:val="en-US" w:eastAsia="zh-CN"/>
              </w:rPr>
              <w:t>标准</w:t>
            </w:r>
            <w:r>
              <w:rPr>
                <w:color w:val="auto"/>
              </w:rPr>
              <w:t>浓度；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color w:val="auto"/>
              </w:rPr>
            </w:pPr>
            <w:r>
              <w:rPr>
                <w:color w:val="auto"/>
              </w:rPr>
              <w:t>C</w:t>
            </w:r>
            <w:r>
              <w:rPr>
                <w:color w:val="auto"/>
                <w:vertAlign w:val="subscript"/>
              </w:rPr>
              <w:t>0i</w:t>
            </w:r>
            <w:r>
              <w:rPr>
                <w:color w:val="auto"/>
              </w:rPr>
              <w:t>——污染物i环境空气质量浓度标准，μg/m</w:t>
            </w:r>
            <w:r>
              <w:rPr>
                <w:color w:val="auto"/>
                <w:vertAlign w:val="superscript"/>
              </w:rPr>
              <w:t>3</w:t>
            </w:r>
            <w:r>
              <w:rPr>
                <w:color w:val="auto"/>
              </w:rPr>
              <w:t>；</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firstLine="420" w:firstLineChars="200"/>
              <w:textAlignment w:val="auto"/>
              <w:rPr>
                <w:color w:val="auto"/>
              </w:rPr>
            </w:pPr>
            <w:r>
              <w:rPr>
                <w:color w:val="auto"/>
              </w:rPr>
              <w:t>监测及评价结果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color w:val="auto"/>
                <w:lang w:val="en-US" w:eastAsia="zh-CN"/>
              </w:rPr>
            </w:pPr>
            <w:r>
              <w:rPr>
                <w:color w:val="auto"/>
              </w:rPr>
              <w:t>监测及评价结果见表</w:t>
            </w:r>
            <w:r>
              <w:rPr>
                <w:rFonts w:hint="eastAsia"/>
                <w:color w:val="auto"/>
                <w:lang w:val="en-US" w:eastAsia="zh-CN"/>
              </w:rPr>
              <w:t>3-1</w:t>
            </w:r>
            <w:r>
              <w:rPr>
                <w:color w:val="auto"/>
              </w:rPr>
              <w:t>所示</w:t>
            </w:r>
            <w:r>
              <w:rPr>
                <w:rFonts w:hint="eastAsia"/>
                <w:color w:val="auto"/>
                <w:lang w:val="en-US" w:eastAsia="zh-CN"/>
              </w:rPr>
              <w:t>。</w:t>
            </w:r>
          </w:p>
          <w:p>
            <w:pPr>
              <w:pStyle w:val="39"/>
              <w:bidi w:val="0"/>
              <w:rPr>
                <w:rFonts w:hint="default"/>
                <w:color w:val="auto"/>
                <w:lang w:val="en-US" w:eastAsia="zh-CN"/>
              </w:rPr>
            </w:pPr>
            <w:r>
              <w:rPr>
                <w:rFonts w:hint="eastAsia"/>
                <w:color w:val="auto"/>
                <w:lang w:val="en-US" w:eastAsia="zh-CN"/>
              </w:rPr>
              <w:t xml:space="preserve">表3-1  </w:t>
            </w:r>
            <w:r>
              <w:rPr>
                <w:rFonts w:hint="eastAsia"/>
                <w:b/>
                <w:bCs/>
                <w:color w:val="auto"/>
                <w:lang w:val="en-US" w:eastAsia="zh-CN"/>
              </w:rPr>
              <w:t>基本污染物环境质量现状评价结果</w:t>
            </w:r>
          </w:p>
          <w:tbl>
            <w:tblPr>
              <w:tblStyle w:val="30"/>
              <w:tblW w:w="83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043"/>
              <w:gridCol w:w="1752"/>
              <w:gridCol w:w="1559"/>
              <w:gridCol w:w="1701"/>
              <w:gridCol w:w="1134"/>
              <w:gridCol w:w="11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1043" w:type="dxa"/>
                  <w:tcBorders>
                    <w:tl2br w:val="nil"/>
                    <w:tr2bl w:val="nil"/>
                  </w:tcBorders>
                  <w:vAlign w:val="center"/>
                </w:tcPr>
                <w:p>
                  <w:pPr>
                    <w:pStyle w:val="113"/>
                    <w:rPr>
                      <w:rFonts w:hint="default" w:ascii="Times New Roman" w:hAnsi="Times New Roman" w:cs="Times New Roman"/>
                      <w:color w:val="auto"/>
                      <w:sz w:val="21"/>
                      <w:szCs w:val="21"/>
                      <w:highlight w:val="none"/>
                    </w:rPr>
                  </w:pPr>
                  <w:bookmarkStart w:id="10" w:name="OLE_LINK468"/>
                  <w:bookmarkStart w:id="11" w:name="OLE_LINK469"/>
                  <w:bookmarkStart w:id="12" w:name="OLE_LINK467"/>
                  <w:r>
                    <w:rPr>
                      <w:rFonts w:hint="default" w:ascii="Times New Roman" w:hAnsi="Times New Roman" w:cs="Times New Roman"/>
                      <w:color w:val="auto"/>
                      <w:sz w:val="21"/>
                      <w:szCs w:val="21"/>
                      <w:highlight w:val="none"/>
                    </w:rPr>
                    <w:t>评价因子</w:t>
                  </w: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年评价指标</w:t>
                  </w:r>
                </w:p>
              </w:tc>
              <w:tc>
                <w:tcPr>
                  <w:tcW w:w="1559"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现状浓度μg/m</w:t>
                  </w:r>
                  <w:r>
                    <w:rPr>
                      <w:rFonts w:hint="default" w:ascii="Times New Roman" w:hAnsi="Times New Roman" w:cs="Times New Roman"/>
                      <w:color w:val="auto"/>
                      <w:sz w:val="21"/>
                      <w:szCs w:val="21"/>
                      <w:highlight w:val="none"/>
                      <w:vertAlign w:val="superscript"/>
                    </w:rPr>
                    <w:t>3</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评价标准μg/m</w:t>
                  </w:r>
                  <w:r>
                    <w:rPr>
                      <w:rFonts w:hint="default" w:ascii="Times New Roman" w:hAnsi="Times New Roman" w:cs="Times New Roman"/>
                      <w:color w:val="auto"/>
                      <w:sz w:val="21"/>
                      <w:szCs w:val="21"/>
                      <w:highlight w:val="none"/>
                      <w:vertAlign w:val="superscript"/>
                    </w:rPr>
                    <w:t>3</w:t>
                  </w:r>
                </w:p>
              </w:tc>
              <w:tc>
                <w:tcPr>
                  <w:tcW w:w="1134"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占标率/%</w:t>
                  </w:r>
                </w:p>
              </w:tc>
              <w:tc>
                <w:tcPr>
                  <w:tcW w:w="112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vMerge w:val="restart"/>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SO</w:t>
                  </w:r>
                  <w:r>
                    <w:rPr>
                      <w:rFonts w:hint="default" w:ascii="Times New Roman" w:hAnsi="Times New Roman" w:cs="Times New Roman"/>
                      <w:color w:val="auto"/>
                      <w:sz w:val="21"/>
                      <w:szCs w:val="21"/>
                      <w:highlight w:val="none"/>
                      <w:vertAlign w:val="subscript"/>
                    </w:rPr>
                    <w:t>2</w:t>
                  </w: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1559" w:type="dxa"/>
                  <w:tcBorders>
                    <w:tl2br w:val="nil"/>
                    <w:tr2bl w:val="nil"/>
                  </w:tcBorders>
                  <w:vAlign w:val="center"/>
                </w:tcPr>
                <w:p>
                  <w:pPr>
                    <w:pStyle w:val="113"/>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6</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60</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10.00</w:t>
                  </w:r>
                </w:p>
              </w:tc>
              <w:tc>
                <w:tcPr>
                  <w:tcW w:w="112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vMerge w:val="continue"/>
                  <w:tcBorders>
                    <w:tl2br w:val="nil"/>
                    <w:tr2bl w:val="nil"/>
                  </w:tcBorders>
                  <w:vAlign w:val="center"/>
                </w:tcPr>
                <w:p>
                  <w:pPr>
                    <w:pStyle w:val="113"/>
                    <w:rPr>
                      <w:rFonts w:hint="default" w:ascii="Times New Roman" w:hAnsi="Times New Roman" w:cs="Times New Roman"/>
                      <w:color w:val="auto"/>
                      <w:sz w:val="21"/>
                      <w:szCs w:val="21"/>
                      <w:highlight w:val="none"/>
                    </w:rPr>
                  </w:pP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24小时平均第98百分位数</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150</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6.67</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vMerge w:val="restart"/>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NO</w:t>
                  </w:r>
                  <w:r>
                    <w:rPr>
                      <w:rFonts w:hint="default" w:ascii="Times New Roman" w:hAnsi="Times New Roman" w:cs="Times New Roman"/>
                      <w:color w:val="auto"/>
                      <w:sz w:val="21"/>
                      <w:szCs w:val="21"/>
                      <w:highlight w:val="none"/>
                      <w:vertAlign w:val="subscript"/>
                    </w:rPr>
                    <w:t>2</w:t>
                  </w: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40</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57.50</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vMerge w:val="continue"/>
                  <w:tcBorders>
                    <w:tl2br w:val="nil"/>
                    <w:tr2bl w:val="nil"/>
                  </w:tcBorders>
                  <w:vAlign w:val="center"/>
                </w:tcPr>
                <w:p>
                  <w:pPr>
                    <w:pStyle w:val="113"/>
                    <w:rPr>
                      <w:rFonts w:hint="default" w:ascii="Times New Roman" w:hAnsi="Times New Roman" w:cs="Times New Roman"/>
                      <w:color w:val="auto"/>
                      <w:sz w:val="21"/>
                      <w:szCs w:val="21"/>
                      <w:highlight w:val="none"/>
                    </w:rPr>
                  </w:pP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24小时平均第98百分位数</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58</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80</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72.50</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vMerge w:val="restart"/>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10</w:t>
                  </w: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68</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97.14</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vMerge w:val="continue"/>
                  <w:tcBorders>
                    <w:tl2br w:val="nil"/>
                    <w:tr2bl w:val="nil"/>
                  </w:tcBorders>
                  <w:vAlign w:val="center"/>
                </w:tcPr>
                <w:p>
                  <w:pPr>
                    <w:pStyle w:val="113"/>
                    <w:rPr>
                      <w:rFonts w:hint="default" w:ascii="Times New Roman" w:hAnsi="Times New Roman" w:cs="Times New Roman"/>
                      <w:color w:val="auto"/>
                      <w:sz w:val="21"/>
                      <w:szCs w:val="21"/>
                      <w:highlight w:val="none"/>
                    </w:rPr>
                  </w:pP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24小时平均第95百分位数</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189</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150</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126.00</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vMerge w:val="restart"/>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PM</w:t>
                  </w:r>
                  <w:r>
                    <w:rPr>
                      <w:rFonts w:hint="default" w:ascii="Times New Roman" w:hAnsi="Times New Roman" w:cs="Times New Roman"/>
                      <w:color w:val="auto"/>
                      <w:sz w:val="21"/>
                      <w:szCs w:val="21"/>
                      <w:highlight w:val="none"/>
                      <w:vertAlign w:val="subscript"/>
                    </w:rPr>
                    <w:t>2.5</w:t>
                  </w: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年平均质量浓度</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97.14</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vMerge w:val="continue"/>
                  <w:tcBorders>
                    <w:tl2br w:val="nil"/>
                    <w:tr2bl w:val="nil"/>
                  </w:tcBorders>
                  <w:vAlign w:val="center"/>
                </w:tcPr>
                <w:p>
                  <w:pPr>
                    <w:pStyle w:val="113"/>
                    <w:rPr>
                      <w:rFonts w:hint="default" w:ascii="Times New Roman" w:hAnsi="Times New Roman" w:cs="Times New Roman"/>
                      <w:color w:val="auto"/>
                      <w:sz w:val="21"/>
                      <w:szCs w:val="21"/>
                      <w:highlight w:val="none"/>
                    </w:rPr>
                  </w:pP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24小时平均第95百分位数</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134</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75</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178.67</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CO</w:t>
                  </w: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24小时平均第95百分位数</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90</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4000</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2.25</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43"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O</w:t>
                  </w:r>
                  <w:r>
                    <w:rPr>
                      <w:rFonts w:hint="default" w:ascii="Times New Roman" w:hAnsi="Times New Roman" w:cs="Times New Roman"/>
                      <w:color w:val="auto"/>
                      <w:sz w:val="21"/>
                      <w:szCs w:val="21"/>
                      <w:highlight w:val="none"/>
                      <w:vertAlign w:val="subscript"/>
                    </w:rPr>
                    <w:t>3</w:t>
                  </w:r>
                </w:p>
              </w:tc>
              <w:tc>
                <w:tcPr>
                  <w:tcW w:w="1752"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24小时最大8小时滑动第90百分位数</w:t>
                  </w:r>
                </w:p>
              </w:tc>
              <w:tc>
                <w:tcPr>
                  <w:tcW w:w="1559" w:type="dxa"/>
                  <w:tcBorders>
                    <w:tl2br w:val="nil"/>
                    <w:tr2bl w:val="nil"/>
                  </w:tcBorders>
                  <w:vAlign w:val="center"/>
                </w:tcPr>
                <w:p>
                  <w:pPr>
                    <w:pStyle w:val="113"/>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82</w:t>
                  </w:r>
                </w:p>
              </w:tc>
              <w:tc>
                <w:tcPr>
                  <w:tcW w:w="1701" w:type="dxa"/>
                  <w:tcBorders>
                    <w:tl2br w:val="nil"/>
                    <w:tr2bl w:val="nil"/>
                  </w:tcBorders>
                  <w:vAlign w:val="center"/>
                </w:tcPr>
                <w:p>
                  <w:pPr>
                    <w:pStyle w:val="113"/>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160</w:t>
                  </w:r>
                </w:p>
              </w:tc>
              <w:tc>
                <w:tcPr>
                  <w:tcW w:w="1134" w:type="dxa"/>
                  <w:tcBorders>
                    <w:tl2br w:val="nil"/>
                    <w:tr2bl w:val="nil"/>
                  </w:tcBorders>
                  <w:vAlign w:val="center"/>
                </w:tcPr>
                <w:p>
                  <w:pPr>
                    <w:pStyle w:val="38"/>
                    <w:bidi w:val="0"/>
                    <w:jc w:val="center"/>
                    <w:rPr>
                      <w:rFonts w:hint="default"/>
                      <w:color w:val="auto"/>
                    </w:rPr>
                  </w:pPr>
                  <w:r>
                    <w:rPr>
                      <w:rFonts w:hint="default"/>
                      <w:color w:val="auto"/>
                      <w:lang w:val="en-US" w:eastAsia="zh-CN"/>
                    </w:rPr>
                    <w:t>51.25</w:t>
                  </w:r>
                </w:p>
              </w:tc>
              <w:tc>
                <w:tcPr>
                  <w:tcW w:w="1121" w:type="dxa"/>
                  <w:tcBorders>
                    <w:tl2br w:val="nil"/>
                    <w:tr2bl w:val="nil"/>
                  </w:tcBorders>
                  <w:vAlign w:val="center"/>
                </w:tcPr>
                <w:p>
                  <w:pPr>
                    <w:pStyle w:val="37"/>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bookmarkEnd w:id="10"/>
            <w:bookmarkEnd w:id="11"/>
            <w:bookmarkEnd w:id="12"/>
          </w:tbl>
          <w:p>
            <w:pPr>
              <w:autoSpaceDE w:val="0"/>
              <w:autoSpaceDN w:val="0"/>
              <w:adjustRightInd w:val="0"/>
              <w:snapToGrid w:val="0"/>
              <w:spacing w:line="520" w:lineRule="exact"/>
              <w:ind w:left="422"/>
              <w:rPr>
                <w:b/>
                <w:bCs/>
                <w:color w:val="auto"/>
                <w:sz w:val="24"/>
              </w:rPr>
            </w:pPr>
            <w:r>
              <w:rPr>
                <w:rFonts w:hint="eastAsia"/>
                <w:b/>
                <w:bCs/>
                <w:color w:val="auto"/>
                <w:sz w:val="24"/>
              </w:rPr>
              <w:t>1.</w:t>
            </w:r>
            <w:r>
              <w:rPr>
                <w:rFonts w:hint="eastAsia"/>
                <w:b/>
                <w:bCs/>
                <w:color w:val="auto"/>
                <w:sz w:val="24"/>
                <w:lang w:val="en-US" w:eastAsia="zh-CN"/>
              </w:rPr>
              <w:t>3</w:t>
            </w:r>
            <w:r>
              <w:rPr>
                <w:rFonts w:hint="eastAsia"/>
                <w:b/>
                <w:bCs/>
                <w:color w:val="auto"/>
                <w:sz w:val="24"/>
              </w:rPr>
              <w:t>其他污染物现状调查与评价</w:t>
            </w:r>
          </w:p>
          <w:p>
            <w:pPr>
              <w:pStyle w:val="69"/>
              <w:rPr>
                <w:color w:val="auto"/>
              </w:rPr>
            </w:pPr>
            <w:r>
              <w:rPr>
                <w:color w:val="auto"/>
              </w:rPr>
              <w:t>（1）数据来源</w:t>
            </w:r>
          </w:p>
          <w:p>
            <w:pPr>
              <w:pStyle w:val="69"/>
              <w:rPr>
                <w:color w:val="auto"/>
              </w:rPr>
            </w:pPr>
            <w:r>
              <w:rPr>
                <w:color w:val="auto"/>
              </w:rPr>
              <w:t>根据</w:t>
            </w:r>
            <w:r>
              <w:rPr>
                <w:rFonts w:hint="eastAsia"/>
                <w:color w:val="auto"/>
              </w:rPr>
              <w:t>《建设项目环境影响报告表编制技术指南（污染影响类）（试行）》</w:t>
            </w:r>
            <w:r>
              <w:rPr>
                <w:color w:val="auto"/>
              </w:rPr>
              <w:t>相关要求，</w:t>
            </w:r>
            <w:r>
              <w:rPr>
                <w:rFonts w:hint="eastAsia"/>
                <w:color w:val="auto"/>
              </w:rPr>
              <w:t>本次环评委托</w:t>
            </w:r>
            <w:r>
              <w:rPr>
                <w:rFonts w:hint="eastAsia"/>
                <w:color w:val="auto"/>
                <w:lang w:val="en-US" w:eastAsia="zh-CN"/>
              </w:rPr>
              <w:t>奎屯郎新环境监测服务有限公司</w:t>
            </w:r>
            <w:r>
              <w:rPr>
                <w:rFonts w:hint="eastAsia"/>
                <w:color w:val="auto"/>
              </w:rPr>
              <w:t>进行现状监测，监测报告见报告附件4。</w:t>
            </w:r>
          </w:p>
          <w:p>
            <w:pPr>
              <w:pStyle w:val="69"/>
              <w:rPr>
                <w:color w:val="auto"/>
              </w:rPr>
            </w:pPr>
            <w:r>
              <w:rPr>
                <w:color w:val="auto"/>
              </w:rPr>
              <w:t>（2）监测项目</w:t>
            </w:r>
          </w:p>
          <w:p>
            <w:pPr>
              <w:pStyle w:val="69"/>
              <w:rPr>
                <w:color w:val="auto"/>
              </w:rPr>
            </w:pPr>
            <w:r>
              <w:rPr>
                <w:color w:val="auto"/>
              </w:rPr>
              <w:t>总悬浮颗粒物（TSP）</w:t>
            </w:r>
            <w:r>
              <w:rPr>
                <w:rFonts w:hint="eastAsia"/>
                <w:color w:val="auto"/>
              </w:rPr>
              <w:t>。</w:t>
            </w:r>
          </w:p>
          <w:p>
            <w:pPr>
              <w:pStyle w:val="69"/>
              <w:rPr>
                <w:color w:val="auto"/>
              </w:rPr>
            </w:pPr>
            <w:r>
              <w:rPr>
                <w:color w:val="auto"/>
              </w:rPr>
              <w:t>（3）监测标准</w:t>
            </w:r>
          </w:p>
          <w:p>
            <w:pPr>
              <w:pStyle w:val="69"/>
              <w:rPr>
                <w:bCs/>
                <w:color w:val="auto"/>
              </w:rPr>
            </w:pPr>
            <w:r>
              <w:rPr>
                <w:bCs/>
                <w:color w:val="auto"/>
              </w:rPr>
              <w:t>《环境空气质量标准》（GB3095-2012）中二级标准限值</w:t>
            </w:r>
            <w:r>
              <w:rPr>
                <w:rFonts w:hint="eastAsia"/>
                <w:bCs/>
                <w:color w:val="auto"/>
              </w:rPr>
              <w:t>。</w:t>
            </w:r>
          </w:p>
          <w:p>
            <w:pPr>
              <w:pStyle w:val="69"/>
              <w:rPr>
                <w:color w:val="auto"/>
              </w:rPr>
            </w:pPr>
            <w:r>
              <w:rPr>
                <w:rFonts w:hint="eastAsia"/>
                <w:color w:val="auto"/>
              </w:rPr>
              <w:t>（4）监测点位</w:t>
            </w:r>
          </w:p>
          <w:p>
            <w:pPr>
              <w:pStyle w:val="69"/>
              <w:rPr>
                <w:color w:val="auto"/>
              </w:rPr>
            </w:pPr>
            <w:r>
              <w:rPr>
                <w:rFonts w:hint="eastAsia"/>
                <w:color w:val="auto"/>
                <w:lang w:val="en-US" w:eastAsia="zh-CN"/>
              </w:rPr>
              <w:t>项目区东北侧约480m处的131团10连，</w:t>
            </w:r>
            <w:r>
              <w:rPr>
                <w:rFonts w:hint="eastAsia"/>
                <w:color w:val="auto"/>
              </w:rPr>
              <w:t>监测布点见附图3。</w:t>
            </w:r>
          </w:p>
          <w:p>
            <w:pPr>
              <w:pStyle w:val="69"/>
              <w:rPr>
                <w:color w:val="auto"/>
                <w:spacing w:val="4"/>
              </w:rPr>
            </w:pPr>
            <w:r>
              <w:rPr>
                <w:rFonts w:hint="eastAsia"/>
                <w:color w:val="auto"/>
              </w:rPr>
              <w:t>（5）</w:t>
            </w:r>
            <w:r>
              <w:rPr>
                <w:color w:val="auto"/>
                <w:spacing w:val="4"/>
              </w:rPr>
              <w:t>评价方法</w:t>
            </w:r>
          </w:p>
          <w:p>
            <w:pPr>
              <w:pStyle w:val="69"/>
              <w:rPr>
                <w:color w:val="auto"/>
              </w:rPr>
            </w:pPr>
            <w:r>
              <w:rPr>
                <w:rFonts w:hint="eastAsia"/>
                <w:color w:val="auto"/>
              </w:rPr>
              <w:t>取各污染物不同评价时段监测浓度的最大值，作为评价范围内环境空气保护目标及网格点环境质量现状浓度，计算最大浓度占标率。</w:t>
            </w:r>
          </w:p>
          <w:p>
            <w:pPr>
              <w:pStyle w:val="69"/>
              <w:ind w:firstLine="496"/>
              <w:rPr>
                <w:color w:val="auto"/>
                <w:spacing w:val="4"/>
              </w:rPr>
            </w:pPr>
            <w:r>
              <w:rPr>
                <w:color w:val="auto"/>
                <w:spacing w:val="4"/>
              </w:rPr>
              <w:t>（6）监测与评价结果</w:t>
            </w:r>
          </w:p>
          <w:p>
            <w:pPr>
              <w:pStyle w:val="69"/>
              <w:ind w:firstLine="496"/>
              <w:rPr>
                <w:color w:val="auto"/>
                <w:spacing w:val="4"/>
              </w:rPr>
            </w:pPr>
            <w:r>
              <w:rPr>
                <w:color w:val="auto"/>
                <w:spacing w:val="4"/>
              </w:rPr>
              <w:t>监测数据及评价结果见表3-2。</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3-2  项目区域总悬浮颗粒物环境质量现状评价表</w:t>
            </w:r>
          </w:p>
          <w:tbl>
            <w:tblPr>
              <w:tblStyle w:val="30"/>
              <w:tblW w:w="820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Change w:id="0" w:author="尕毛毛" w:date="2023-07-26T10:35:01Z">
                <w:tblPr>
                  <w:tblStyle w:val="30"/>
                  <w:tblW w:w="820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3435"/>
              <w:gridCol w:w="1141"/>
              <w:gridCol w:w="1197"/>
              <w:gridCol w:w="1023"/>
              <w:gridCol w:w="1410"/>
              <w:tblGridChange w:id="1">
                <w:tblGrid>
                  <w:gridCol w:w="1980"/>
                  <w:gridCol w:w="2068"/>
                  <w:gridCol w:w="1724"/>
                  <w:gridCol w:w="1024"/>
                  <w:gridCol w:w="1410"/>
                </w:tblGrid>
              </w:tblGridChange>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 w:author="尕毛毛" w:date="2023-07-26T10:35:01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53" w:hRule="atLeast"/>
                <w:trPrChange w:id="2" w:author="尕毛毛" w:date="2023-07-26T10:35:01Z">
                  <w:trPr>
                    <w:trHeight w:val="253" w:hRule="atLeast"/>
                  </w:trPr>
                </w:trPrChange>
              </w:trPr>
              <w:tc>
                <w:tcPr>
                  <w:tcW w:w="2092" w:type="pct"/>
                  <w:tcBorders>
                    <w:tl2br w:val="nil"/>
                    <w:tr2bl w:val="nil"/>
                  </w:tcBorders>
                  <w:shd w:val="clear" w:color="auto" w:fill="auto"/>
                  <w:vAlign w:val="center"/>
                  <w:tcPrChange w:id="3" w:author="尕毛毛" w:date="2023-07-26T10:35:01Z">
                    <w:tcPr>
                      <w:tcW w:w="1206" w:type="pct"/>
                      <w:tcBorders>
                        <w:tl2br w:val="nil"/>
                        <w:tr2bl w:val="nil"/>
                      </w:tcBorders>
                      <w:shd w:val="clear" w:color="auto" w:fill="auto"/>
                      <w:vAlign w:val="center"/>
                    </w:tcPr>
                  </w:tcPrChange>
                </w:tcPr>
                <w:p>
                  <w:pPr>
                    <w:pStyle w:val="103"/>
                    <w:ind w:left="-63" w:right="-63"/>
                    <w:rPr>
                      <w:rFonts w:hint="default" w:eastAsia="宋体"/>
                      <w:color w:val="auto"/>
                      <w:lang w:val="en-US" w:eastAsia="zh-CN"/>
                    </w:rPr>
                  </w:pPr>
                  <w:r>
                    <w:rPr>
                      <w:rFonts w:hint="eastAsia"/>
                      <w:color w:val="auto"/>
                      <w:lang w:val="en-US" w:eastAsia="zh-CN"/>
                    </w:rPr>
                    <w:t>采用时间</w:t>
                  </w:r>
                </w:p>
              </w:tc>
              <w:tc>
                <w:tcPr>
                  <w:tcW w:w="695" w:type="pct"/>
                  <w:tcBorders>
                    <w:tl2br w:val="nil"/>
                    <w:tr2bl w:val="nil"/>
                  </w:tcBorders>
                  <w:shd w:val="clear" w:color="auto" w:fill="auto"/>
                  <w:vAlign w:val="center"/>
                  <w:tcPrChange w:id="4" w:author="尕毛毛" w:date="2023-07-26T10:35:01Z">
                    <w:tcPr>
                      <w:tcW w:w="1260" w:type="pct"/>
                      <w:tcBorders>
                        <w:tl2br w:val="nil"/>
                        <w:tr2bl w:val="nil"/>
                      </w:tcBorders>
                      <w:shd w:val="clear" w:color="auto" w:fill="auto"/>
                      <w:vAlign w:val="center"/>
                    </w:tcPr>
                  </w:tcPrChange>
                </w:tcPr>
                <w:p>
                  <w:pPr>
                    <w:pStyle w:val="103"/>
                    <w:ind w:left="-63" w:right="-63"/>
                    <w:rPr>
                      <w:color w:val="auto"/>
                    </w:rPr>
                  </w:pPr>
                  <w:r>
                    <w:rPr>
                      <w:rFonts w:hint="eastAsia"/>
                      <w:color w:val="auto"/>
                    </w:rPr>
                    <w:t>监测浓度</w:t>
                  </w:r>
                </w:p>
              </w:tc>
              <w:tc>
                <w:tcPr>
                  <w:tcW w:w="729" w:type="pct"/>
                  <w:tcBorders>
                    <w:tl2br w:val="nil"/>
                    <w:tr2bl w:val="nil"/>
                  </w:tcBorders>
                  <w:vAlign w:val="center"/>
                  <w:tcPrChange w:id="5" w:author="尕毛毛" w:date="2023-07-26T10:35:01Z">
                    <w:tcPr>
                      <w:tcW w:w="1050" w:type="pct"/>
                      <w:tcBorders>
                        <w:tl2br w:val="nil"/>
                        <w:tr2bl w:val="nil"/>
                      </w:tcBorders>
                      <w:vAlign w:val="center"/>
                    </w:tcPr>
                  </w:tcPrChange>
                </w:tcPr>
                <w:p>
                  <w:pPr>
                    <w:pStyle w:val="103"/>
                    <w:ind w:left="-63" w:right="-63"/>
                    <w:rPr>
                      <w:color w:val="auto"/>
                    </w:rPr>
                  </w:pPr>
                  <w:r>
                    <w:rPr>
                      <w:rFonts w:hint="eastAsia"/>
                      <w:color w:val="auto"/>
                    </w:rPr>
                    <w:t>环境质量限值</w:t>
                  </w:r>
                </w:p>
              </w:tc>
              <w:tc>
                <w:tcPr>
                  <w:tcW w:w="623" w:type="pct"/>
                  <w:tcBorders>
                    <w:tl2br w:val="nil"/>
                    <w:tr2bl w:val="nil"/>
                  </w:tcBorders>
                  <w:vAlign w:val="center"/>
                  <w:tcPrChange w:id="6" w:author="尕毛毛" w:date="2023-07-26T10:35:01Z">
                    <w:tcPr>
                      <w:tcW w:w="624" w:type="pct"/>
                      <w:tcBorders>
                        <w:tl2br w:val="nil"/>
                        <w:tr2bl w:val="nil"/>
                      </w:tcBorders>
                      <w:vAlign w:val="center"/>
                    </w:tcPr>
                  </w:tcPrChange>
                </w:tcPr>
                <w:p>
                  <w:pPr>
                    <w:pStyle w:val="103"/>
                    <w:ind w:left="-63" w:right="-63"/>
                    <w:rPr>
                      <w:color w:val="auto"/>
                    </w:rPr>
                  </w:pPr>
                  <w:r>
                    <w:rPr>
                      <w:rFonts w:hint="eastAsia"/>
                      <w:color w:val="auto"/>
                    </w:rPr>
                    <w:t>占标率%</w:t>
                  </w:r>
                </w:p>
              </w:tc>
              <w:tc>
                <w:tcPr>
                  <w:tcW w:w="859" w:type="pct"/>
                  <w:tcBorders>
                    <w:tl2br w:val="nil"/>
                    <w:tr2bl w:val="nil"/>
                  </w:tcBorders>
                  <w:shd w:val="clear" w:color="auto" w:fill="auto"/>
                  <w:vAlign w:val="center"/>
                  <w:tcPrChange w:id="7" w:author="尕毛毛" w:date="2023-07-26T10:35:01Z">
                    <w:tcPr>
                      <w:tcW w:w="859" w:type="pct"/>
                      <w:tcBorders>
                        <w:tl2br w:val="nil"/>
                        <w:tr2bl w:val="nil"/>
                      </w:tcBorders>
                      <w:shd w:val="clear" w:color="auto" w:fill="auto"/>
                      <w:vAlign w:val="center"/>
                    </w:tcPr>
                  </w:tcPrChange>
                </w:tcPr>
                <w:p>
                  <w:pPr>
                    <w:pStyle w:val="103"/>
                    <w:ind w:left="-63" w:right="-63"/>
                    <w:rPr>
                      <w:color w:val="auto"/>
                    </w:rPr>
                  </w:pPr>
                  <w:r>
                    <w:rPr>
                      <w:rFonts w:hint="eastAsia"/>
                      <w:color w:val="auto"/>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8" w:author="尕毛毛" w:date="2023-07-26T10:35:01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53" w:hRule="atLeast"/>
                <w:trPrChange w:id="8" w:author="尕毛毛" w:date="2023-07-26T10:35:01Z">
                  <w:trPr>
                    <w:trHeight w:val="253" w:hRule="atLeast"/>
                  </w:trPr>
                </w:trPrChange>
              </w:trPr>
              <w:tc>
                <w:tcPr>
                  <w:tcW w:w="2092" w:type="pct"/>
                  <w:tcBorders>
                    <w:tl2br w:val="nil"/>
                    <w:tr2bl w:val="nil"/>
                  </w:tcBorders>
                  <w:shd w:val="clear" w:color="auto" w:fill="auto"/>
                  <w:vAlign w:val="top"/>
                  <w:tcPrChange w:id="9" w:author="尕毛毛" w:date="2023-07-26T10:35:01Z">
                    <w:tcPr>
                      <w:tcW w:w="1980" w:type="dxa"/>
                      <w:tcBorders>
                        <w:tl2br w:val="nil"/>
                        <w:tr2bl w:val="nil"/>
                      </w:tcBorders>
                      <w:shd w:val="clear" w:color="auto" w:fill="auto"/>
                      <w:vAlign w:val="top"/>
                    </w:tcPr>
                  </w:tcPrChange>
                </w:tcPr>
                <w:p>
                  <w:pPr>
                    <w:spacing w:line="240" w:lineRule="auto"/>
                    <w:jc w:val="center"/>
                    <w:rPr>
                      <w:rFonts w:hint="default" w:eastAsia="宋体"/>
                      <w:color w:val="auto"/>
                      <w:lang w:val="en-US" w:eastAsia="zh-CN"/>
                    </w:rPr>
                  </w:pPr>
                  <w:r>
                    <w:rPr>
                      <w:rFonts w:hint="eastAsia" w:ascii="Times New Roman" w:hAnsi="Times New Roman" w:eastAsia="宋体" w:cs="Times New Roman"/>
                      <w:b w:val="0"/>
                      <w:color w:val="auto"/>
                      <w:kern w:val="2"/>
                      <w:sz w:val="21"/>
                      <w:szCs w:val="21"/>
                      <w:lang w:val="en-US" w:eastAsia="zh-CN" w:bidi="ar-SA"/>
                    </w:rPr>
                    <w:t>202</w:t>
                  </w:r>
                  <w:r>
                    <w:rPr>
                      <w:rFonts w:hint="eastAsia" w:eastAsia="宋体" w:cs="Times New Roman"/>
                      <w:b w:val="0"/>
                      <w:color w:val="auto"/>
                      <w:kern w:val="2"/>
                      <w:sz w:val="21"/>
                      <w:szCs w:val="21"/>
                      <w:lang w:val="en-US" w:eastAsia="zh-CN" w:bidi="ar-SA"/>
                    </w:rPr>
                    <w:t>3</w:t>
                  </w:r>
                  <w:r>
                    <w:rPr>
                      <w:rFonts w:hint="eastAsia" w:ascii="Times New Roman" w:hAnsi="Times New Roman" w:eastAsia="宋体" w:cs="Times New Roman"/>
                      <w:b w:val="0"/>
                      <w:color w:val="auto"/>
                      <w:kern w:val="2"/>
                      <w:sz w:val="21"/>
                      <w:szCs w:val="21"/>
                      <w:lang w:val="en-US" w:eastAsia="zh-CN" w:bidi="ar-SA"/>
                    </w:rPr>
                    <w:t>年</w:t>
                  </w:r>
                  <w:r>
                    <w:rPr>
                      <w:rFonts w:hint="eastAsia" w:eastAsia="宋体" w:cs="Times New Roman"/>
                      <w:b w:val="0"/>
                      <w:color w:val="auto"/>
                      <w:kern w:val="2"/>
                      <w:sz w:val="21"/>
                      <w:szCs w:val="21"/>
                      <w:lang w:val="en-US" w:eastAsia="zh-CN" w:bidi="ar-SA"/>
                    </w:rPr>
                    <w:t>7</w:t>
                  </w:r>
                  <w:r>
                    <w:rPr>
                      <w:rFonts w:hint="eastAsia" w:ascii="Times New Roman" w:hAnsi="Times New Roman" w:eastAsia="宋体" w:cs="Times New Roman"/>
                      <w:b w:val="0"/>
                      <w:color w:val="auto"/>
                      <w:kern w:val="2"/>
                      <w:sz w:val="21"/>
                      <w:szCs w:val="21"/>
                      <w:lang w:val="en-US" w:eastAsia="zh-CN" w:bidi="ar-SA"/>
                    </w:rPr>
                    <w:t>月</w:t>
                  </w:r>
                  <w:r>
                    <w:rPr>
                      <w:rFonts w:hint="eastAsia" w:eastAsia="宋体" w:cs="Times New Roman"/>
                      <w:b w:val="0"/>
                      <w:color w:val="auto"/>
                      <w:kern w:val="2"/>
                      <w:sz w:val="21"/>
                      <w:szCs w:val="21"/>
                      <w:lang w:val="en-US" w:eastAsia="zh-CN" w:bidi="ar-SA"/>
                    </w:rPr>
                    <w:t>10</w:t>
                  </w:r>
                  <w:r>
                    <w:rPr>
                      <w:rFonts w:hint="eastAsia" w:ascii="Times New Roman" w:hAnsi="Times New Roman" w:eastAsia="宋体" w:cs="Times New Roman"/>
                      <w:b w:val="0"/>
                      <w:color w:val="auto"/>
                      <w:kern w:val="2"/>
                      <w:sz w:val="21"/>
                      <w:szCs w:val="21"/>
                      <w:lang w:val="en-US" w:eastAsia="zh-CN" w:bidi="ar-SA"/>
                    </w:rPr>
                    <w:t>日1</w:t>
                  </w:r>
                  <w:r>
                    <w:rPr>
                      <w:rFonts w:hint="eastAsia" w:eastAsia="宋体" w:cs="Times New Roman"/>
                      <w:b w:val="0"/>
                      <w:color w:val="auto"/>
                      <w:kern w:val="2"/>
                      <w:sz w:val="21"/>
                      <w:szCs w:val="21"/>
                      <w:lang w:val="en-US" w:eastAsia="zh-CN" w:bidi="ar-SA"/>
                    </w:rPr>
                    <w:t>7</w:t>
                  </w:r>
                  <w:r>
                    <w:rPr>
                      <w:rFonts w:hint="eastAsia" w:ascii="Times New Roman" w:hAnsi="Times New Roman" w:eastAsia="宋体" w:cs="Times New Roman"/>
                      <w:b w:val="0"/>
                      <w:color w:val="auto"/>
                      <w:kern w:val="2"/>
                      <w:sz w:val="21"/>
                      <w:szCs w:val="21"/>
                      <w:lang w:val="en-US" w:eastAsia="zh-CN" w:bidi="ar-SA"/>
                    </w:rPr>
                    <w:t>:</w:t>
                  </w:r>
                  <w:r>
                    <w:rPr>
                      <w:rFonts w:hint="eastAsia" w:eastAsia="宋体" w:cs="Times New Roman"/>
                      <w:b w:val="0"/>
                      <w:color w:val="auto"/>
                      <w:kern w:val="2"/>
                      <w:sz w:val="21"/>
                      <w:szCs w:val="21"/>
                      <w:lang w:val="en-US" w:eastAsia="zh-CN" w:bidi="ar-SA"/>
                    </w:rPr>
                    <w:t>10</w:t>
                  </w:r>
                  <w:r>
                    <w:rPr>
                      <w:rFonts w:hint="eastAsia" w:ascii="Times New Roman" w:hAnsi="Times New Roman" w:eastAsia="宋体" w:cs="Times New Roman"/>
                      <w:b w:val="0"/>
                      <w:color w:val="auto"/>
                      <w:kern w:val="2"/>
                      <w:sz w:val="21"/>
                      <w:szCs w:val="21"/>
                      <w:lang w:val="en-US" w:eastAsia="zh-CN" w:bidi="ar-SA"/>
                    </w:rPr>
                    <w:t>-202</w:t>
                  </w:r>
                  <w:r>
                    <w:rPr>
                      <w:rFonts w:hint="eastAsia" w:eastAsia="宋体" w:cs="Times New Roman"/>
                      <w:b w:val="0"/>
                      <w:color w:val="auto"/>
                      <w:kern w:val="2"/>
                      <w:sz w:val="21"/>
                      <w:szCs w:val="21"/>
                      <w:lang w:val="en-US" w:eastAsia="zh-CN" w:bidi="ar-SA"/>
                    </w:rPr>
                    <w:t>3</w:t>
                  </w:r>
                  <w:r>
                    <w:rPr>
                      <w:rFonts w:hint="eastAsia" w:ascii="Times New Roman" w:hAnsi="Times New Roman" w:eastAsia="宋体" w:cs="Times New Roman"/>
                      <w:b w:val="0"/>
                      <w:color w:val="auto"/>
                      <w:kern w:val="2"/>
                      <w:sz w:val="21"/>
                      <w:szCs w:val="21"/>
                      <w:lang w:val="en-US" w:eastAsia="zh-CN" w:bidi="ar-SA"/>
                    </w:rPr>
                    <w:t>年</w:t>
                  </w:r>
                  <w:r>
                    <w:rPr>
                      <w:rFonts w:hint="eastAsia" w:eastAsia="宋体" w:cs="Times New Roman"/>
                      <w:b w:val="0"/>
                      <w:color w:val="auto"/>
                      <w:kern w:val="2"/>
                      <w:sz w:val="21"/>
                      <w:szCs w:val="21"/>
                      <w:lang w:val="en-US" w:eastAsia="zh-CN" w:bidi="ar-SA"/>
                    </w:rPr>
                    <w:t>7</w:t>
                  </w:r>
                  <w:r>
                    <w:rPr>
                      <w:rFonts w:hint="eastAsia" w:ascii="Times New Roman" w:hAnsi="Times New Roman" w:eastAsia="宋体" w:cs="Times New Roman"/>
                      <w:b w:val="0"/>
                      <w:color w:val="auto"/>
                      <w:kern w:val="2"/>
                      <w:sz w:val="21"/>
                      <w:szCs w:val="21"/>
                      <w:lang w:val="en-US" w:eastAsia="zh-CN" w:bidi="ar-SA"/>
                    </w:rPr>
                    <w:t>月</w:t>
                  </w:r>
                  <w:r>
                    <w:rPr>
                      <w:rFonts w:hint="eastAsia" w:eastAsia="宋体" w:cs="Times New Roman"/>
                      <w:b w:val="0"/>
                      <w:color w:val="auto"/>
                      <w:kern w:val="2"/>
                      <w:sz w:val="21"/>
                      <w:szCs w:val="21"/>
                      <w:lang w:val="en-US" w:eastAsia="zh-CN" w:bidi="ar-SA"/>
                    </w:rPr>
                    <w:t>11</w:t>
                  </w:r>
                  <w:r>
                    <w:rPr>
                      <w:rFonts w:hint="eastAsia" w:ascii="Times New Roman" w:hAnsi="Times New Roman" w:eastAsia="宋体" w:cs="Times New Roman"/>
                      <w:b w:val="0"/>
                      <w:color w:val="auto"/>
                      <w:kern w:val="2"/>
                      <w:sz w:val="21"/>
                      <w:szCs w:val="21"/>
                      <w:lang w:val="en-US" w:eastAsia="zh-CN" w:bidi="ar-SA"/>
                    </w:rPr>
                    <w:t>日</w:t>
                  </w:r>
                  <w:r>
                    <w:rPr>
                      <w:rFonts w:hint="eastAsia" w:ascii="Times New Roman" w:hAnsi="Times New Roman" w:cs="Times New Roman"/>
                      <w:b w:val="0"/>
                      <w:color w:val="auto"/>
                      <w:kern w:val="2"/>
                      <w:sz w:val="21"/>
                      <w:szCs w:val="21"/>
                      <w:lang w:val="en-US" w:eastAsia="zh-CN" w:bidi="ar-SA"/>
                    </w:rPr>
                    <w:t>17:10</w:t>
                  </w:r>
                </w:p>
              </w:tc>
              <w:tc>
                <w:tcPr>
                  <w:tcW w:w="695" w:type="pct"/>
                  <w:tcBorders>
                    <w:tl2br w:val="nil"/>
                    <w:tr2bl w:val="nil"/>
                  </w:tcBorders>
                  <w:shd w:val="clear" w:color="auto" w:fill="auto"/>
                  <w:vAlign w:val="center"/>
                  <w:tcPrChange w:id="10" w:author="尕毛毛" w:date="2023-07-26T10:35:01Z">
                    <w:tcPr>
                      <w:tcW w:w="1260" w:type="pct"/>
                      <w:tcBorders>
                        <w:tl2br w:val="nil"/>
                        <w:tr2bl w:val="nil"/>
                      </w:tcBorders>
                      <w:shd w:val="clear" w:color="auto" w:fill="auto"/>
                      <w:vAlign w:val="center"/>
                    </w:tcPr>
                  </w:tcPrChange>
                </w:tcPr>
                <w:p>
                  <w:pPr>
                    <w:pStyle w:val="103"/>
                    <w:ind w:left="-63" w:right="-63"/>
                    <w:rPr>
                      <w:rFonts w:hint="default" w:eastAsia="宋体"/>
                      <w:color w:val="auto"/>
                      <w:lang w:val="en-US" w:eastAsia="zh-CN"/>
                    </w:rPr>
                  </w:pPr>
                  <w:r>
                    <w:rPr>
                      <w:rFonts w:hint="eastAsia"/>
                      <w:color w:val="auto"/>
                      <w:lang w:bidi="ar"/>
                    </w:rPr>
                    <w:t>0.2</w:t>
                  </w:r>
                  <w:r>
                    <w:rPr>
                      <w:rFonts w:hint="eastAsia"/>
                      <w:color w:val="auto"/>
                      <w:lang w:val="en-US" w:eastAsia="zh-CN" w:bidi="ar"/>
                    </w:rPr>
                    <w:t>92</w:t>
                  </w:r>
                </w:p>
              </w:tc>
              <w:tc>
                <w:tcPr>
                  <w:tcW w:w="729" w:type="pct"/>
                  <w:vMerge w:val="restart"/>
                  <w:tcBorders>
                    <w:tl2br w:val="nil"/>
                    <w:tr2bl w:val="nil"/>
                  </w:tcBorders>
                  <w:shd w:val="clear" w:color="auto" w:fill="auto"/>
                  <w:vAlign w:val="center"/>
                  <w:tcPrChange w:id="11" w:author="尕毛毛" w:date="2023-07-26T10:35:01Z">
                    <w:tcPr>
                      <w:tcW w:w="1050" w:type="pct"/>
                      <w:vMerge w:val="restart"/>
                      <w:tcBorders>
                        <w:tl2br w:val="nil"/>
                        <w:tr2bl w:val="nil"/>
                      </w:tcBorders>
                      <w:shd w:val="clear" w:color="auto" w:fill="auto"/>
                      <w:vAlign w:val="center"/>
                    </w:tcPr>
                  </w:tcPrChange>
                </w:tcPr>
                <w:p>
                  <w:pPr>
                    <w:pStyle w:val="103"/>
                    <w:ind w:left="-63" w:right="-63"/>
                    <w:rPr>
                      <w:color w:val="auto"/>
                    </w:rPr>
                  </w:pPr>
                  <w:r>
                    <w:rPr>
                      <w:rFonts w:hint="eastAsia"/>
                      <w:color w:val="auto"/>
                    </w:rPr>
                    <w:t>0</w:t>
                  </w:r>
                  <w:r>
                    <w:rPr>
                      <w:color w:val="auto"/>
                    </w:rPr>
                    <w:t>.3</w:t>
                  </w:r>
                  <w:r>
                    <w:rPr>
                      <w:rFonts w:hint="eastAsia"/>
                      <w:color w:val="auto"/>
                    </w:rPr>
                    <w:t>mg/m</w:t>
                  </w:r>
                  <w:r>
                    <w:rPr>
                      <w:rFonts w:hint="eastAsia"/>
                      <w:color w:val="auto"/>
                      <w:vertAlign w:val="superscript"/>
                    </w:rPr>
                    <w:t>3</w:t>
                  </w:r>
                </w:p>
              </w:tc>
              <w:tc>
                <w:tcPr>
                  <w:tcW w:w="623" w:type="pct"/>
                  <w:tcBorders>
                    <w:tl2br w:val="nil"/>
                    <w:tr2bl w:val="nil"/>
                  </w:tcBorders>
                  <w:shd w:val="clear" w:color="auto" w:fill="auto"/>
                  <w:vAlign w:val="center"/>
                  <w:tcPrChange w:id="12" w:author="尕毛毛" w:date="2023-07-26T10:35:01Z">
                    <w:tcPr>
                      <w:tcW w:w="624" w:type="pct"/>
                      <w:tcBorders>
                        <w:tl2br w:val="nil"/>
                        <w:tr2bl w:val="nil"/>
                      </w:tcBorders>
                      <w:shd w:val="clear" w:color="auto" w:fill="auto"/>
                      <w:vAlign w:val="center"/>
                    </w:tcPr>
                  </w:tcPrChange>
                </w:tcPr>
                <w:p>
                  <w:pPr>
                    <w:pStyle w:val="103"/>
                    <w:ind w:left="-63" w:right="-63"/>
                    <w:rPr>
                      <w:rFonts w:hint="default" w:eastAsia="宋体"/>
                      <w:color w:val="auto"/>
                      <w:lang w:val="en-US" w:eastAsia="zh-CN"/>
                    </w:rPr>
                  </w:pPr>
                  <w:r>
                    <w:rPr>
                      <w:rFonts w:hint="eastAsia"/>
                      <w:color w:val="auto"/>
                      <w:lang w:val="en-US" w:eastAsia="zh-CN"/>
                    </w:rPr>
                    <w:t>97.33</w:t>
                  </w:r>
                </w:p>
              </w:tc>
              <w:tc>
                <w:tcPr>
                  <w:tcW w:w="859" w:type="pct"/>
                  <w:tcBorders>
                    <w:tl2br w:val="nil"/>
                    <w:tr2bl w:val="nil"/>
                  </w:tcBorders>
                  <w:shd w:val="clear" w:color="auto" w:fill="auto"/>
                  <w:vAlign w:val="center"/>
                  <w:tcPrChange w:id="13" w:author="尕毛毛" w:date="2023-07-26T10:35:01Z">
                    <w:tcPr>
                      <w:tcW w:w="859" w:type="pct"/>
                      <w:tcBorders>
                        <w:tl2br w:val="nil"/>
                        <w:tr2bl w:val="nil"/>
                      </w:tcBorders>
                      <w:shd w:val="clear" w:color="auto" w:fill="auto"/>
                      <w:vAlign w:val="center"/>
                    </w:tcPr>
                  </w:tcPrChange>
                </w:tcPr>
                <w:p>
                  <w:pPr>
                    <w:pStyle w:val="103"/>
                    <w:ind w:left="-63" w:right="-63"/>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 w:author="尕毛毛" w:date="2023-07-26T10:35:01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53" w:hRule="atLeast"/>
                <w:trPrChange w:id="14" w:author="尕毛毛" w:date="2023-07-26T10:35:01Z">
                  <w:trPr>
                    <w:trHeight w:val="253" w:hRule="atLeast"/>
                  </w:trPr>
                </w:trPrChange>
              </w:trPr>
              <w:tc>
                <w:tcPr>
                  <w:tcW w:w="2092" w:type="pct"/>
                  <w:tcBorders>
                    <w:tl2br w:val="nil"/>
                    <w:tr2bl w:val="nil"/>
                  </w:tcBorders>
                  <w:shd w:val="clear" w:color="auto" w:fill="auto"/>
                  <w:vAlign w:val="top"/>
                  <w:tcPrChange w:id="15" w:author="尕毛毛" w:date="2023-07-26T10:35:01Z">
                    <w:tcPr>
                      <w:tcW w:w="1980" w:type="dxa"/>
                      <w:tcBorders>
                        <w:tl2br w:val="nil"/>
                        <w:tr2bl w:val="nil"/>
                      </w:tcBorders>
                      <w:shd w:val="clear" w:color="auto" w:fill="auto"/>
                      <w:vAlign w:val="top"/>
                    </w:tcPr>
                  </w:tcPrChange>
                </w:tcPr>
                <w:p>
                  <w:pPr>
                    <w:spacing w:line="240" w:lineRule="auto"/>
                    <w:jc w:val="center"/>
                    <w:rPr>
                      <w:color w:val="auto"/>
                    </w:rPr>
                  </w:pPr>
                  <w:r>
                    <w:rPr>
                      <w:rFonts w:hint="eastAsia" w:ascii="Times New Roman" w:hAnsi="Times New Roman" w:eastAsia="宋体" w:cs="Times New Roman"/>
                      <w:b w:val="0"/>
                      <w:color w:val="auto"/>
                      <w:kern w:val="2"/>
                      <w:sz w:val="21"/>
                      <w:szCs w:val="21"/>
                      <w:lang w:val="en-US" w:eastAsia="zh-CN" w:bidi="ar-SA"/>
                    </w:rPr>
                    <w:t>202</w:t>
                  </w:r>
                  <w:r>
                    <w:rPr>
                      <w:rFonts w:hint="eastAsia" w:eastAsia="宋体" w:cs="Times New Roman"/>
                      <w:b w:val="0"/>
                      <w:color w:val="auto"/>
                      <w:kern w:val="2"/>
                      <w:sz w:val="21"/>
                      <w:szCs w:val="21"/>
                      <w:lang w:val="en-US" w:eastAsia="zh-CN" w:bidi="ar-SA"/>
                    </w:rPr>
                    <w:t>3</w:t>
                  </w:r>
                  <w:r>
                    <w:rPr>
                      <w:rFonts w:hint="eastAsia" w:ascii="Times New Roman" w:hAnsi="Times New Roman" w:eastAsia="宋体" w:cs="Times New Roman"/>
                      <w:b w:val="0"/>
                      <w:color w:val="auto"/>
                      <w:kern w:val="2"/>
                      <w:sz w:val="21"/>
                      <w:szCs w:val="21"/>
                      <w:lang w:val="en-US" w:eastAsia="zh-CN" w:bidi="ar-SA"/>
                    </w:rPr>
                    <w:t>年</w:t>
                  </w:r>
                  <w:r>
                    <w:rPr>
                      <w:rFonts w:hint="eastAsia" w:eastAsia="宋体" w:cs="Times New Roman"/>
                      <w:b w:val="0"/>
                      <w:color w:val="auto"/>
                      <w:kern w:val="2"/>
                      <w:sz w:val="21"/>
                      <w:szCs w:val="21"/>
                      <w:lang w:val="en-US" w:eastAsia="zh-CN" w:bidi="ar-SA"/>
                    </w:rPr>
                    <w:t>7</w:t>
                  </w:r>
                  <w:r>
                    <w:rPr>
                      <w:rFonts w:hint="eastAsia" w:ascii="Times New Roman" w:hAnsi="Times New Roman" w:eastAsia="宋体" w:cs="Times New Roman"/>
                      <w:b w:val="0"/>
                      <w:color w:val="auto"/>
                      <w:kern w:val="2"/>
                      <w:sz w:val="21"/>
                      <w:szCs w:val="21"/>
                      <w:lang w:val="en-US" w:eastAsia="zh-CN" w:bidi="ar-SA"/>
                    </w:rPr>
                    <w:t>月</w:t>
                  </w:r>
                  <w:r>
                    <w:rPr>
                      <w:rFonts w:hint="eastAsia" w:eastAsia="宋体" w:cs="Times New Roman"/>
                      <w:b w:val="0"/>
                      <w:color w:val="auto"/>
                      <w:kern w:val="2"/>
                      <w:sz w:val="21"/>
                      <w:szCs w:val="21"/>
                      <w:lang w:val="en-US" w:eastAsia="zh-CN" w:bidi="ar-SA"/>
                    </w:rPr>
                    <w:t>11</w:t>
                  </w:r>
                  <w:r>
                    <w:rPr>
                      <w:rFonts w:hint="eastAsia" w:ascii="Times New Roman" w:hAnsi="Times New Roman" w:eastAsia="宋体" w:cs="Times New Roman"/>
                      <w:b w:val="0"/>
                      <w:color w:val="auto"/>
                      <w:kern w:val="2"/>
                      <w:sz w:val="21"/>
                      <w:szCs w:val="21"/>
                      <w:lang w:val="en-US" w:eastAsia="zh-CN" w:bidi="ar-SA"/>
                    </w:rPr>
                    <w:t>日</w:t>
                  </w:r>
                  <w:r>
                    <w:rPr>
                      <w:rFonts w:hint="eastAsia" w:eastAsia="宋体" w:cs="Times New Roman"/>
                      <w:b w:val="0"/>
                      <w:color w:val="auto"/>
                      <w:kern w:val="2"/>
                      <w:sz w:val="21"/>
                      <w:szCs w:val="21"/>
                      <w:lang w:val="en-US" w:eastAsia="zh-CN" w:bidi="ar-SA"/>
                    </w:rPr>
                    <w:t>19</w:t>
                  </w:r>
                  <w:r>
                    <w:rPr>
                      <w:rFonts w:hint="eastAsia" w:ascii="Times New Roman" w:hAnsi="Times New Roman" w:eastAsia="宋体" w:cs="Times New Roman"/>
                      <w:b w:val="0"/>
                      <w:color w:val="auto"/>
                      <w:kern w:val="2"/>
                      <w:sz w:val="21"/>
                      <w:szCs w:val="21"/>
                      <w:lang w:val="en-US" w:eastAsia="zh-CN" w:bidi="ar-SA"/>
                    </w:rPr>
                    <w:t>:</w:t>
                  </w:r>
                  <w:r>
                    <w:rPr>
                      <w:rFonts w:hint="eastAsia" w:eastAsia="宋体" w:cs="Times New Roman"/>
                      <w:b w:val="0"/>
                      <w:color w:val="auto"/>
                      <w:kern w:val="2"/>
                      <w:sz w:val="21"/>
                      <w:szCs w:val="21"/>
                      <w:lang w:val="en-US" w:eastAsia="zh-CN" w:bidi="ar-SA"/>
                    </w:rPr>
                    <w:t>30</w:t>
                  </w:r>
                  <w:r>
                    <w:rPr>
                      <w:rFonts w:hint="eastAsia" w:ascii="Times New Roman" w:hAnsi="Times New Roman" w:eastAsia="宋体" w:cs="Times New Roman"/>
                      <w:b w:val="0"/>
                      <w:color w:val="auto"/>
                      <w:kern w:val="2"/>
                      <w:sz w:val="21"/>
                      <w:szCs w:val="21"/>
                      <w:lang w:val="en-US" w:eastAsia="zh-CN" w:bidi="ar-SA"/>
                    </w:rPr>
                    <w:t>-202</w:t>
                  </w:r>
                  <w:r>
                    <w:rPr>
                      <w:rFonts w:hint="eastAsia" w:eastAsia="宋体" w:cs="Times New Roman"/>
                      <w:b w:val="0"/>
                      <w:color w:val="auto"/>
                      <w:kern w:val="2"/>
                      <w:sz w:val="21"/>
                      <w:szCs w:val="21"/>
                      <w:lang w:val="en-US" w:eastAsia="zh-CN" w:bidi="ar-SA"/>
                    </w:rPr>
                    <w:t>3</w:t>
                  </w:r>
                  <w:r>
                    <w:rPr>
                      <w:rFonts w:hint="eastAsia" w:ascii="Times New Roman" w:hAnsi="Times New Roman" w:eastAsia="宋体" w:cs="Times New Roman"/>
                      <w:b w:val="0"/>
                      <w:color w:val="auto"/>
                      <w:kern w:val="2"/>
                      <w:sz w:val="21"/>
                      <w:szCs w:val="21"/>
                      <w:lang w:val="en-US" w:eastAsia="zh-CN" w:bidi="ar-SA"/>
                    </w:rPr>
                    <w:t>年</w:t>
                  </w:r>
                  <w:r>
                    <w:rPr>
                      <w:rFonts w:hint="eastAsia" w:eastAsia="宋体" w:cs="Times New Roman"/>
                      <w:b w:val="0"/>
                      <w:color w:val="auto"/>
                      <w:kern w:val="2"/>
                      <w:sz w:val="21"/>
                      <w:szCs w:val="21"/>
                      <w:lang w:val="en-US" w:eastAsia="zh-CN" w:bidi="ar-SA"/>
                    </w:rPr>
                    <w:t>7</w:t>
                  </w:r>
                  <w:r>
                    <w:rPr>
                      <w:rFonts w:hint="eastAsia" w:ascii="Times New Roman" w:hAnsi="Times New Roman" w:eastAsia="宋体" w:cs="Times New Roman"/>
                      <w:b w:val="0"/>
                      <w:color w:val="auto"/>
                      <w:kern w:val="2"/>
                      <w:sz w:val="21"/>
                      <w:szCs w:val="21"/>
                      <w:lang w:val="en-US" w:eastAsia="zh-CN" w:bidi="ar-SA"/>
                    </w:rPr>
                    <w:t>月</w:t>
                  </w:r>
                  <w:r>
                    <w:rPr>
                      <w:rFonts w:hint="eastAsia" w:eastAsia="宋体" w:cs="Times New Roman"/>
                      <w:b w:val="0"/>
                      <w:color w:val="auto"/>
                      <w:kern w:val="2"/>
                      <w:sz w:val="21"/>
                      <w:szCs w:val="21"/>
                      <w:lang w:val="en-US" w:eastAsia="zh-CN" w:bidi="ar-SA"/>
                    </w:rPr>
                    <w:t>12</w:t>
                  </w:r>
                  <w:r>
                    <w:rPr>
                      <w:rFonts w:hint="eastAsia" w:ascii="Times New Roman" w:hAnsi="Times New Roman" w:eastAsia="宋体" w:cs="Times New Roman"/>
                      <w:b w:val="0"/>
                      <w:color w:val="auto"/>
                      <w:kern w:val="2"/>
                      <w:sz w:val="21"/>
                      <w:szCs w:val="21"/>
                      <w:lang w:val="en-US" w:eastAsia="zh-CN" w:bidi="ar-SA"/>
                    </w:rPr>
                    <w:t>日1</w:t>
                  </w:r>
                  <w:r>
                    <w:rPr>
                      <w:rFonts w:hint="eastAsia" w:eastAsia="宋体" w:cs="Times New Roman"/>
                      <w:b w:val="0"/>
                      <w:color w:val="auto"/>
                      <w:kern w:val="2"/>
                      <w:sz w:val="21"/>
                      <w:szCs w:val="21"/>
                      <w:lang w:val="en-US" w:eastAsia="zh-CN" w:bidi="ar-SA"/>
                    </w:rPr>
                    <w:t>9</w:t>
                  </w:r>
                  <w:r>
                    <w:rPr>
                      <w:rFonts w:hint="eastAsia" w:ascii="Times New Roman" w:hAnsi="Times New Roman" w:eastAsia="宋体" w:cs="Times New Roman"/>
                      <w:b w:val="0"/>
                      <w:color w:val="auto"/>
                      <w:kern w:val="2"/>
                      <w:sz w:val="21"/>
                      <w:szCs w:val="21"/>
                      <w:lang w:val="en-US" w:eastAsia="zh-CN" w:bidi="ar-SA"/>
                    </w:rPr>
                    <w:t>:</w:t>
                  </w:r>
                  <w:r>
                    <w:rPr>
                      <w:rFonts w:hint="eastAsia" w:eastAsia="宋体" w:cs="Times New Roman"/>
                      <w:b w:val="0"/>
                      <w:color w:val="auto"/>
                      <w:kern w:val="2"/>
                      <w:sz w:val="21"/>
                      <w:szCs w:val="21"/>
                      <w:lang w:val="en-US" w:eastAsia="zh-CN" w:bidi="ar-SA"/>
                    </w:rPr>
                    <w:t>30</w:t>
                  </w:r>
                </w:p>
              </w:tc>
              <w:tc>
                <w:tcPr>
                  <w:tcW w:w="695" w:type="pct"/>
                  <w:tcBorders>
                    <w:tl2br w:val="nil"/>
                    <w:tr2bl w:val="nil"/>
                  </w:tcBorders>
                  <w:shd w:val="clear" w:color="auto" w:fill="auto"/>
                  <w:vAlign w:val="center"/>
                  <w:tcPrChange w:id="16" w:author="尕毛毛" w:date="2023-07-26T10:35:01Z">
                    <w:tcPr>
                      <w:tcW w:w="1260" w:type="pct"/>
                      <w:tcBorders>
                        <w:tl2br w:val="nil"/>
                        <w:tr2bl w:val="nil"/>
                      </w:tcBorders>
                      <w:shd w:val="clear" w:color="auto" w:fill="auto"/>
                      <w:vAlign w:val="center"/>
                    </w:tcPr>
                  </w:tcPrChange>
                </w:tcPr>
                <w:p>
                  <w:pPr>
                    <w:pStyle w:val="103"/>
                    <w:ind w:left="-63" w:right="-63"/>
                    <w:rPr>
                      <w:rFonts w:hint="default" w:eastAsia="宋体"/>
                      <w:color w:val="auto"/>
                      <w:lang w:val="en-US" w:eastAsia="zh-CN"/>
                    </w:rPr>
                  </w:pPr>
                  <w:r>
                    <w:rPr>
                      <w:rFonts w:hint="eastAsia"/>
                      <w:color w:val="auto"/>
                    </w:rPr>
                    <w:t>0</w:t>
                  </w:r>
                  <w:r>
                    <w:rPr>
                      <w:rFonts w:hint="eastAsia"/>
                      <w:color w:val="auto"/>
                      <w:lang w:val="en-US" w:eastAsia="zh-CN"/>
                    </w:rPr>
                    <w:t>.149</w:t>
                  </w:r>
                </w:p>
              </w:tc>
              <w:tc>
                <w:tcPr>
                  <w:tcW w:w="729" w:type="pct"/>
                  <w:vMerge w:val="continue"/>
                  <w:tcBorders>
                    <w:tl2br w:val="nil"/>
                    <w:tr2bl w:val="nil"/>
                  </w:tcBorders>
                  <w:shd w:val="clear" w:color="auto" w:fill="auto"/>
                  <w:vAlign w:val="center"/>
                  <w:tcPrChange w:id="17" w:author="尕毛毛" w:date="2023-07-26T10:35:01Z">
                    <w:tcPr>
                      <w:tcW w:w="1050" w:type="pct"/>
                      <w:vMerge w:val="continue"/>
                      <w:tcBorders>
                        <w:tl2br w:val="nil"/>
                        <w:tr2bl w:val="nil"/>
                      </w:tcBorders>
                      <w:shd w:val="clear" w:color="auto" w:fill="auto"/>
                      <w:vAlign w:val="center"/>
                    </w:tcPr>
                  </w:tcPrChange>
                </w:tcPr>
                <w:p>
                  <w:pPr>
                    <w:pStyle w:val="103"/>
                    <w:ind w:left="-63" w:right="-63"/>
                    <w:rPr>
                      <w:color w:val="auto"/>
                    </w:rPr>
                  </w:pPr>
                </w:p>
              </w:tc>
              <w:tc>
                <w:tcPr>
                  <w:tcW w:w="623" w:type="pct"/>
                  <w:tcBorders>
                    <w:tl2br w:val="nil"/>
                    <w:tr2bl w:val="nil"/>
                  </w:tcBorders>
                  <w:shd w:val="clear" w:color="auto" w:fill="auto"/>
                  <w:vAlign w:val="center"/>
                  <w:tcPrChange w:id="18" w:author="尕毛毛" w:date="2023-07-26T10:35:01Z">
                    <w:tcPr>
                      <w:tcW w:w="624" w:type="pct"/>
                      <w:tcBorders>
                        <w:tl2br w:val="nil"/>
                        <w:tr2bl w:val="nil"/>
                      </w:tcBorders>
                      <w:shd w:val="clear" w:color="auto" w:fill="auto"/>
                      <w:vAlign w:val="center"/>
                    </w:tcPr>
                  </w:tcPrChange>
                </w:tcPr>
                <w:p>
                  <w:pPr>
                    <w:pStyle w:val="103"/>
                    <w:ind w:left="-63" w:right="-63"/>
                    <w:rPr>
                      <w:rFonts w:hint="default" w:eastAsia="宋体"/>
                      <w:color w:val="auto"/>
                      <w:lang w:val="en-US" w:eastAsia="zh-CN"/>
                    </w:rPr>
                  </w:pPr>
                  <w:r>
                    <w:rPr>
                      <w:rFonts w:hint="eastAsia"/>
                      <w:color w:val="auto"/>
                      <w:lang w:val="en-US" w:eastAsia="zh-CN"/>
                    </w:rPr>
                    <w:t>49.67</w:t>
                  </w:r>
                </w:p>
              </w:tc>
              <w:tc>
                <w:tcPr>
                  <w:tcW w:w="859" w:type="pct"/>
                  <w:tcBorders>
                    <w:tl2br w:val="nil"/>
                    <w:tr2bl w:val="nil"/>
                  </w:tcBorders>
                  <w:shd w:val="clear" w:color="auto" w:fill="auto"/>
                  <w:vAlign w:val="center"/>
                  <w:tcPrChange w:id="19" w:author="尕毛毛" w:date="2023-07-26T10:35:01Z">
                    <w:tcPr>
                      <w:tcW w:w="859" w:type="pct"/>
                      <w:tcBorders>
                        <w:tl2br w:val="nil"/>
                        <w:tr2bl w:val="nil"/>
                      </w:tcBorders>
                      <w:shd w:val="clear" w:color="auto" w:fill="auto"/>
                      <w:vAlign w:val="center"/>
                    </w:tcPr>
                  </w:tcPrChange>
                </w:tcPr>
                <w:p>
                  <w:pPr>
                    <w:pStyle w:val="103"/>
                    <w:ind w:left="-63" w:right="-63"/>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0" w:author="尕毛毛" w:date="2023-07-26T10:35:01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53" w:hRule="atLeast"/>
                <w:trPrChange w:id="20" w:author="尕毛毛" w:date="2023-07-26T10:35:01Z">
                  <w:trPr>
                    <w:trHeight w:val="253" w:hRule="atLeast"/>
                  </w:trPr>
                </w:trPrChange>
              </w:trPr>
              <w:tc>
                <w:tcPr>
                  <w:tcW w:w="2092" w:type="pct"/>
                  <w:tcBorders>
                    <w:tl2br w:val="nil"/>
                    <w:tr2bl w:val="nil"/>
                  </w:tcBorders>
                  <w:shd w:val="clear" w:color="auto" w:fill="auto"/>
                  <w:vAlign w:val="top"/>
                  <w:tcPrChange w:id="21" w:author="尕毛毛" w:date="2023-07-26T10:35:01Z">
                    <w:tcPr>
                      <w:tcW w:w="1980" w:type="dxa"/>
                      <w:tcBorders>
                        <w:tl2br w:val="nil"/>
                        <w:tr2bl w:val="nil"/>
                      </w:tcBorders>
                      <w:shd w:val="clear" w:color="auto" w:fill="auto"/>
                      <w:vAlign w:val="top"/>
                    </w:tcPr>
                  </w:tcPrChange>
                </w:tcPr>
                <w:p>
                  <w:pPr>
                    <w:spacing w:line="240" w:lineRule="auto"/>
                    <w:jc w:val="center"/>
                    <w:rPr>
                      <w:color w:val="auto"/>
                    </w:rPr>
                  </w:pPr>
                  <w:r>
                    <w:rPr>
                      <w:rFonts w:hint="eastAsia" w:ascii="Times New Roman" w:hAnsi="Times New Roman" w:eastAsia="宋体" w:cs="Times New Roman"/>
                      <w:b w:val="0"/>
                      <w:color w:val="auto"/>
                      <w:kern w:val="2"/>
                      <w:sz w:val="21"/>
                      <w:szCs w:val="21"/>
                      <w:lang w:val="en-US" w:eastAsia="zh-CN" w:bidi="ar-SA"/>
                    </w:rPr>
                    <w:t>202</w:t>
                  </w:r>
                  <w:r>
                    <w:rPr>
                      <w:rFonts w:hint="eastAsia" w:eastAsia="宋体" w:cs="Times New Roman"/>
                      <w:b w:val="0"/>
                      <w:color w:val="auto"/>
                      <w:kern w:val="2"/>
                      <w:sz w:val="21"/>
                      <w:szCs w:val="21"/>
                      <w:lang w:val="en-US" w:eastAsia="zh-CN" w:bidi="ar-SA"/>
                    </w:rPr>
                    <w:t>3</w:t>
                  </w:r>
                  <w:r>
                    <w:rPr>
                      <w:rFonts w:hint="eastAsia" w:ascii="Times New Roman" w:hAnsi="Times New Roman" w:eastAsia="宋体" w:cs="Times New Roman"/>
                      <w:b w:val="0"/>
                      <w:color w:val="auto"/>
                      <w:kern w:val="2"/>
                      <w:sz w:val="21"/>
                      <w:szCs w:val="21"/>
                      <w:lang w:val="en-US" w:eastAsia="zh-CN" w:bidi="ar-SA"/>
                    </w:rPr>
                    <w:t>年</w:t>
                  </w:r>
                  <w:r>
                    <w:rPr>
                      <w:rFonts w:hint="eastAsia" w:eastAsia="宋体" w:cs="Times New Roman"/>
                      <w:b w:val="0"/>
                      <w:color w:val="auto"/>
                      <w:kern w:val="2"/>
                      <w:sz w:val="21"/>
                      <w:szCs w:val="21"/>
                      <w:lang w:val="en-US" w:eastAsia="zh-CN" w:bidi="ar-SA"/>
                    </w:rPr>
                    <w:t>7</w:t>
                  </w:r>
                  <w:r>
                    <w:rPr>
                      <w:rFonts w:hint="eastAsia" w:ascii="Times New Roman" w:hAnsi="Times New Roman" w:eastAsia="宋体" w:cs="Times New Roman"/>
                      <w:b w:val="0"/>
                      <w:color w:val="auto"/>
                      <w:kern w:val="2"/>
                      <w:sz w:val="21"/>
                      <w:szCs w:val="21"/>
                      <w:lang w:val="en-US" w:eastAsia="zh-CN" w:bidi="ar-SA"/>
                    </w:rPr>
                    <w:t>月</w:t>
                  </w:r>
                  <w:r>
                    <w:rPr>
                      <w:rFonts w:hint="eastAsia" w:eastAsia="宋体" w:cs="Times New Roman"/>
                      <w:b w:val="0"/>
                      <w:color w:val="auto"/>
                      <w:kern w:val="2"/>
                      <w:sz w:val="21"/>
                      <w:szCs w:val="21"/>
                      <w:lang w:val="en-US" w:eastAsia="zh-CN" w:bidi="ar-SA"/>
                    </w:rPr>
                    <w:t>12</w:t>
                  </w:r>
                  <w:r>
                    <w:rPr>
                      <w:rFonts w:hint="eastAsia" w:ascii="Times New Roman" w:hAnsi="Times New Roman" w:eastAsia="宋体" w:cs="Times New Roman"/>
                      <w:b w:val="0"/>
                      <w:color w:val="auto"/>
                      <w:kern w:val="2"/>
                      <w:sz w:val="21"/>
                      <w:szCs w:val="21"/>
                      <w:lang w:val="en-US" w:eastAsia="zh-CN" w:bidi="ar-SA"/>
                    </w:rPr>
                    <w:t>日1</w:t>
                  </w:r>
                  <w:r>
                    <w:rPr>
                      <w:rFonts w:hint="eastAsia" w:eastAsia="宋体" w:cs="Times New Roman"/>
                      <w:b w:val="0"/>
                      <w:color w:val="auto"/>
                      <w:kern w:val="2"/>
                      <w:sz w:val="21"/>
                      <w:szCs w:val="21"/>
                      <w:lang w:val="en-US" w:eastAsia="zh-CN" w:bidi="ar-SA"/>
                    </w:rPr>
                    <w:t>9</w:t>
                  </w:r>
                  <w:r>
                    <w:rPr>
                      <w:rFonts w:hint="eastAsia" w:ascii="Times New Roman" w:hAnsi="Times New Roman" w:eastAsia="宋体" w:cs="Times New Roman"/>
                      <w:b w:val="0"/>
                      <w:color w:val="auto"/>
                      <w:kern w:val="2"/>
                      <w:sz w:val="21"/>
                      <w:szCs w:val="21"/>
                      <w:lang w:val="en-US" w:eastAsia="zh-CN" w:bidi="ar-SA"/>
                    </w:rPr>
                    <w:t>:</w:t>
                  </w:r>
                  <w:r>
                    <w:rPr>
                      <w:rFonts w:hint="eastAsia" w:eastAsia="宋体" w:cs="Times New Roman"/>
                      <w:b w:val="0"/>
                      <w:color w:val="auto"/>
                      <w:kern w:val="2"/>
                      <w:sz w:val="21"/>
                      <w:szCs w:val="21"/>
                      <w:lang w:val="en-US" w:eastAsia="zh-CN" w:bidi="ar-SA"/>
                    </w:rPr>
                    <w:t>37</w:t>
                  </w:r>
                  <w:r>
                    <w:rPr>
                      <w:rFonts w:hint="eastAsia" w:ascii="Times New Roman" w:hAnsi="Times New Roman" w:eastAsia="宋体" w:cs="Times New Roman"/>
                      <w:b w:val="0"/>
                      <w:color w:val="auto"/>
                      <w:kern w:val="2"/>
                      <w:sz w:val="21"/>
                      <w:szCs w:val="21"/>
                      <w:lang w:val="en-US" w:eastAsia="zh-CN" w:bidi="ar-SA"/>
                    </w:rPr>
                    <w:t>-202</w:t>
                  </w:r>
                  <w:r>
                    <w:rPr>
                      <w:rFonts w:hint="eastAsia" w:eastAsia="宋体" w:cs="Times New Roman"/>
                      <w:b w:val="0"/>
                      <w:color w:val="auto"/>
                      <w:kern w:val="2"/>
                      <w:sz w:val="21"/>
                      <w:szCs w:val="21"/>
                      <w:lang w:val="en-US" w:eastAsia="zh-CN" w:bidi="ar-SA"/>
                    </w:rPr>
                    <w:t>3</w:t>
                  </w:r>
                  <w:r>
                    <w:rPr>
                      <w:rFonts w:hint="eastAsia" w:ascii="Times New Roman" w:hAnsi="Times New Roman" w:eastAsia="宋体" w:cs="Times New Roman"/>
                      <w:b w:val="0"/>
                      <w:color w:val="auto"/>
                      <w:kern w:val="2"/>
                      <w:sz w:val="21"/>
                      <w:szCs w:val="21"/>
                      <w:lang w:val="en-US" w:eastAsia="zh-CN" w:bidi="ar-SA"/>
                    </w:rPr>
                    <w:t>年</w:t>
                  </w:r>
                  <w:r>
                    <w:rPr>
                      <w:rFonts w:hint="eastAsia" w:eastAsia="宋体" w:cs="Times New Roman"/>
                      <w:b w:val="0"/>
                      <w:color w:val="auto"/>
                      <w:kern w:val="2"/>
                      <w:sz w:val="21"/>
                      <w:szCs w:val="21"/>
                      <w:lang w:val="en-US" w:eastAsia="zh-CN" w:bidi="ar-SA"/>
                    </w:rPr>
                    <w:t>7</w:t>
                  </w:r>
                  <w:r>
                    <w:rPr>
                      <w:rFonts w:hint="eastAsia" w:ascii="Times New Roman" w:hAnsi="Times New Roman" w:eastAsia="宋体" w:cs="Times New Roman"/>
                      <w:b w:val="0"/>
                      <w:color w:val="auto"/>
                      <w:kern w:val="2"/>
                      <w:sz w:val="21"/>
                      <w:szCs w:val="21"/>
                      <w:lang w:val="en-US" w:eastAsia="zh-CN" w:bidi="ar-SA"/>
                    </w:rPr>
                    <w:t>月</w:t>
                  </w:r>
                  <w:r>
                    <w:rPr>
                      <w:rFonts w:hint="eastAsia" w:eastAsia="宋体" w:cs="Times New Roman"/>
                      <w:b w:val="0"/>
                      <w:color w:val="auto"/>
                      <w:kern w:val="2"/>
                      <w:sz w:val="21"/>
                      <w:szCs w:val="21"/>
                      <w:lang w:val="en-US" w:eastAsia="zh-CN" w:bidi="ar-SA"/>
                    </w:rPr>
                    <w:t>13</w:t>
                  </w:r>
                  <w:r>
                    <w:rPr>
                      <w:rFonts w:hint="eastAsia" w:ascii="Times New Roman" w:hAnsi="Times New Roman" w:eastAsia="宋体" w:cs="Times New Roman"/>
                      <w:b w:val="0"/>
                      <w:color w:val="auto"/>
                      <w:kern w:val="2"/>
                      <w:sz w:val="21"/>
                      <w:szCs w:val="21"/>
                      <w:lang w:val="en-US" w:eastAsia="zh-CN" w:bidi="ar-SA"/>
                    </w:rPr>
                    <w:t>日1</w:t>
                  </w:r>
                  <w:r>
                    <w:rPr>
                      <w:rFonts w:hint="eastAsia" w:eastAsia="宋体" w:cs="Times New Roman"/>
                      <w:b w:val="0"/>
                      <w:color w:val="auto"/>
                      <w:kern w:val="2"/>
                      <w:sz w:val="21"/>
                      <w:szCs w:val="21"/>
                      <w:lang w:val="en-US" w:eastAsia="zh-CN" w:bidi="ar-SA"/>
                    </w:rPr>
                    <w:t>9</w:t>
                  </w:r>
                  <w:r>
                    <w:rPr>
                      <w:rFonts w:hint="eastAsia" w:ascii="Times New Roman" w:hAnsi="Times New Roman" w:eastAsia="宋体" w:cs="Times New Roman"/>
                      <w:b w:val="0"/>
                      <w:color w:val="auto"/>
                      <w:kern w:val="2"/>
                      <w:sz w:val="21"/>
                      <w:szCs w:val="21"/>
                      <w:lang w:val="en-US" w:eastAsia="zh-CN" w:bidi="ar-SA"/>
                    </w:rPr>
                    <w:t>:</w:t>
                  </w:r>
                  <w:r>
                    <w:rPr>
                      <w:rFonts w:hint="eastAsia" w:eastAsia="宋体" w:cs="Times New Roman"/>
                      <w:b w:val="0"/>
                      <w:color w:val="auto"/>
                      <w:kern w:val="2"/>
                      <w:sz w:val="21"/>
                      <w:szCs w:val="21"/>
                      <w:lang w:val="en-US" w:eastAsia="zh-CN" w:bidi="ar-SA"/>
                    </w:rPr>
                    <w:t>37</w:t>
                  </w:r>
                </w:p>
              </w:tc>
              <w:tc>
                <w:tcPr>
                  <w:tcW w:w="695" w:type="pct"/>
                  <w:tcBorders>
                    <w:tl2br w:val="nil"/>
                    <w:tr2bl w:val="nil"/>
                  </w:tcBorders>
                  <w:shd w:val="clear" w:color="auto" w:fill="auto"/>
                  <w:vAlign w:val="center"/>
                  <w:tcPrChange w:id="22" w:author="尕毛毛" w:date="2023-07-26T10:35:01Z">
                    <w:tcPr>
                      <w:tcW w:w="1260" w:type="pct"/>
                      <w:tcBorders>
                        <w:tl2br w:val="nil"/>
                        <w:tr2bl w:val="nil"/>
                      </w:tcBorders>
                      <w:shd w:val="clear" w:color="auto" w:fill="auto"/>
                      <w:vAlign w:val="center"/>
                    </w:tcPr>
                  </w:tcPrChange>
                </w:tcPr>
                <w:p>
                  <w:pPr>
                    <w:pStyle w:val="103"/>
                    <w:ind w:left="-63" w:right="-63"/>
                    <w:rPr>
                      <w:rFonts w:hint="default" w:eastAsia="宋体"/>
                      <w:color w:val="auto"/>
                      <w:lang w:val="en-US" w:eastAsia="zh-CN"/>
                    </w:rPr>
                  </w:pPr>
                  <w:r>
                    <w:rPr>
                      <w:rFonts w:hint="eastAsia"/>
                      <w:color w:val="auto"/>
                    </w:rPr>
                    <w:t>0.</w:t>
                  </w:r>
                  <w:r>
                    <w:rPr>
                      <w:rFonts w:hint="eastAsia"/>
                      <w:color w:val="auto"/>
                      <w:lang w:val="en-US" w:eastAsia="zh-CN"/>
                    </w:rPr>
                    <w:t>136</w:t>
                  </w:r>
                </w:p>
              </w:tc>
              <w:tc>
                <w:tcPr>
                  <w:tcW w:w="729" w:type="pct"/>
                  <w:vMerge w:val="continue"/>
                  <w:tcBorders>
                    <w:tl2br w:val="nil"/>
                    <w:tr2bl w:val="nil"/>
                  </w:tcBorders>
                  <w:shd w:val="clear" w:color="auto" w:fill="auto"/>
                  <w:vAlign w:val="center"/>
                  <w:tcPrChange w:id="23" w:author="尕毛毛" w:date="2023-07-26T10:35:01Z">
                    <w:tcPr>
                      <w:tcW w:w="1050" w:type="pct"/>
                      <w:vMerge w:val="continue"/>
                      <w:tcBorders>
                        <w:tl2br w:val="nil"/>
                        <w:tr2bl w:val="nil"/>
                      </w:tcBorders>
                      <w:shd w:val="clear" w:color="auto" w:fill="auto"/>
                      <w:vAlign w:val="center"/>
                    </w:tcPr>
                  </w:tcPrChange>
                </w:tcPr>
                <w:p>
                  <w:pPr>
                    <w:pStyle w:val="103"/>
                    <w:ind w:left="-63" w:right="-63"/>
                    <w:rPr>
                      <w:color w:val="auto"/>
                    </w:rPr>
                  </w:pPr>
                </w:p>
              </w:tc>
              <w:tc>
                <w:tcPr>
                  <w:tcW w:w="623" w:type="pct"/>
                  <w:tcBorders>
                    <w:tl2br w:val="nil"/>
                    <w:tr2bl w:val="nil"/>
                  </w:tcBorders>
                  <w:shd w:val="clear" w:color="auto" w:fill="auto"/>
                  <w:vAlign w:val="center"/>
                  <w:tcPrChange w:id="24" w:author="尕毛毛" w:date="2023-07-26T10:35:01Z">
                    <w:tcPr>
                      <w:tcW w:w="624" w:type="pct"/>
                      <w:tcBorders>
                        <w:tl2br w:val="nil"/>
                        <w:tr2bl w:val="nil"/>
                      </w:tcBorders>
                      <w:shd w:val="clear" w:color="auto" w:fill="auto"/>
                      <w:vAlign w:val="center"/>
                    </w:tcPr>
                  </w:tcPrChange>
                </w:tcPr>
                <w:p>
                  <w:pPr>
                    <w:pStyle w:val="103"/>
                    <w:ind w:left="-63" w:right="-63"/>
                    <w:rPr>
                      <w:rFonts w:hint="default" w:eastAsia="宋体"/>
                      <w:color w:val="auto"/>
                      <w:lang w:val="en-US" w:eastAsia="zh-CN"/>
                    </w:rPr>
                  </w:pPr>
                  <w:r>
                    <w:rPr>
                      <w:rFonts w:hint="eastAsia"/>
                      <w:color w:val="auto"/>
                      <w:lang w:val="en-US" w:eastAsia="zh-CN"/>
                    </w:rPr>
                    <w:t>45.33</w:t>
                  </w:r>
                </w:p>
              </w:tc>
              <w:tc>
                <w:tcPr>
                  <w:tcW w:w="859" w:type="pct"/>
                  <w:tcBorders>
                    <w:tl2br w:val="nil"/>
                    <w:tr2bl w:val="nil"/>
                  </w:tcBorders>
                  <w:shd w:val="clear" w:color="auto" w:fill="auto"/>
                  <w:vAlign w:val="center"/>
                  <w:tcPrChange w:id="25" w:author="尕毛毛" w:date="2023-07-26T10:35:01Z">
                    <w:tcPr>
                      <w:tcW w:w="859" w:type="pct"/>
                      <w:tcBorders>
                        <w:tl2br w:val="nil"/>
                        <w:tr2bl w:val="nil"/>
                      </w:tcBorders>
                      <w:shd w:val="clear" w:color="auto" w:fill="auto"/>
                      <w:vAlign w:val="center"/>
                    </w:tcPr>
                  </w:tcPrChange>
                </w:tcPr>
                <w:p>
                  <w:pPr>
                    <w:pStyle w:val="103"/>
                    <w:ind w:left="-63" w:right="-63"/>
                    <w:rPr>
                      <w:color w:val="auto"/>
                    </w:rPr>
                  </w:pPr>
                  <w:r>
                    <w:rPr>
                      <w:rFonts w:hint="eastAsia"/>
                      <w:color w:val="auto"/>
                    </w:rPr>
                    <w:t>达标</w:t>
                  </w:r>
                </w:p>
              </w:tc>
            </w:tr>
          </w:tbl>
          <w:p>
            <w:pPr>
              <w:pStyle w:val="69"/>
              <w:rPr>
                <w:color w:val="auto"/>
              </w:rPr>
            </w:pPr>
            <w:r>
              <w:rPr>
                <w:rFonts w:hint="eastAsia"/>
                <w:color w:val="auto"/>
              </w:rPr>
              <w:t>根据监测结果可知，项目区域</w:t>
            </w:r>
            <w:r>
              <w:rPr>
                <w:color w:val="auto"/>
              </w:rPr>
              <w:t>总悬浮颗粒物（TSP）</w:t>
            </w:r>
            <w:r>
              <w:rPr>
                <w:rFonts w:hint="eastAsia"/>
                <w:color w:val="auto"/>
              </w:rPr>
              <w:t>满足</w:t>
            </w:r>
            <w:r>
              <w:rPr>
                <w:color w:val="auto"/>
              </w:rPr>
              <w:t>《环境空气质量标准》（GB3095-2012）中二级</w:t>
            </w:r>
            <w:r>
              <w:rPr>
                <w:rFonts w:hint="eastAsia"/>
                <w:color w:val="auto"/>
              </w:rPr>
              <w:t>及相关</w:t>
            </w:r>
            <w:r>
              <w:rPr>
                <w:color w:val="auto"/>
              </w:rPr>
              <w:t>标准限值</w:t>
            </w:r>
            <w:r>
              <w:rPr>
                <w:rFonts w:hint="eastAsia"/>
                <w:color w:val="auto"/>
              </w:rPr>
              <w:t>要求。</w:t>
            </w:r>
          </w:p>
          <w:p>
            <w:pPr>
              <w:autoSpaceDE w:val="0"/>
              <w:autoSpaceDN w:val="0"/>
              <w:adjustRightInd w:val="0"/>
              <w:spacing w:line="520" w:lineRule="exact"/>
              <w:ind w:firstLine="482" w:firstLineChars="200"/>
              <w:rPr>
                <w:b/>
                <w:bCs/>
                <w:color w:val="auto"/>
                <w:sz w:val="24"/>
              </w:rPr>
            </w:pPr>
            <w:r>
              <w:rPr>
                <w:rFonts w:hint="eastAsia"/>
                <w:b/>
                <w:bCs/>
                <w:color w:val="auto"/>
                <w:sz w:val="24"/>
              </w:rPr>
              <w:t>2、</w:t>
            </w:r>
            <w:r>
              <w:rPr>
                <w:b/>
                <w:bCs/>
                <w:color w:val="auto"/>
                <w:sz w:val="24"/>
              </w:rPr>
              <w:t>水环境</w:t>
            </w:r>
          </w:p>
          <w:p>
            <w:pPr>
              <w:autoSpaceDE w:val="0"/>
              <w:autoSpaceDN w:val="0"/>
              <w:adjustRightInd w:val="0"/>
              <w:spacing w:line="520" w:lineRule="exact"/>
              <w:ind w:firstLine="482" w:firstLineChars="200"/>
              <w:rPr>
                <w:b/>
                <w:bCs/>
                <w:color w:val="auto"/>
                <w:sz w:val="24"/>
              </w:rPr>
            </w:pPr>
            <w:r>
              <w:rPr>
                <w:rFonts w:hint="eastAsia"/>
                <w:b/>
                <w:bCs/>
                <w:color w:val="auto"/>
                <w:sz w:val="24"/>
              </w:rPr>
              <w:t>2.1地表水</w:t>
            </w:r>
          </w:p>
          <w:p>
            <w:pPr>
              <w:pStyle w:val="69"/>
              <w:rPr>
                <w:color w:val="auto"/>
              </w:rPr>
            </w:pPr>
            <w:r>
              <w:rPr>
                <w:rFonts w:hint="eastAsia"/>
                <w:color w:val="auto"/>
                <w:lang w:val="zh-CN"/>
              </w:rPr>
              <w:t>本项目营运过程中产生的生产废水经沉淀池沉淀后回用于生产，</w:t>
            </w:r>
            <w:r>
              <w:rPr>
                <w:color w:val="auto"/>
              </w:rPr>
              <w:t>生活污水排入防渗化粪池收集，吸污车清运至</w:t>
            </w:r>
            <w:r>
              <w:rPr>
                <w:rFonts w:hint="eastAsia"/>
                <w:color w:val="auto"/>
              </w:rPr>
              <w:t>奎屯市中区污水处理厂</w:t>
            </w:r>
            <w:r>
              <w:rPr>
                <w:rFonts w:hint="eastAsia"/>
                <w:color w:val="auto"/>
                <w:lang w:val="zh-CN"/>
              </w:rPr>
              <w:t>。项目运行不存在对地表水环境造成影响。根据《环境影响评价技术导则 地表水环境》（HJ2.3-2018）中表1水污染影响型建设项目评价等级判定表判定，该项目评价等级为三级B，因此本次评价不开展地表水质量现状调查。</w:t>
            </w:r>
          </w:p>
          <w:p>
            <w:pPr>
              <w:pStyle w:val="69"/>
              <w:ind w:firstLine="482"/>
              <w:rPr>
                <w:b/>
                <w:bCs/>
                <w:color w:val="auto"/>
              </w:rPr>
            </w:pPr>
            <w:r>
              <w:rPr>
                <w:rFonts w:hint="eastAsia"/>
                <w:b/>
                <w:bCs/>
                <w:color w:val="auto"/>
              </w:rPr>
              <w:t>2.2地下水</w:t>
            </w:r>
            <w:r>
              <w:rPr>
                <w:rStyle w:val="36"/>
                <w:rFonts w:hint="eastAsia" w:cs="Times New Roman"/>
                <w:b/>
                <w:bCs/>
                <w:snapToGrid/>
                <w:color w:val="auto"/>
                <w:kern w:val="0"/>
                <w:sz w:val="24"/>
                <w:szCs w:val="22"/>
              </w:rPr>
              <w:t>、土壤环境</w:t>
            </w:r>
          </w:p>
          <w:p>
            <w:pPr>
              <w:pStyle w:val="69"/>
              <w:rPr>
                <w:color w:val="auto"/>
              </w:rPr>
            </w:pPr>
            <w:r>
              <w:rPr>
                <w:rFonts w:hint="eastAsia"/>
                <w:color w:val="auto"/>
              </w:rPr>
              <w:t>按照《关于印发《建设项目环境影响报告表》内容、格式及编制技术指南的通知》（环办环评〔2020〕33号）的要求：“建设项目存在土壤、地下水环境污染途径的，应结合污染源、保护目标分布情况开展现状调查以留作背景值。”本项目为混凝土搅拌站及预制构件建设项目，</w:t>
            </w:r>
            <w:r>
              <w:rPr>
                <w:rFonts w:hint="eastAsia"/>
                <w:color w:val="auto"/>
                <w:lang w:val="zh-CN"/>
              </w:rPr>
              <w:t>本项目营运过程中产生的生产废水经沉淀池沉淀后回用于生产，</w:t>
            </w:r>
            <w:r>
              <w:rPr>
                <w:rFonts w:cs="Times New Roman"/>
                <w:color w:val="auto"/>
              </w:rPr>
              <w:t>生活污水排入防渗化粪池收集，吸污车清运至</w:t>
            </w:r>
            <w:r>
              <w:rPr>
                <w:rFonts w:hint="eastAsia" w:cs="Times New Roman"/>
                <w:color w:val="auto"/>
              </w:rPr>
              <w:t>奎屯市中区污水处理厂</w:t>
            </w:r>
            <w:r>
              <w:rPr>
                <w:rFonts w:hint="eastAsia"/>
                <w:color w:val="auto"/>
              </w:rPr>
              <w:t>，正常情况下不存在土壤、地下水环境污染途径的。无需展开地下水和土壤环境质量现状调查。</w:t>
            </w:r>
          </w:p>
          <w:p>
            <w:pPr>
              <w:autoSpaceDE w:val="0"/>
              <w:autoSpaceDN w:val="0"/>
              <w:adjustRightInd w:val="0"/>
              <w:spacing w:line="520" w:lineRule="exact"/>
              <w:ind w:firstLine="482" w:firstLineChars="200"/>
              <w:rPr>
                <w:b/>
                <w:bCs/>
                <w:color w:val="auto"/>
                <w:sz w:val="24"/>
              </w:rPr>
            </w:pPr>
            <w:r>
              <w:rPr>
                <w:rFonts w:hint="eastAsia"/>
                <w:b/>
                <w:bCs/>
                <w:color w:val="auto"/>
                <w:sz w:val="24"/>
              </w:rPr>
              <w:t>3、</w:t>
            </w:r>
            <w:r>
              <w:rPr>
                <w:b/>
                <w:bCs/>
                <w:color w:val="auto"/>
                <w:sz w:val="24"/>
              </w:rPr>
              <w:t>声环境</w:t>
            </w:r>
          </w:p>
          <w:p>
            <w:pPr>
              <w:autoSpaceDE w:val="0"/>
              <w:autoSpaceDN w:val="0"/>
              <w:adjustRightInd w:val="0"/>
              <w:spacing w:line="520" w:lineRule="exact"/>
              <w:ind w:firstLine="480" w:firstLineChars="200"/>
              <w:rPr>
                <w:color w:val="auto"/>
                <w:sz w:val="24"/>
                <w:lang w:val="zh-CN"/>
              </w:rPr>
            </w:pPr>
            <w:r>
              <w:rPr>
                <w:rFonts w:hint="eastAsia"/>
                <w:color w:val="auto"/>
                <w:sz w:val="24"/>
              </w:rPr>
              <w:t>项目</w:t>
            </w:r>
            <w:r>
              <w:rPr>
                <w:rFonts w:hint="eastAsia" w:cs="宋体"/>
                <w:snapToGrid w:val="0"/>
                <w:color w:val="auto"/>
                <w:sz w:val="24"/>
              </w:rPr>
              <w:t>位于第七师131团10连</w:t>
            </w:r>
            <w:r>
              <w:rPr>
                <w:rFonts w:hint="eastAsia" w:cs="宋体"/>
                <w:snapToGrid w:val="0"/>
                <w:color w:val="auto"/>
                <w:sz w:val="24"/>
                <w:lang w:val="en-US" w:eastAsia="zh-CN"/>
              </w:rPr>
              <w:t>011号</w:t>
            </w:r>
            <w:r>
              <w:rPr>
                <w:rFonts w:hint="eastAsia"/>
                <w:color w:val="auto"/>
                <w:sz w:val="24"/>
              </w:rPr>
              <w:t>，中心地理坐标为：东经84°49′32.280″，北纬44°27′24.250″。</w:t>
            </w:r>
            <w:r>
              <w:rPr>
                <w:rFonts w:hint="eastAsia"/>
                <w:color w:val="auto"/>
                <w:sz w:val="24"/>
                <w:lang w:val="zh-CN"/>
              </w:rPr>
              <w:t>项目用地属于</w:t>
            </w:r>
            <w:r>
              <w:rPr>
                <w:rFonts w:hint="eastAsia"/>
                <w:color w:val="auto"/>
                <w:sz w:val="24"/>
              </w:rPr>
              <w:t>工业</w:t>
            </w:r>
            <w:r>
              <w:rPr>
                <w:rFonts w:hint="eastAsia"/>
                <w:color w:val="auto"/>
                <w:sz w:val="24"/>
                <w:lang w:val="en-US" w:eastAsia="zh-CN"/>
              </w:rPr>
              <w:t>用</w:t>
            </w:r>
            <w:r>
              <w:rPr>
                <w:rFonts w:hint="eastAsia"/>
                <w:color w:val="auto"/>
                <w:sz w:val="24"/>
              </w:rPr>
              <w:t>地</w:t>
            </w:r>
            <w:r>
              <w:rPr>
                <w:rFonts w:hint="eastAsia"/>
                <w:color w:val="auto"/>
                <w:sz w:val="24"/>
                <w:lang w:val="zh-CN"/>
              </w:rPr>
              <w:t>，项目所在区域属于</w:t>
            </w:r>
            <w:r>
              <w:rPr>
                <w:rFonts w:hint="eastAsia"/>
                <w:color w:val="auto"/>
                <w:sz w:val="24"/>
              </w:rPr>
              <w:t>2</w:t>
            </w:r>
            <w:r>
              <w:rPr>
                <w:rFonts w:hint="eastAsia"/>
                <w:color w:val="auto"/>
                <w:sz w:val="24"/>
                <w:lang w:val="zh-CN"/>
              </w:rPr>
              <w:t>类区域，执行《声环境质量标准》（GB3096-2008）</w:t>
            </w:r>
            <w:r>
              <w:rPr>
                <w:rFonts w:hint="eastAsia"/>
                <w:color w:val="auto"/>
                <w:sz w:val="24"/>
              </w:rPr>
              <w:t>2</w:t>
            </w:r>
            <w:r>
              <w:rPr>
                <w:rFonts w:hint="eastAsia"/>
                <w:color w:val="auto"/>
                <w:sz w:val="24"/>
                <w:lang w:val="zh-CN"/>
              </w:rPr>
              <w:t>类标准，即昼间</w:t>
            </w:r>
            <w:r>
              <w:rPr>
                <w:color w:val="auto"/>
                <w:sz w:val="24"/>
                <w:lang w:val="zh-CN"/>
              </w:rPr>
              <w:t>≤</w:t>
            </w:r>
            <w:r>
              <w:rPr>
                <w:rFonts w:hint="eastAsia"/>
                <w:color w:val="auto"/>
                <w:sz w:val="24"/>
                <w:lang w:val="zh-CN"/>
              </w:rPr>
              <w:t>6</w:t>
            </w:r>
            <w:r>
              <w:rPr>
                <w:rFonts w:hint="eastAsia"/>
                <w:color w:val="auto"/>
                <w:sz w:val="24"/>
              </w:rPr>
              <w:t>0</w:t>
            </w:r>
            <w:r>
              <w:rPr>
                <w:rFonts w:hint="eastAsia"/>
                <w:color w:val="auto"/>
                <w:sz w:val="24"/>
                <w:lang w:val="zh-CN"/>
              </w:rPr>
              <w:t>dB(A)、夜间</w:t>
            </w:r>
            <w:r>
              <w:rPr>
                <w:color w:val="auto"/>
                <w:sz w:val="24"/>
                <w:lang w:val="zh-CN"/>
              </w:rPr>
              <w:t>≤</w:t>
            </w:r>
            <w:r>
              <w:rPr>
                <w:rFonts w:hint="eastAsia"/>
                <w:color w:val="auto"/>
                <w:sz w:val="24"/>
                <w:lang w:val="zh-CN"/>
              </w:rPr>
              <w:t>5</w:t>
            </w:r>
            <w:r>
              <w:rPr>
                <w:rFonts w:hint="eastAsia"/>
                <w:color w:val="auto"/>
                <w:sz w:val="24"/>
              </w:rPr>
              <w:t>0</w:t>
            </w:r>
            <w:r>
              <w:rPr>
                <w:rFonts w:hint="eastAsia"/>
                <w:color w:val="auto"/>
                <w:sz w:val="24"/>
                <w:lang w:val="zh-CN"/>
              </w:rPr>
              <w:t>dB(A)。</w:t>
            </w:r>
          </w:p>
          <w:p>
            <w:pPr>
              <w:autoSpaceDE w:val="0"/>
              <w:autoSpaceDN w:val="0"/>
              <w:adjustRightInd w:val="0"/>
              <w:spacing w:line="520" w:lineRule="exact"/>
              <w:ind w:firstLine="480" w:firstLineChars="200"/>
              <w:rPr>
                <w:rFonts w:hint="eastAsia"/>
                <w:color w:val="auto"/>
                <w:sz w:val="24"/>
                <w:lang w:val="en-US" w:eastAsia="zh-CN"/>
              </w:rPr>
            </w:pPr>
            <w:r>
              <w:rPr>
                <w:rFonts w:hint="eastAsia"/>
                <w:color w:val="auto"/>
                <w:sz w:val="24"/>
                <w:lang w:val="zh-CN"/>
              </w:rPr>
              <w:t>本项目为新建项目，按照《关于印发《建设项目环境影响报告表》内容、格式及编制技术指南的通知》（环办环评〔2020〕33号）的要求：“厂界外周边50米范围内存在声环境保护目标的建设项目，应监测保护目标声环境质量现状并评价达标情况。”由于项目厂界外50m范围内不存在声环境保护目标，本次评价不对项目区进行现状监测。</w:t>
            </w:r>
            <w:r>
              <w:rPr>
                <w:rFonts w:hint="eastAsia"/>
                <w:color w:val="auto"/>
                <w:sz w:val="24"/>
                <w:lang w:val="en-US" w:eastAsia="zh-CN"/>
              </w:rPr>
              <w:t xml:space="preserve">                                      </w:t>
            </w:r>
          </w:p>
          <w:p>
            <w:pPr>
              <w:numPr>
                <w:ilvl w:val="0"/>
                <w:numId w:val="10"/>
              </w:numPr>
              <w:autoSpaceDE w:val="0"/>
              <w:autoSpaceDN w:val="0"/>
              <w:adjustRightInd w:val="0"/>
              <w:spacing w:line="520" w:lineRule="exact"/>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 xml:space="preserve">生态环境质量现场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b/>
                <w:bCs/>
                <w:color w:val="auto"/>
                <w:kern w:val="0"/>
                <w:sz w:val="24"/>
              </w:rPr>
              <w:t>（1）项目所在区域生态功能区划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根据《</w:t>
            </w:r>
            <w:r>
              <w:rPr>
                <w:rFonts w:hint="default" w:ascii="Times New Roman" w:hAnsi="Times New Roman" w:eastAsia="宋体" w:cs="Times New Roman"/>
                <w:color w:val="auto"/>
                <w:kern w:val="0"/>
                <w:sz w:val="24"/>
                <w:lang w:val="en-US" w:eastAsia="zh-CN"/>
              </w:rPr>
              <w:t>新疆生产建设兵团生态功能区划</w:t>
            </w:r>
            <w:r>
              <w:rPr>
                <w:rFonts w:hint="default" w:ascii="Times New Roman" w:hAnsi="Times New Roman" w:eastAsia="宋体" w:cs="Times New Roman"/>
                <w:color w:val="auto"/>
                <w:kern w:val="0"/>
                <w:sz w:val="24"/>
              </w:rPr>
              <w:t>》，项目位于</w:t>
            </w:r>
            <w:r>
              <w:rPr>
                <w:rFonts w:hint="default" w:ascii="Times New Roman" w:hAnsi="Times New Roman" w:eastAsia="宋体" w:cs="Times New Roman"/>
                <w:color w:val="auto"/>
                <w:kern w:val="0"/>
                <w:sz w:val="24"/>
                <w:lang w:val="en-US" w:eastAsia="zh-CN"/>
              </w:rPr>
              <w:t>兵团准噶尔盆地温带干旱荒漠与绿洲生态区</w:t>
            </w: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lang w:val="en-US" w:eastAsia="zh-CN"/>
              </w:rPr>
              <w:t>六、七、八、十二师准噶尔盆地南部灌木、半灌木荒漠、绿洲农业生态区</w:t>
            </w:r>
            <w:r>
              <w:rPr>
                <w:rFonts w:hint="default"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lang w:val="en-US" w:eastAsia="zh-CN"/>
              </w:rPr>
              <w:t>六、七、八师奎屯-石河子-五家渠镇与绿洲生态功能区</w:t>
            </w:r>
            <w:r>
              <w:rPr>
                <w:rFonts w:hint="default" w:ascii="Times New Roman" w:hAnsi="Times New Roman" w:eastAsia="宋体" w:cs="Times New Roman"/>
                <w:color w:val="auto"/>
                <w:kern w:val="0"/>
                <w:sz w:val="24"/>
              </w:rPr>
              <w:t>。项目所在区域生态功能区划见表</w:t>
            </w:r>
            <w:r>
              <w:rPr>
                <w:rFonts w:hint="default" w:ascii="Times New Roman" w:hAnsi="Times New Roman" w:eastAsia="宋体" w:cs="Times New Roman"/>
                <w:color w:val="auto"/>
                <w:kern w:val="0"/>
                <w:sz w:val="24"/>
                <w:lang w:val="en-US" w:eastAsia="zh-CN"/>
              </w:rPr>
              <w:t>3-3</w:t>
            </w:r>
            <w:r>
              <w:rPr>
                <w:rFonts w:hint="default" w:ascii="Times New Roman" w:hAnsi="Times New Roman" w:eastAsia="宋体" w:cs="Times New Roman"/>
                <w:color w:val="auto"/>
                <w:kern w:val="0"/>
                <w:sz w:val="24"/>
              </w:rPr>
              <w:t>。</w:t>
            </w:r>
          </w:p>
          <w:p>
            <w:pPr>
              <w:pStyle w:val="39"/>
              <w:bidi w:val="0"/>
              <w:rPr>
                <w:rFonts w:hint="default"/>
                <w:i/>
                <w:iCs/>
                <w:color w:val="auto"/>
              </w:rPr>
            </w:pPr>
            <w:r>
              <w:rPr>
                <w:rFonts w:hint="default"/>
                <w:i/>
                <w:iCs/>
                <w:color w:val="auto"/>
              </w:rPr>
              <w:t>表</w:t>
            </w:r>
            <w:r>
              <w:rPr>
                <w:rFonts w:hint="default"/>
                <w:i/>
                <w:iCs/>
                <w:color w:val="auto"/>
                <w:lang w:val="en-US" w:eastAsia="zh-CN"/>
              </w:rPr>
              <w:t>3-3</w:t>
            </w:r>
            <w:r>
              <w:rPr>
                <w:rFonts w:hint="default"/>
                <w:i/>
                <w:iCs/>
                <w:color w:val="auto"/>
              </w:rPr>
              <w:t xml:space="preserve">         项目所在区域生态功能区划</w:t>
            </w:r>
          </w:p>
          <w:tbl>
            <w:tblPr>
              <w:tblStyle w:val="30"/>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178"/>
              <w:gridCol w:w="62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pct"/>
                  <w:vMerge w:val="restar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生态功能分区单元</w:t>
                  </w:r>
                </w:p>
              </w:tc>
              <w:tc>
                <w:tcPr>
                  <w:tcW w:w="709" w:type="pc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生态区</w:t>
                  </w:r>
                </w:p>
              </w:tc>
              <w:tc>
                <w:tcPr>
                  <w:tcW w:w="3738" w:type="pc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 = 2 \* ROMAN </w:instrText>
                  </w:r>
                  <w:r>
                    <w:rPr>
                      <w:rFonts w:hint="default" w:ascii="Times New Roman" w:hAnsi="Times New Roman" w:eastAsia="宋体" w:cs="Times New Roman"/>
                      <w:color w:val="auto"/>
                      <w:szCs w:val="21"/>
                    </w:rPr>
                    <w:fldChar w:fldCharType="separate"/>
                  </w:r>
                  <w:r>
                    <w:rPr>
                      <w:rFonts w:hint="default" w:ascii="Times New Roman" w:hAnsi="Times New Roman" w:eastAsia="宋体" w:cs="Times New Roman"/>
                      <w:color w:val="auto"/>
                      <w:szCs w:val="21"/>
                    </w:rPr>
                    <w:t>II</w:t>
                  </w:r>
                  <w:r>
                    <w:rPr>
                      <w:rFonts w:hint="default" w:ascii="Times New Roman" w:hAnsi="Times New Roman" w:eastAsia="宋体" w:cs="Times New Roman"/>
                      <w:color w:val="auto"/>
                      <w:szCs w:val="21"/>
                    </w:rPr>
                    <w:fldChar w:fldCharType="end"/>
                  </w:r>
                  <w:r>
                    <w:rPr>
                      <w:rFonts w:hint="default" w:ascii="Times New Roman" w:hAnsi="Times New Roman" w:eastAsia="宋体" w:cs="Times New Roman"/>
                      <w:color w:val="auto"/>
                      <w:szCs w:val="21"/>
                      <w:lang w:val="en-US" w:eastAsia="zh-CN"/>
                    </w:rPr>
                    <w:t>兵团准噶尔盆地温带干旱荒漠与绿洲生态区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pct"/>
                  <w:vMerge w:val="continue"/>
                  <w:tcBorders>
                    <w:tl2br w:val="nil"/>
                    <w:tr2bl w:val="nil"/>
                  </w:tcBorders>
                  <w:noWrap w:val="0"/>
                  <w:vAlign w:val="center"/>
                </w:tcPr>
                <w:p>
                  <w:pPr>
                    <w:rPr>
                      <w:rFonts w:hint="default" w:ascii="Times New Roman" w:hAnsi="Times New Roman" w:eastAsia="宋体" w:cs="Times New Roman"/>
                      <w:color w:val="auto"/>
                    </w:rPr>
                  </w:pPr>
                </w:p>
              </w:tc>
              <w:tc>
                <w:tcPr>
                  <w:tcW w:w="709" w:type="pc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生态亚区</w:t>
                  </w:r>
                </w:p>
              </w:tc>
              <w:tc>
                <w:tcPr>
                  <w:tcW w:w="3738" w:type="pc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 = 2 \* ROMAN </w:instrText>
                  </w:r>
                  <w:r>
                    <w:rPr>
                      <w:rFonts w:hint="default" w:ascii="Times New Roman" w:hAnsi="Times New Roman" w:eastAsia="宋体" w:cs="Times New Roman"/>
                      <w:color w:val="auto"/>
                      <w:szCs w:val="21"/>
                    </w:rPr>
                    <w:fldChar w:fldCharType="separate"/>
                  </w:r>
                  <w:r>
                    <w:rPr>
                      <w:rFonts w:hint="default" w:ascii="Times New Roman" w:hAnsi="Times New Roman" w:eastAsia="宋体" w:cs="Times New Roman"/>
                      <w:color w:val="auto"/>
                      <w:szCs w:val="21"/>
                    </w:rPr>
                    <w:t>II</w:t>
                  </w:r>
                  <w:r>
                    <w:rPr>
                      <w:rFonts w:hint="default" w:ascii="Times New Roman" w:hAnsi="Times New Roman" w:eastAsia="宋体" w:cs="Times New Roman"/>
                      <w:color w:val="auto"/>
                      <w:szCs w:val="21"/>
                    </w:rPr>
                    <w:fldChar w:fldCharType="end"/>
                  </w:r>
                  <w:r>
                    <w:rPr>
                      <w:rFonts w:hint="default" w:ascii="Times New Roman" w:hAnsi="Times New Roman" w:eastAsia="宋体" w:cs="Times New Roman"/>
                      <w:color w:val="auto"/>
                      <w:szCs w:val="21"/>
                      <w:vertAlign w:val="subscript"/>
                      <w:lang w:val="en-US" w:eastAsia="zh-CN"/>
                    </w:rPr>
                    <w:t>3</w:t>
                  </w:r>
                  <w:r>
                    <w:rPr>
                      <w:rFonts w:hint="default" w:ascii="Times New Roman" w:hAnsi="Times New Roman" w:eastAsia="宋体" w:cs="Times New Roman"/>
                      <w:color w:val="auto"/>
                      <w:szCs w:val="21"/>
                      <w:lang w:val="en-US" w:eastAsia="zh-CN"/>
                    </w:rPr>
                    <w:t>六、七、八、十二师准噶尔盆地南部灌木、半灌木荒漠、绿洲农业生态区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2" w:type="pct"/>
                  <w:vMerge w:val="continue"/>
                  <w:tcBorders>
                    <w:tl2br w:val="nil"/>
                    <w:tr2bl w:val="nil"/>
                  </w:tcBorders>
                  <w:noWrap w:val="0"/>
                  <w:vAlign w:val="center"/>
                </w:tcPr>
                <w:p>
                  <w:pPr>
                    <w:rPr>
                      <w:rFonts w:hint="default" w:ascii="Times New Roman" w:hAnsi="Times New Roman" w:eastAsia="宋体" w:cs="Times New Roman"/>
                      <w:color w:val="auto"/>
                    </w:rPr>
                  </w:pPr>
                </w:p>
              </w:tc>
              <w:tc>
                <w:tcPr>
                  <w:tcW w:w="709" w:type="pc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生态功能区</w:t>
                  </w:r>
                </w:p>
              </w:tc>
              <w:tc>
                <w:tcPr>
                  <w:tcW w:w="3738" w:type="pct"/>
                  <w:tcBorders>
                    <w:tl2br w:val="nil"/>
                    <w:tr2bl w:val="nil"/>
                  </w:tcBorders>
                  <w:noWrap w:val="0"/>
                  <w:vAlign w:val="center"/>
                </w:tcPr>
                <w:p>
                  <w:pPr>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11</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六、七、八师奎屯-石河子-五家渠镇与绿洲生态功能区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gridSpan w:val="2"/>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隶属行政区</w:t>
                  </w:r>
                </w:p>
              </w:tc>
              <w:tc>
                <w:tcPr>
                  <w:tcW w:w="3738" w:type="pct"/>
                  <w:tcBorders>
                    <w:tl2br w:val="nil"/>
                    <w:tr2bl w:val="nil"/>
                  </w:tcBorders>
                  <w:noWrap w:val="0"/>
                  <w:vAlign w:val="center"/>
                </w:tcPr>
                <w:p>
                  <w:pP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第七师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gridSpan w:val="2"/>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主要生态服务功能</w:t>
                  </w:r>
                </w:p>
              </w:tc>
              <w:tc>
                <w:tcPr>
                  <w:tcW w:w="3738" w:type="pct"/>
                  <w:tcBorders>
                    <w:tl2br w:val="nil"/>
                    <w:tr2bl w:val="nil"/>
                  </w:tcBorders>
                  <w:noWrap w:val="0"/>
                  <w:vAlign w:val="center"/>
                </w:tcPr>
                <w:p>
                  <w:pPr>
                    <w:rPr>
                      <w:rFonts w:hint="default" w:ascii="Times New Roman" w:hAnsi="Times New Roman" w:eastAsia="宋体" w:cs="Times New Roman"/>
                      <w:color w:val="auto"/>
                    </w:rPr>
                  </w:pPr>
                  <w:r>
                    <w:rPr>
                      <w:rFonts w:hint="default" w:ascii="Times New Roman" w:hAnsi="Times New Roman" w:eastAsia="宋体" w:cs="Times New Roman"/>
                      <w:color w:val="auto"/>
                    </w:rPr>
                    <w:t>工农畜产品生产、人居环境、荒漠化控制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gridSpan w:val="2"/>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主要生态环境问题</w:t>
                  </w:r>
                </w:p>
              </w:tc>
              <w:tc>
                <w:tcPr>
                  <w:tcW w:w="3738" w:type="pct"/>
                  <w:tcBorders>
                    <w:tl2br w:val="nil"/>
                    <w:tr2bl w:val="nil"/>
                  </w:tcBorders>
                  <w:noWrap w:val="0"/>
                  <w:vAlign w:val="center"/>
                </w:tcPr>
                <w:p>
                  <w:pPr>
                    <w:rPr>
                      <w:rFonts w:hint="default" w:ascii="Times New Roman" w:hAnsi="Times New Roman" w:eastAsia="宋体" w:cs="Times New Roman"/>
                      <w:color w:val="auto"/>
                    </w:rPr>
                  </w:pPr>
                  <w:r>
                    <w:rPr>
                      <w:rFonts w:hint="default" w:ascii="Times New Roman" w:hAnsi="Times New Roman" w:eastAsia="宋体" w:cs="Times New Roman"/>
                      <w:color w:val="auto"/>
                    </w:rPr>
                    <w:t>地下水超采、荒漠植被退化、</w:t>
                  </w:r>
                  <w:r>
                    <w:rPr>
                      <w:rFonts w:hint="default" w:ascii="Times New Roman" w:hAnsi="Times New Roman" w:eastAsia="宋体" w:cs="Times New Roman"/>
                      <w:color w:val="auto"/>
                      <w:lang w:val="en-US" w:eastAsia="zh-CN"/>
                    </w:rPr>
                    <w:t>河流萎缩断流、</w:t>
                  </w:r>
                  <w:r>
                    <w:rPr>
                      <w:rFonts w:hint="default" w:ascii="Times New Roman" w:hAnsi="Times New Roman" w:eastAsia="宋体" w:cs="Times New Roman"/>
                      <w:color w:val="auto"/>
                    </w:rPr>
                    <w:t>土地荒漠化与盐渍化、</w:t>
                  </w:r>
                  <w:r>
                    <w:rPr>
                      <w:rFonts w:hint="default" w:ascii="Times New Roman" w:hAnsi="Times New Roman" w:eastAsia="宋体" w:cs="Times New Roman"/>
                      <w:color w:val="auto"/>
                      <w:lang w:val="en-US" w:eastAsia="zh-CN"/>
                    </w:rPr>
                    <w:t>工业污染严重</w:t>
                  </w:r>
                  <w:r>
                    <w:rPr>
                      <w:rFonts w:hint="default" w:ascii="Times New Roman" w:hAnsi="Times New Roman" w:eastAsia="宋体" w:cs="Times New Roman"/>
                      <w:color w:val="auto"/>
                    </w:rPr>
                    <w:t>、绿洲外围受到沙漠化威胁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gridSpan w:val="2"/>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主要保护目标</w:t>
                  </w:r>
                </w:p>
              </w:tc>
              <w:tc>
                <w:tcPr>
                  <w:tcW w:w="3738" w:type="pct"/>
                  <w:tcBorders>
                    <w:tl2br w:val="nil"/>
                    <w:tr2bl w:val="nil"/>
                  </w:tcBorders>
                  <w:noWrap w:val="0"/>
                  <w:vAlign w:val="center"/>
                </w:tcPr>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保护绿洲农田生态系统及农田土壤环境质量、保护城市环境质量、保护荒漠植被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gridSpan w:val="2"/>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主要保护措施</w:t>
                  </w:r>
                </w:p>
              </w:tc>
              <w:tc>
                <w:tcPr>
                  <w:tcW w:w="3738" w:type="pct"/>
                  <w:tcBorders>
                    <w:tl2br w:val="nil"/>
                    <w:tr2bl w:val="nil"/>
                  </w:tcBorders>
                  <w:noWrap w:val="0"/>
                  <w:vAlign w:val="center"/>
                </w:tcPr>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节水灌溉、合理控制地下水开采，各类污染物达标排放、提高城市环境质量，保护绿洲外围荒漠植被，完善防护林体系、加强农田投入品的使用管理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1" w:type="pct"/>
                  <w:gridSpan w:val="2"/>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主要</w:t>
                  </w:r>
                  <w:r>
                    <w:rPr>
                      <w:rFonts w:hint="default" w:ascii="Times New Roman" w:hAnsi="Times New Roman" w:eastAsia="宋体" w:cs="Times New Roman"/>
                      <w:color w:val="auto"/>
                      <w:szCs w:val="21"/>
                    </w:rPr>
                    <w:t>发展方向</w:t>
                  </w:r>
                </w:p>
              </w:tc>
              <w:tc>
                <w:tcPr>
                  <w:tcW w:w="3738" w:type="pct"/>
                  <w:tcBorders>
                    <w:tl2br w:val="nil"/>
                    <w:tr2bl w:val="nil"/>
                  </w:tcBorders>
                  <w:noWrap w:val="0"/>
                  <w:vAlign w:val="top"/>
                </w:tcPr>
                <w:p>
                  <w:pP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发展以棉花为主导的优质、高效、特色农业；加快高标准城镇（市）化建设；发展和做强棉纺业、塑化节水器材产业、化工业等重要工业的建设</w:t>
                  </w:r>
                </w:p>
              </w:tc>
            </w:tr>
          </w:tbl>
          <w:p>
            <w:pPr>
              <w:autoSpaceDE w:val="0"/>
              <w:autoSpaceDN w:val="0"/>
              <w:adjustRightInd w:val="0"/>
              <w:spacing w:line="360" w:lineRule="auto"/>
              <w:ind w:firstLine="482" w:firstLineChars="200"/>
              <w:rPr>
                <w:rFonts w:hint="default" w:ascii="Times New Roman" w:hAnsi="Times New Roman" w:eastAsia="宋体" w:cs="Times New Roman"/>
                <w:b w:val="0"/>
                <w:bCs w:val="0"/>
                <w:color w:val="auto"/>
                <w:sz w:val="24"/>
                <w:szCs w:val="24"/>
              </w:rPr>
            </w:pPr>
            <w:bookmarkStart w:id="13" w:name="_Toc378429152"/>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lang w:val="en-US" w:eastAsia="zh-CN"/>
              </w:rPr>
              <w:t>2</w:t>
            </w:r>
            <w:r>
              <w:rPr>
                <w:rFonts w:hint="default"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rPr>
              <w:t>土地利用</w:t>
            </w:r>
            <w:r>
              <w:rPr>
                <w:rFonts w:hint="default" w:ascii="Times New Roman" w:hAnsi="Times New Roman" w:eastAsia="宋体" w:cs="Times New Roman"/>
                <w:b/>
                <w:bCs/>
                <w:color w:val="auto"/>
                <w:sz w:val="24"/>
                <w:szCs w:val="24"/>
              </w:rPr>
              <w:t>类型</w:t>
            </w:r>
          </w:p>
          <w:p>
            <w:pPr>
              <w:pStyle w:val="41"/>
              <w:tabs>
                <w:tab w:val="left" w:pos="1845"/>
              </w:tabs>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项目区位于</w:t>
            </w:r>
            <w:r>
              <w:rPr>
                <w:rFonts w:hint="eastAsia"/>
                <w:bCs/>
                <w:color w:val="auto"/>
                <w:sz w:val="24"/>
                <w:szCs w:val="32"/>
              </w:rPr>
              <w:t>131团10连</w:t>
            </w:r>
            <w:r>
              <w:rPr>
                <w:rFonts w:hint="eastAsia"/>
                <w:bCs/>
                <w:color w:val="auto"/>
                <w:sz w:val="24"/>
                <w:szCs w:val="32"/>
                <w:lang w:val="en-US" w:eastAsia="zh-CN"/>
              </w:rPr>
              <w:t>011号</w:t>
            </w:r>
            <w:r>
              <w:rPr>
                <w:rFonts w:hint="default" w:ascii="Times New Roman" w:hAnsi="Times New Roman" w:eastAsia="宋体" w:cs="Times New Roman"/>
                <w:color w:val="auto"/>
                <w:sz w:val="24"/>
                <w:szCs w:val="24"/>
                <w:lang w:val="zh-CN"/>
              </w:rPr>
              <w:t>，土地利用类型为</w:t>
            </w:r>
            <w:r>
              <w:rPr>
                <w:rFonts w:hint="default" w:ascii="Times New Roman" w:hAnsi="Times New Roman" w:eastAsia="宋体" w:cs="Times New Roman"/>
                <w:color w:val="auto"/>
                <w:sz w:val="24"/>
                <w:szCs w:val="24"/>
                <w:lang w:val="en-US" w:eastAsia="zh-CN"/>
              </w:rPr>
              <w:t>中覆盖度草地</w:t>
            </w:r>
            <w:r>
              <w:rPr>
                <w:rFonts w:hint="eastAsia" w:ascii="Times New Roman" w:hAnsi="Times New Roman" w:cs="Times New Roman"/>
                <w:color w:val="auto"/>
                <w:sz w:val="24"/>
                <w:szCs w:val="24"/>
                <w:lang w:val="en-US" w:eastAsia="zh-CN"/>
              </w:rPr>
              <w:t>及旱地</w:t>
            </w:r>
            <w:r>
              <w:rPr>
                <w:rFonts w:hint="default" w:ascii="Times New Roman" w:hAnsi="Times New Roman" w:eastAsia="宋体" w:cs="Times New Roman"/>
                <w:color w:val="auto"/>
                <w:sz w:val="24"/>
                <w:szCs w:val="24"/>
                <w:lang w:val="zh-CN"/>
              </w:rPr>
              <w:t>，详见附图</w:t>
            </w:r>
            <w:r>
              <w:rPr>
                <w:rFonts w:hint="default" w:ascii="Times New Roman" w:hAnsi="Times New Roman" w:eastAsia="宋体" w:cs="Times New Roman"/>
                <w:color w:val="auto"/>
                <w:sz w:val="24"/>
                <w:szCs w:val="24"/>
                <w:lang w:val="en-US" w:eastAsia="zh-CN"/>
              </w:rPr>
              <w:t>3-2</w:t>
            </w:r>
            <w:r>
              <w:rPr>
                <w:rFonts w:hint="default" w:ascii="Times New Roman" w:hAnsi="Times New Roman" w:eastAsia="宋体" w:cs="Times New Roman"/>
                <w:color w:val="auto"/>
                <w:sz w:val="24"/>
                <w:szCs w:val="24"/>
                <w:lang w:val="zh-CN"/>
              </w:rPr>
              <w:t>土地利用类型图。</w:t>
            </w:r>
          </w:p>
          <w:p>
            <w:pPr>
              <w:autoSpaceDE w:val="0"/>
              <w:autoSpaceDN w:val="0"/>
              <w:adjustRightInd w:val="0"/>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土壤类型</w:t>
            </w:r>
          </w:p>
          <w:bookmarkEnd w:id="13"/>
          <w:p>
            <w:pPr>
              <w:pStyle w:val="41"/>
              <w:tabs>
                <w:tab w:val="left" w:pos="1845"/>
              </w:tabs>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项目区所在地土壤的分布以</w:t>
            </w:r>
            <w:r>
              <w:rPr>
                <w:rFonts w:hint="eastAsia" w:ascii="Times New Roman" w:hAnsi="Times New Roman" w:cs="Times New Roman"/>
                <w:color w:val="auto"/>
                <w:sz w:val="24"/>
                <w:szCs w:val="24"/>
                <w:lang w:val="en-US" w:eastAsia="zh-CN"/>
              </w:rPr>
              <w:t>灰漠土和硫酸盐化灰漠土为主</w:t>
            </w:r>
            <w:r>
              <w:rPr>
                <w:rFonts w:hint="default" w:ascii="Times New Roman" w:hAnsi="Times New Roman" w:eastAsia="宋体" w:cs="Times New Roman"/>
                <w:color w:val="auto"/>
                <w:sz w:val="24"/>
                <w:szCs w:val="24"/>
                <w:lang w:val="zh-CN"/>
              </w:rPr>
              <w:t>，地表常有较明显的盐霜或盐斑。盐分多聚积在紧实层的中下部(5-50厘米之间)，含盐量在10克每千克左右；而残余积盐则聚积在紧实层下端的石膏聚盐层中，含盐量普遍较高，且含盐层的厚度也大。详见附图</w:t>
            </w:r>
            <w:r>
              <w:rPr>
                <w:rFonts w:hint="default" w:ascii="Times New Roman" w:hAnsi="Times New Roman" w:eastAsia="宋体" w:cs="Times New Roman"/>
                <w:color w:val="auto"/>
                <w:sz w:val="24"/>
                <w:szCs w:val="24"/>
                <w:lang w:val="en-US" w:eastAsia="zh-CN"/>
              </w:rPr>
              <w:t>3-3</w:t>
            </w:r>
            <w:r>
              <w:rPr>
                <w:rFonts w:hint="default" w:ascii="Times New Roman" w:hAnsi="Times New Roman" w:eastAsia="宋体" w:cs="Times New Roman"/>
                <w:color w:val="auto"/>
                <w:sz w:val="24"/>
                <w:szCs w:val="24"/>
                <w:lang w:val="zh-CN"/>
              </w:rPr>
              <w:t>土壤类型图。</w:t>
            </w:r>
          </w:p>
          <w:p>
            <w:pPr>
              <w:autoSpaceDE w:val="0"/>
              <w:autoSpaceDN w:val="0"/>
              <w:adjustRightInd w:val="0"/>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eastAsia="zh-CN"/>
              </w:rPr>
              <w:t>）生态</w:t>
            </w:r>
            <w:r>
              <w:rPr>
                <w:rFonts w:hint="default" w:ascii="Times New Roman" w:hAnsi="Times New Roman" w:eastAsia="宋体" w:cs="Times New Roman"/>
                <w:b/>
                <w:bCs/>
                <w:color w:val="auto"/>
                <w:sz w:val="24"/>
                <w:szCs w:val="24"/>
              </w:rPr>
              <w:t>现状</w:t>
            </w:r>
          </w:p>
          <w:p>
            <w:pPr>
              <w:pStyle w:val="41"/>
              <w:tabs>
                <w:tab w:val="left" w:pos="1845"/>
              </w:tabs>
              <w:spacing w:line="360" w:lineRule="auto"/>
              <w:ind w:firstLine="480" w:firstLineChars="20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本项目植被覆盖类型为</w:t>
            </w:r>
            <w:r>
              <w:rPr>
                <w:rFonts w:hint="default" w:ascii="Times New Roman" w:hAnsi="Times New Roman" w:eastAsia="宋体" w:cs="Times New Roman"/>
                <w:color w:val="auto"/>
                <w:sz w:val="24"/>
                <w:szCs w:val="24"/>
                <w:lang w:val="en-US" w:eastAsia="zh-CN"/>
              </w:rPr>
              <w:t>栽培植被</w:t>
            </w:r>
            <w:r>
              <w:rPr>
                <w:rFonts w:hint="default" w:ascii="Times New Roman" w:hAnsi="Times New Roman" w:eastAsia="宋体" w:cs="Times New Roman"/>
                <w:color w:val="auto"/>
                <w:sz w:val="24"/>
                <w:szCs w:val="24"/>
                <w:lang w:val="zh-CN"/>
              </w:rPr>
              <w:t>，</w:t>
            </w:r>
            <w:r>
              <w:rPr>
                <w:rFonts w:hint="default" w:ascii="Times New Roman" w:hAnsi="Times New Roman" w:eastAsia="宋体" w:cs="Times New Roman"/>
                <w:color w:val="auto"/>
                <w:sz w:val="24"/>
                <w:szCs w:val="24"/>
                <w:lang w:val="en-US" w:eastAsia="zh-CN"/>
              </w:rPr>
              <w:t>项目区</w:t>
            </w:r>
            <w:r>
              <w:rPr>
                <w:rFonts w:hint="default" w:ascii="Times New Roman" w:hAnsi="Times New Roman" w:eastAsia="宋体" w:cs="Times New Roman"/>
                <w:color w:val="auto"/>
                <w:sz w:val="24"/>
                <w:szCs w:val="24"/>
                <w:lang w:val="zh-CN"/>
              </w:rPr>
              <w:t>内植被不发育，仅有稀疏的耐碱耐旱草本生长。详见附图</w:t>
            </w:r>
            <w:r>
              <w:rPr>
                <w:rFonts w:hint="default" w:ascii="Times New Roman" w:hAnsi="Times New Roman" w:eastAsia="宋体" w:cs="Times New Roman"/>
                <w:color w:val="auto"/>
                <w:sz w:val="24"/>
                <w:szCs w:val="24"/>
                <w:lang w:val="en-US" w:eastAsia="zh-CN"/>
              </w:rPr>
              <w:t>3-4</w:t>
            </w:r>
            <w:r>
              <w:rPr>
                <w:rFonts w:hint="default" w:ascii="Times New Roman" w:hAnsi="Times New Roman" w:eastAsia="宋体" w:cs="Times New Roman"/>
                <w:color w:val="auto"/>
                <w:sz w:val="24"/>
                <w:szCs w:val="24"/>
                <w:lang w:val="zh-CN"/>
              </w:rPr>
              <w:t>植被类型图。</w:t>
            </w:r>
          </w:p>
          <w:p>
            <w:pPr>
              <w:topLinePunct/>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rPr>
              <w:t>1</w:t>
            </w:r>
            <w:r>
              <w:rPr>
                <w:rFonts w:hint="eastAsia" w:ascii="Times New Roman" w:hAnsi="Times New Roman" w:cs="Times New Roman"/>
                <w:color w:val="auto"/>
                <w:kern w:val="0"/>
                <w:sz w:val="24"/>
                <w:szCs w:val="24"/>
                <w:lang w:val="en-US" w:eastAsia="zh-CN"/>
              </w:rPr>
              <w:t>31</w:t>
            </w:r>
            <w:r>
              <w:rPr>
                <w:rFonts w:hint="default" w:ascii="Times New Roman" w:hAnsi="Times New Roman" w:eastAsia="宋体" w:cs="Times New Roman"/>
                <w:color w:val="auto"/>
                <w:kern w:val="0"/>
                <w:sz w:val="24"/>
                <w:szCs w:val="24"/>
                <w:lang w:val="en-US" w:eastAsia="zh-CN"/>
              </w:rPr>
              <w:t>团</w:t>
            </w:r>
            <w:r>
              <w:rPr>
                <w:rFonts w:hint="default" w:ascii="Times New Roman" w:hAnsi="Times New Roman" w:eastAsia="宋体" w:cs="Times New Roman"/>
                <w:color w:val="auto"/>
                <w:kern w:val="0"/>
                <w:sz w:val="24"/>
                <w:szCs w:val="24"/>
              </w:rPr>
              <w:t>境内分布有</w:t>
            </w:r>
            <w:r>
              <w:rPr>
                <w:rFonts w:hint="default" w:ascii="Times New Roman" w:hAnsi="Times New Roman" w:eastAsia="宋体" w:cs="Times New Roman"/>
                <w:color w:val="auto"/>
                <w:kern w:val="0"/>
                <w:sz w:val="24"/>
                <w:szCs w:val="24"/>
                <w:lang w:val="en-US" w:eastAsia="zh-CN"/>
              </w:rPr>
              <w:t>灌耕盐化草旬土</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硫酸盐潮土</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灰漠土</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草旬盐土等</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eastAsia="zh-CN"/>
              </w:rPr>
              <w:t>植被覆盖类型</w:t>
            </w:r>
            <w:r>
              <w:rPr>
                <w:rFonts w:hint="default" w:ascii="Times New Roman" w:hAnsi="Times New Roman" w:eastAsia="宋体" w:cs="Times New Roman"/>
                <w:color w:val="auto"/>
                <w:kern w:val="0"/>
                <w:sz w:val="24"/>
                <w:szCs w:val="24"/>
              </w:rPr>
              <w:t>主要为</w:t>
            </w:r>
            <w:r>
              <w:rPr>
                <w:rFonts w:hint="default" w:ascii="Times New Roman" w:hAnsi="Times New Roman" w:eastAsia="宋体" w:cs="Times New Roman"/>
                <w:color w:val="auto"/>
                <w:kern w:val="0"/>
                <w:sz w:val="24"/>
                <w:szCs w:val="24"/>
                <w:lang w:eastAsia="zh-CN"/>
              </w:rPr>
              <w:t>农田和</w:t>
            </w:r>
            <w:r>
              <w:rPr>
                <w:rFonts w:hint="default" w:ascii="Times New Roman" w:hAnsi="Times New Roman" w:eastAsia="宋体" w:cs="Times New Roman"/>
                <w:color w:val="auto"/>
                <w:kern w:val="0"/>
                <w:sz w:val="24"/>
                <w:szCs w:val="24"/>
              </w:rPr>
              <w:t>荒漠草原，主要植被由</w:t>
            </w:r>
            <w:r>
              <w:rPr>
                <w:rFonts w:hint="default" w:ascii="Times New Roman" w:hAnsi="Times New Roman" w:eastAsia="宋体" w:cs="Times New Roman"/>
                <w:color w:val="auto"/>
                <w:kern w:val="0"/>
                <w:sz w:val="24"/>
                <w:szCs w:val="24"/>
                <w:lang w:eastAsia="zh-CN"/>
              </w:rPr>
              <w:t>风滚草、千岁兰、卷柏、红柳、胡杨、骆驼刺、梭梭、生石花</w:t>
            </w:r>
            <w:r>
              <w:rPr>
                <w:rFonts w:hint="default" w:ascii="Times New Roman" w:hAnsi="Times New Roman" w:eastAsia="宋体" w:cs="Times New Roman"/>
                <w:color w:val="auto"/>
                <w:kern w:val="0"/>
                <w:sz w:val="24"/>
                <w:szCs w:val="24"/>
              </w:rPr>
              <w:t>等组成。</w:t>
            </w:r>
          </w:p>
          <w:p>
            <w:pPr>
              <w:numPr>
                <w:ilvl w:val="0"/>
                <w:numId w:val="0"/>
              </w:numPr>
              <w:autoSpaceDE w:val="0"/>
              <w:autoSpaceDN w:val="0"/>
              <w:adjustRightInd w:val="0"/>
              <w:spacing w:line="520" w:lineRule="exact"/>
              <w:ind w:firstLine="480" w:firstLineChars="200"/>
              <w:rPr>
                <w:rFonts w:hint="default" w:hAnsi="宋体" w:eastAsia="宋体" w:cs="宋体"/>
                <w:color w:val="auto"/>
                <w:kern w:val="0"/>
                <w:lang w:val="en-US" w:eastAsia="zh-CN"/>
              </w:rPr>
            </w:pPr>
            <w:r>
              <w:rPr>
                <w:rFonts w:hint="default" w:ascii="Times New Roman" w:hAnsi="Times New Roman" w:eastAsia="宋体" w:cs="Times New Roman"/>
                <w:color w:val="auto"/>
                <w:kern w:val="0"/>
                <w:sz w:val="24"/>
                <w:szCs w:val="24"/>
              </w:rPr>
              <w:t>根据现场踏勘，项目区内</w:t>
            </w:r>
            <w:r>
              <w:rPr>
                <w:rFonts w:hint="eastAsia" w:ascii="Times New Roman" w:hAnsi="Times New Roman" w:eastAsia="宋体" w:cs="Times New Roman"/>
                <w:color w:val="auto"/>
                <w:kern w:val="0"/>
                <w:sz w:val="24"/>
                <w:szCs w:val="24"/>
                <w:lang w:val="en-US" w:eastAsia="zh-CN"/>
              </w:rPr>
              <w:t>植被覆盖率小于5%，仅有少量骆驼刺，所在区域植被以农田、防风林为主。</w:t>
            </w:r>
            <w:r>
              <w:rPr>
                <w:rFonts w:hint="default" w:ascii="Times New Roman" w:hAnsi="Times New Roman" w:eastAsia="宋体" w:cs="Times New Roman"/>
                <w:color w:val="auto"/>
                <w:kern w:val="0"/>
                <w:sz w:val="24"/>
                <w:szCs w:val="24"/>
                <w:lang w:val="zh-CN"/>
              </w:rPr>
              <w:t>项</w:t>
            </w:r>
            <w:r>
              <w:rPr>
                <w:rFonts w:hint="default" w:ascii="Times New Roman" w:hAnsi="Times New Roman" w:eastAsia="宋体" w:cs="Times New Roman"/>
                <w:color w:val="auto"/>
                <w:sz w:val="24"/>
                <w:szCs w:val="24"/>
                <w:lang w:val="zh-CN"/>
              </w:rPr>
              <w:t>目区野生动物种类单一，无大型哺乳动物活动，仅有一些常见的鸟类和小型啮齿类分布。</w:t>
            </w:r>
            <w:r>
              <w:rPr>
                <w:rFonts w:hint="eastAsia"/>
                <w:color w:val="auto"/>
                <w:sz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adjustRightInd w:val="0"/>
              <w:snapToGrid w:val="0"/>
              <w:jc w:val="center"/>
              <w:rPr>
                <w:rFonts w:ascii="宋体" w:hAnsi="宋体" w:cs="宋体"/>
                <w:color w:val="auto"/>
                <w:kern w:val="0"/>
                <w:sz w:val="24"/>
              </w:rPr>
            </w:pPr>
          </w:p>
          <w:p>
            <w:pPr>
              <w:adjustRightInd w:val="0"/>
              <w:snapToGrid w:val="0"/>
              <w:jc w:val="center"/>
              <w:rPr>
                <w:rFonts w:ascii="宋体" w:hAnsi="宋体" w:cs="宋体"/>
                <w:color w:val="auto"/>
                <w:kern w:val="0"/>
                <w:sz w:val="24"/>
              </w:rPr>
            </w:pPr>
          </w:p>
          <w:p>
            <w:pPr>
              <w:adjustRightInd w:val="0"/>
              <w:snapToGrid w:val="0"/>
              <w:jc w:val="center"/>
              <w:rPr>
                <w:rFonts w:ascii="宋体" w:hAnsi="宋体" w:cs="宋体"/>
                <w:color w:val="auto"/>
                <w:kern w:val="0"/>
                <w:sz w:val="24"/>
              </w:rPr>
            </w:pPr>
          </w:p>
          <w:p>
            <w:pPr>
              <w:adjustRightInd w:val="0"/>
              <w:snapToGrid w:val="0"/>
              <w:jc w:val="center"/>
              <w:rPr>
                <w:rFonts w:ascii="宋体" w:hAnsi="宋体" w:cs="宋体"/>
                <w:color w:val="auto"/>
                <w:kern w:val="0"/>
                <w:sz w:val="24"/>
              </w:rPr>
            </w:pPr>
          </w:p>
          <w:p>
            <w:pPr>
              <w:adjustRightInd w:val="0"/>
              <w:snapToGrid w:val="0"/>
              <w:jc w:val="center"/>
              <w:rPr>
                <w:rFonts w:ascii="宋体" w:hAnsi="宋体" w:cs="宋体"/>
                <w:color w:val="auto"/>
                <w:kern w:val="0"/>
                <w:sz w:val="24"/>
              </w:rPr>
            </w:pPr>
          </w:p>
          <w:p>
            <w:pPr>
              <w:adjustRightInd w:val="0"/>
              <w:snapToGrid w:val="0"/>
              <w:jc w:val="center"/>
              <w:rPr>
                <w:rFonts w:ascii="宋体" w:hAnsi="宋体" w:cs="宋体"/>
                <w:color w:val="auto"/>
                <w:kern w:val="0"/>
                <w:sz w:val="24"/>
              </w:rPr>
            </w:pP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环</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境</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保</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护</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目</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标</w:t>
            </w:r>
          </w:p>
        </w:tc>
        <w:tc>
          <w:tcPr>
            <w:tcW w:w="8394" w:type="dxa"/>
            <w:vAlign w:val="center"/>
          </w:tcPr>
          <w:p>
            <w:pPr>
              <w:spacing w:line="480" w:lineRule="exact"/>
              <w:ind w:firstLine="482" w:firstLineChars="200"/>
              <w:rPr>
                <w:b/>
                <w:bCs/>
                <w:color w:val="auto"/>
                <w:sz w:val="24"/>
              </w:rPr>
            </w:pPr>
            <w:r>
              <w:rPr>
                <w:rFonts w:hint="eastAsia"/>
                <w:b/>
                <w:bCs/>
                <w:color w:val="auto"/>
                <w:sz w:val="24"/>
              </w:rPr>
              <w:t>1、</w:t>
            </w:r>
            <w:r>
              <w:rPr>
                <w:b/>
                <w:bCs/>
                <w:color w:val="auto"/>
                <w:sz w:val="24"/>
              </w:rPr>
              <w:t>大气环境</w:t>
            </w:r>
          </w:p>
          <w:p>
            <w:pPr>
              <w:spacing w:line="480" w:lineRule="exact"/>
              <w:ind w:firstLine="480" w:firstLineChars="200"/>
              <w:rPr>
                <w:color w:val="auto"/>
                <w:sz w:val="24"/>
              </w:rPr>
            </w:pPr>
            <w:r>
              <w:rPr>
                <w:color w:val="auto"/>
                <w:sz w:val="24"/>
              </w:rPr>
              <w:t>本项目厂界外500</w:t>
            </w:r>
            <w:r>
              <w:rPr>
                <w:rFonts w:hint="eastAsia"/>
                <w:color w:val="auto"/>
                <w:sz w:val="24"/>
              </w:rPr>
              <w:t>m</w:t>
            </w:r>
            <w:r>
              <w:rPr>
                <w:color w:val="auto"/>
                <w:sz w:val="24"/>
              </w:rPr>
              <w:t>范围内</w:t>
            </w:r>
            <w:r>
              <w:rPr>
                <w:rFonts w:hint="eastAsia"/>
                <w:color w:val="auto"/>
                <w:sz w:val="24"/>
              </w:rPr>
              <w:t>大气环境保护目标主要为居民住宅，</w:t>
            </w:r>
            <w:r>
              <w:rPr>
                <w:color w:val="auto"/>
                <w:sz w:val="24"/>
              </w:rPr>
              <w:t>无自然保护区、风景名胜区</w:t>
            </w:r>
            <w:r>
              <w:rPr>
                <w:rFonts w:hint="eastAsia"/>
                <w:color w:val="auto"/>
                <w:sz w:val="24"/>
              </w:rPr>
              <w:t>。敏感目标与本项目位置关系详见表3</w:t>
            </w:r>
            <w:r>
              <w:rPr>
                <w:color w:val="auto"/>
                <w:sz w:val="24"/>
              </w:rPr>
              <w:t>-</w:t>
            </w:r>
            <w:r>
              <w:rPr>
                <w:rFonts w:hint="eastAsia"/>
                <w:color w:val="auto"/>
                <w:sz w:val="24"/>
              </w:rPr>
              <w:t>3，敏感点示意图见附图</w:t>
            </w:r>
            <w:r>
              <w:rPr>
                <w:rFonts w:hint="eastAsia"/>
                <w:color w:val="auto"/>
                <w:sz w:val="24"/>
                <w:lang w:val="en-US" w:eastAsia="zh-CN"/>
              </w:rPr>
              <w:t>3</w:t>
            </w:r>
            <w:r>
              <w:rPr>
                <w:rFonts w:hint="eastAsia"/>
                <w:color w:val="auto"/>
                <w:sz w:val="24"/>
              </w:rPr>
              <w:t>。</w:t>
            </w:r>
          </w:p>
          <w:p>
            <w:pPr>
              <w:spacing w:line="480" w:lineRule="exact"/>
              <w:ind w:firstLine="482" w:firstLineChars="200"/>
              <w:rPr>
                <w:b/>
                <w:bCs/>
                <w:color w:val="auto"/>
                <w:sz w:val="24"/>
              </w:rPr>
            </w:pPr>
            <w:r>
              <w:rPr>
                <w:rFonts w:hint="eastAsia"/>
                <w:b/>
                <w:bCs/>
                <w:color w:val="auto"/>
                <w:sz w:val="24"/>
              </w:rPr>
              <w:t>2、</w:t>
            </w:r>
            <w:r>
              <w:rPr>
                <w:b/>
                <w:bCs/>
                <w:color w:val="auto"/>
                <w:sz w:val="24"/>
              </w:rPr>
              <w:t>声环境</w:t>
            </w:r>
          </w:p>
          <w:p>
            <w:pPr>
              <w:spacing w:line="480" w:lineRule="exact"/>
              <w:ind w:firstLine="480" w:firstLineChars="200"/>
              <w:rPr>
                <w:color w:val="auto"/>
                <w:sz w:val="24"/>
              </w:rPr>
            </w:pPr>
            <w:r>
              <w:rPr>
                <w:rFonts w:hint="eastAsia"/>
                <w:color w:val="auto"/>
                <w:sz w:val="24"/>
              </w:rPr>
              <w:t>本项目厂界外50m范围内无声环境保护目标。</w:t>
            </w:r>
          </w:p>
          <w:p>
            <w:pPr>
              <w:spacing w:line="480" w:lineRule="exact"/>
              <w:ind w:firstLine="482" w:firstLineChars="200"/>
              <w:rPr>
                <w:b/>
                <w:bCs/>
                <w:color w:val="auto"/>
                <w:sz w:val="24"/>
              </w:rPr>
            </w:pPr>
            <w:r>
              <w:rPr>
                <w:rFonts w:hint="eastAsia"/>
                <w:b/>
                <w:bCs/>
                <w:color w:val="auto"/>
                <w:sz w:val="24"/>
              </w:rPr>
              <w:t>3、</w:t>
            </w:r>
            <w:r>
              <w:rPr>
                <w:b/>
                <w:bCs/>
                <w:color w:val="auto"/>
                <w:sz w:val="24"/>
              </w:rPr>
              <w:t>地下水环境</w:t>
            </w:r>
          </w:p>
          <w:p>
            <w:pPr>
              <w:spacing w:line="480" w:lineRule="exact"/>
              <w:ind w:firstLine="480" w:firstLineChars="200"/>
              <w:rPr>
                <w:color w:val="auto"/>
                <w:sz w:val="24"/>
              </w:rPr>
            </w:pPr>
            <w:r>
              <w:rPr>
                <w:color w:val="auto"/>
                <w:sz w:val="24"/>
              </w:rPr>
              <w:t>本项目厂界外500</w:t>
            </w:r>
            <w:r>
              <w:rPr>
                <w:rFonts w:hint="eastAsia"/>
                <w:color w:val="auto"/>
                <w:sz w:val="24"/>
              </w:rPr>
              <w:t>m</w:t>
            </w:r>
            <w:r>
              <w:rPr>
                <w:color w:val="auto"/>
                <w:sz w:val="24"/>
              </w:rPr>
              <w:t>范围内无地下水集中式饮用水水源和热水、矿泉水、温泉等特殊地下水资源</w:t>
            </w:r>
            <w:r>
              <w:rPr>
                <w:rFonts w:hint="eastAsia"/>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表3-</w:t>
            </w:r>
            <w:r>
              <w:rPr>
                <w:rFonts w:hint="eastAsia" w:ascii="Times New Roman" w:hAnsi="Times New Roman" w:eastAsia="宋体" w:cs="Times New Roman"/>
                <w:b/>
                <w:color w:val="auto"/>
                <w:szCs w:val="21"/>
              </w:rPr>
              <w:t>3</w:t>
            </w:r>
            <w:r>
              <w:rPr>
                <w:rFonts w:ascii="Times New Roman" w:hAnsi="Times New Roman" w:eastAsia="宋体" w:cs="Times New Roman"/>
                <w:b/>
                <w:color w:val="auto"/>
                <w:szCs w:val="21"/>
              </w:rPr>
              <w:t xml:space="preserve">    评价区域主要环境敏感目标一览表</w:t>
            </w:r>
          </w:p>
          <w:tbl>
            <w:tblPr>
              <w:tblStyle w:val="30"/>
              <w:tblW w:w="817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553"/>
              <w:gridCol w:w="1011"/>
              <w:gridCol w:w="897"/>
              <w:gridCol w:w="856"/>
              <w:gridCol w:w="889"/>
              <w:gridCol w:w="21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环境</w:t>
                  </w:r>
                </w:p>
                <w:p>
                  <w:pPr>
                    <w:pStyle w:val="14"/>
                    <w:adjustRightInd w:val="0"/>
                    <w:snapToGrid w:val="0"/>
                    <w:jc w:val="center"/>
                    <w:rPr>
                      <w:rFonts w:ascii="Times New Roman" w:hAnsi="Times New Roman"/>
                      <w:color w:val="auto"/>
                      <w:szCs w:val="21"/>
                    </w:rPr>
                  </w:pPr>
                  <w:r>
                    <w:rPr>
                      <w:rFonts w:ascii="Times New Roman" w:hAnsi="Times New Roman"/>
                      <w:color w:val="auto"/>
                      <w:szCs w:val="21"/>
                    </w:rPr>
                    <w:t>要素</w:t>
                  </w:r>
                </w:p>
              </w:tc>
              <w:tc>
                <w:tcPr>
                  <w:tcW w:w="1553"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敏感点</w:t>
                  </w:r>
                </w:p>
                <w:p>
                  <w:pPr>
                    <w:pStyle w:val="14"/>
                    <w:adjustRightInd w:val="0"/>
                    <w:snapToGrid w:val="0"/>
                    <w:jc w:val="center"/>
                    <w:rPr>
                      <w:rFonts w:ascii="Times New Roman" w:hAnsi="Times New Roman"/>
                      <w:color w:val="auto"/>
                      <w:szCs w:val="21"/>
                    </w:rPr>
                  </w:pPr>
                  <w:r>
                    <w:rPr>
                      <w:rFonts w:ascii="Times New Roman" w:hAnsi="Times New Roman"/>
                      <w:color w:val="auto"/>
                      <w:szCs w:val="21"/>
                    </w:rPr>
                    <w:t>名称</w:t>
                  </w:r>
                </w:p>
              </w:tc>
              <w:tc>
                <w:tcPr>
                  <w:tcW w:w="1011"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相对</w:t>
                  </w:r>
                </w:p>
                <w:p>
                  <w:pPr>
                    <w:pStyle w:val="14"/>
                    <w:adjustRightInd w:val="0"/>
                    <w:snapToGrid w:val="0"/>
                    <w:jc w:val="center"/>
                    <w:rPr>
                      <w:rFonts w:ascii="Times New Roman" w:hAnsi="Times New Roman"/>
                      <w:color w:val="auto"/>
                      <w:szCs w:val="21"/>
                    </w:rPr>
                  </w:pPr>
                  <w:r>
                    <w:rPr>
                      <w:rFonts w:ascii="Times New Roman" w:hAnsi="Times New Roman"/>
                      <w:color w:val="auto"/>
                      <w:szCs w:val="21"/>
                    </w:rPr>
                    <w:t>位置</w:t>
                  </w:r>
                </w:p>
              </w:tc>
              <w:tc>
                <w:tcPr>
                  <w:tcW w:w="897"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相对</w:t>
                  </w:r>
                </w:p>
                <w:p>
                  <w:pPr>
                    <w:pStyle w:val="14"/>
                    <w:adjustRightInd w:val="0"/>
                    <w:snapToGrid w:val="0"/>
                    <w:jc w:val="center"/>
                    <w:rPr>
                      <w:rFonts w:ascii="Times New Roman" w:hAnsi="Times New Roman"/>
                      <w:color w:val="auto"/>
                      <w:szCs w:val="21"/>
                    </w:rPr>
                  </w:pPr>
                  <w:r>
                    <w:rPr>
                      <w:rFonts w:ascii="Times New Roman" w:hAnsi="Times New Roman"/>
                      <w:color w:val="auto"/>
                      <w:szCs w:val="21"/>
                    </w:rPr>
                    <w:t>距离（m）</w:t>
                  </w:r>
                </w:p>
              </w:tc>
              <w:tc>
                <w:tcPr>
                  <w:tcW w:w="856"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人口</w:t>
                  </w:r>
                </w:p>
                <w:p>
                  <w:pPr>
                    <w:pStyle w:val="14"/>
                    <w:adjustRightInd w:val="0"/>
                    <w:snapToGrid w:val="0"/>
                    <w:jc w:val="center"/>
                    <w:rPr>
                      <w:rFonts w:ascii="Times New Roman" w:hAnsi="Times New Roman"/>
                      <w:color w:val="auto"/>
                      <w:szCs w:val="21"/>
                    </w:rPr>
                  </w:pPr>
                  <w:r>
                    <w:rPr>
                      <w:rFonts w:ascii="Times New Roman" w:hAnsi="Times New Roman"/>
                      <w:color w:val="auto"/>
                      <w:szCs w:val="21"/>
                    </w:rPr>
                    <w:t>数量（人）</w:t>
                  </w:r>
                </w:p>
              </w:tc>
              <w:tc>
                <w:tcPr>
                  <w:tcW w:w="889"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保护</w:t>
                  </w:r>
                </w:p>
                <w:p>
                  <w:pPr>
                    <w:pStyle w:val="14"/>
                    <w:adjustRightInd w:val="0"/>
                    <w:snapToGrid w:val="0"/>
                    <w:jc w:val="center"/>
                    <w:rPr>
                      <w:rFonts w:ascii="Times New Roman" w:hAnsi="Times New Roman"/>
                      <w:color w:val="auto"/>
                      <w:szCs w:val="21"/>
                    </w:rPr>
                  </w:pPr>
                  <w:r>
                    <w:rPr>
                      <w:rFonts w:ascii="Times New Roman" w:hAnsi="Times New Roman"/>
                      <w:color w:val="auto"/>
                      <w:szCs w:val="21"/>
                    </w:rPr>
                    <w:t>内容</w:t>
                  </w:r>
                </w:p>
              </w:tc>
              <w:tc>
                <w:tcPr>
                  <w:tcW w:w="2141"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控制目标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1" w:type="dxa"/>
                  <w:vAlign w:val="center"/>
                </w:tcPr>
                <w:p>
                  <w:pPr>
                    <w:pStyle w:val="14"/>
                    <w:adjustRightInd w:val="0"/>
                    <w:snapToGrid w:val="0"/>
                    <w:jc w:val="center"/>
                    <w:rPr>
                      <w:rFonts w:ascii="Times New Roman" w:hAnsi="Times New Roman"/>
                      <w:color w:val="auto"/>
                      <w:szCs w:val="21"/>
                    </w:rPr>
                  </w:pPr>
                  <w:r>
                    <w:rPr>
                      <w:rFonts w:hint="eastAsia" w:ascii="Times New Roman" w:hAnsi="Times New Roman"/>
                      <w:color w:val="auto"/>
                      <w:szCs w:val="21"/>
                    </w:rPr>
                    <w:t>大气</w:t>
                  </w:r>
                  <w:r>
                    <w:rPr>
                      <w:rFonts w:ascii="Times New Roman" w:hAnsi="Times New Roman"/>
                      <w:color w:val="auto"/>
                      <w:szCs w:val="21"/>
                    </w:rPr>
                    <w:t>环境</w:t>
                  </w:r>
                </w:p>
              </w:tc>
              <w:tc>
                <w:tcPr>
                  <w:tcW w:w="1553" w:type="dxa"/>
                  <w:vAlign w:val="center"/>
                </w:tcPr>
                <w:p>
                  <w:pPr>
                    <w:pStyle w:val="14"/>
                    <w:adjustRightInd w:val="0"/>
                    <w:snapToGrid w:val="0"/>
                    <w:jc w:val="center"/>
                    <w:rPr>
                      <w:rFonts w:ascii="Times New Roman" w:hAnsi="Times New Roman"/>
                      <w:color w:val="auto"/>
                      <w:szCs w:val="21"/>
                    </w:rPr>
                  </w:pPr>
                  <w:r>
                    <w:rPr>
                      <w:rFonts w:hint="eastAsia" w:ascii="Times New Roman" w:hAnsi="Times New Roman"/>
                      <w:color w:val="auto"/>
                      <w:szCs w:val="21"/>
                    </w:rPr>
                    <w:t>131团10连居民点</w:t>
                  </w:r>
                </w:p>
              </w:tc>
              <w:tc>
                <w:tcPr>
                  <w:tcW w:w="1011" w:type="dxa"/>
                  <w:vAlign w:val="center"/>
                </w:tcPr>
                <w:p>
                  <w:pPr>
                    <w:pStyle w:val="14"/>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color w:val="auto"/>
                      <w:szCs w:val="21"/>
                    </w:rPr>
                    <w:t>东</w:t>
                  </w:r>
                  <w:r>
                    <w:rPr>
                      <w:rFonts w:hint="eastAsia" w:ascii="Times New Roman" w:hAnsi="Times New Roman"/>
                      <w:color w:val="auto"/>
                      <w:szCs w:val="21"/>
                      <w:lang w:val="en-US" w:eastAsia="zh-CN"/>
                    </w:rPr>
                    <w:t>北</w:t>
                  </w:r>
                </w:p>
              </w:tc>
              <w:tc>
                <w:tcPr>
                  <w:tcW w:w="897" w:type="dxa"/>
                  <w:vAlign w:val="center"/>
                </w:tcPr>
                <w:p>
                  <w:pPr>
                    <w:pStyle w:val="14"/>
                    <w:adjustRightInd w:val="0"/>
                    <w:snapToGrid w:val="0"/>
                    <w:jc w:val="center"/>
                    <w:rPr>
                      <w:rFonts w:hint="default" w:ascii="Times New Roman" w:hAnsi="Times New Roman" w:eastAsia="宋体"/>
                      <w:color w:val="auto"/>
                      <w:szCs w:val="21"/>
                      <w:lang w:val="en-US" w:eastAsia="zh-CN"/>
                    </w:rPr>
                  </w:pPr>
                  <w:r>
                    <w:rPr>
                      <w:rFonts w:hint="eastAsia" w:ascii="Times New Roman" w:hAnsi="Times New Roman"/>
                      <w:color w:val="auto"/>
                      <w:szCs w:val="21"/>
                      <w:lang w:val="en-US" w:eastAsia="zh-CN"/>
                    </w:rPr>
                    <w:t>480</w:t>
                  </w:r>
                </w:p>
              </w:tc>
              <w:tc>
                <w:tcPr>
                  <w:tcW w:w="856" w:type="dxa"/>
                  <w:vAlign w:val="center"/>
                </w:tcPr>
                <w:p>
                  <w:pPr>
                    <w:pStyle w:val="14"/>
                    <w:adjustRightInd w:val="0"/>
                    <w:snapToGrid w:val="0"/>
                    <w:jc w:val="center"/>
                    <w:rPr>
                      <w:rFonts w:ascii="Times New Roman" w:hAnsi="Times New Roman"/>
                      <w:color w:val="auto"/>
                      <w:szCs w:val="21"/>
                    </w:rPr>
                  </w:pPr>
                  <w:r>
                    <w:rPr>
                      <w:rFonts w:hint="eastAsia" w:ascii="Times New Roman" w:hAnsi="Times New Roman"/>
                      <w:color w:val="auto"/>
                      <w:szCs w:val="21"/>
                    </w:rPr>
                    <w:t>700</w:t>
                  </w:r>
                </w:p>
              </w:tc>
              <w:tc>
                <w:tcPr>
                  <w:tcW w:w="889"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人群</w:t>
                  </w:r>
                </w:p>
                <w:p>
                  <w:pPr>
                    <w:pStyle w:val="14"/>
                    <w:adjustRightInd w:val="0"/>
                    <w:snapToGrid w:val="0"/>
                    <w:jc w:val="center"/>
                    <w:rPr>
                      <w:rFonts w:ascii="Times New Roman" w:hAnsi="Times New Roman"/>
                      <w:color w:val="auto"/>
                      <w:szCs w:val="21"/>
                    </w:rPr>
                  </w:pPr>
                  <w:r>
                    <w:rPr>
                      <w:rFonts w:ascii="Times New Roman" w:hAnsi="Times New Roman"/>
                      <w:color w:val="auto"/>
                      <w:szCs w:val="21"/>
                    </w:rPr>
                    <w:t>健康</w:t>
                  </w:r>
                </w:p>
              </w:tc>
              <w:tc>
                <w:tcPr>
                  <w:tcW w:w="2141"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《环境空气质量标准》（GB3095-2012）及其修改单中的二级标准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1"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生态</w:t>
                  </w:r>
                </w:p>
                <w:p>
                  <w:pPr>
                    <w:pStyle w:val="14"/>
                    <w:adjustRightInd w:val="0"/>
                    <w:snapToGrid w:val="0"/>
                    <w:jc w:val="center"/>
                    <w:rPr>
                      <w:rFonts w:ascii="Times New Roman" w:hAnsi="Times New Roman"/>
                      <w:color w:val="auto"/>
                      <w:szCs w:val="21"/>
                    </w:rPr>
                  </w:pPr>
                  <w:r>
                    <w:rPr>
                      <w:rFonts w:ascii="Times New Roman" w:hAnsi="Times New Roman"/>
                      <w:color w:val="auto"/>
                      <w:szCs w:val="21"/>
                    </w:rPr>
                    <w:t>环境</w:t>
                  </w:r>
                </w:p>
              </w:tc>
              <w:tc>
                <w:tcPr>
                  <w:tcW w:w="1553"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土壤、植被</w:t>
                  </w:r>
                </w:p>
              </w:tc>
              <w:tc>
                <w:tcPr>
                  <w:tcW w:w="1011"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w:t>
                  </w:r>
                </w:p>
              </w:tc>
              <w:tc>
                <w:tcPr>
                  <w:tcW w:w="897"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w:t>
                  </w:r>
                </w:p>
              </w:tc>
              <w:tc>
                <w:tcPr>
                  <w:tcW w:w="856"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w:t>
                  </w:r>
                </w:p>
              </w:tc>
              <w:tc>
                <w:tcPr>
                  <w:tcW w:w="889"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w:t>
                  </w:r>
                </w:p>
              </w:tc>
              <w:tc>
                <w:tcPr>
                  <w:tcW w:w="2141" w:type="dxa"/>
                  <w:vAlign w:val="center"/>
                </w:tcPr>
                <w:p>
                  <w:pPr>
                    <w:pStyle w:val="14"/>
                    <w:adjustRightInd w:val="0"/>
                    <w:snapToGrid w:val="0"/>
                    <w:jc w:val="center"/>
                    <w:rPr>
                      <w:rFonts w:ascii="Times New Roman" w:hAnsi="Times New Roman"/>
                      <w:color w:val="auto"/>
                      <w:szCs w:val="21"/>
                    </w:rPr>
                  </w:pPr>
                  <w:r>
                    <w:rPr>
                      <w:rFonts w:ascii="Times New Roman" w:hAnsi="Times New Roman"/>
                      <w:color w:val="auto"/>
                      <w:szCs w:val="21"/>
                    </w:rPr>
                    <w:t>防止生态破坏和土壤污染</w:t>
                  </w:r>
                </w:p>
              </w:tc>
            </w:tr>
          </w:tbl>
          <w:p>
            <w:pPr>
              <w:pStyle w:val="69"/>
              <w:rPr>
                <w:color w:val="auto"/>
              </w:rPr>
            </w:pPr>
            <w:r>
              <w:rPr>
                <w:color w:val="auto"/>
              </w:rPr>
              <w:t>根据区域内环境状况和本项目污染物排放情况，环境污染控制目标确定为：</w:t>
            </w:r>
          </w:p>
          <w:p>
            <w:pPr>
              <w:pStyle w:val="69"/>
              <w:rPr>
                <w:color w:val="auto"/>
              </w:rPr>
            </w:pPr>
            <w:r>
              <w:rPr>
                <w:rFonts w:hint="eastAsia"/>
                <w:color w:val="auto"/>
              </w:rPr>
              <w:t>（1）</w:t>
            </w:r>
            <w:r>
              <w:rPr>
                <w:color w:val="auto"/>
              </w:rPr>
              <w:t>空气环境：保护项目区所在的区域环境空气质量，不因该项目的建设而降低空气质量级别；</w:t>
            </w:r>
          </w:p>
          <w:p>
            <w:pPr>
              <w:pStyle w:val="69"/>
              <w:rPr>
                <w:color w:val="auto"/>
              </w:rPr>
            </w:pPr>
            <w:r>
              <w:rPr>
                <w:rFonts w:hint="eastAsia"/>
                <w:color w:val="auto"/>
              </w:rPr>
              <w:t>（2）</w:t>
            </w:r>
            <w:r>
              <w:rPr>
                <w:color w:val="auto"/>
              </w:rPr>
              <w:t>声环境：重点控制运营期</w:t>
            </w:r>
            <w:r>
              <w:rPr>
                <w:rFonts w:hint="eastAsia"/>
                <w:color w:val="auto"/>
              </w:rPr>
              <w:t>搅拌机等</w:t>
            </w:r>
            <w:r>
              <w:rPr>
                <w:color w:val="auto"/>
              </w:rPr>
              <w:t>运行噪声，运营期噪声控制在《工业企业厂界环境噪声排放标准》(GB12348-2008</w:t>
            </w:r>
            <w:r>
              <w:rPr>
                <w:rFonts w:hint="eastAsia"/>
                <w:color w:val="auto"/>
              </w:rPr>
              <w:t>）</w:t>
            </w:r>
            <w:r>
              <w:rPr>
                <w:color w:val="auto"/>
              </w:rPr>
              <w:t>中</w:t>
            </w:r>
            <w:r>
              <w:rPr>
                <w:rFonts w:hint="eastAsia"/>
                <w:color w:val="auto"/>
              </w:rPr>
              <w:t>2</w:t>
            </w:r>
            <w:r>
              <w:rPr>
                <w:color w:val="auto"/>
              </w:rPr>
              <w:t>类标准，不降低项目区周围声环境质量，厂界外声环境质量基本不受项目生产影响；</w:t>
            </w:r>
          </w:p>
          <w:p>
            <w:pPr>
              <w:pStyle w:val="69"/>
              <w:rPr>
                <w:color w:val="auto"/>
              </w:rPr>
            </w:pPr>
            <w:r>
              <w:rPr>
                <w:rFonts w:hint="eastAsia"/>
                <w:color w:val="auto"/>
              </w:rPr>
              <w:t>（3）</w:t>
            </w:r>
            <w:r>
              <w:rPr>
                <w:rFonts w:hint="eastAsia"/>
                <w:color w:val="auto"/>
                <w:lang w:val="zh-CN"/>
              </w:rPr>
              <w:t>本项目营运过程中产生的生产废水经沉淀池沉淀后回用于生产，</w:t>
            </w:r>
            <w:r>
              <w:rPr>
                <w:rFonts w:cs="Times New Roman"/>
                <w:color w:val="auto"/>
              </w:rPr>
              <w:t>生活污水排入防渗化粪池收集，吸污车清运至</w:t>
            </w:r>
            <w:r>
              <w:rPr>
                <w:rFonts w:hint="eastAsia" w:cs="Times New Roman"/>
                <w:color w:val="auto"/>
              </w:rPr>
              <w:t>奎屯市中区污水处理厂</w:t>
            </w:r>
            <w:r>
              <w:rPr>
                <w:rFonts w:hint="eastAsia"/>
                <w:color w:val="auto"/>
              </w:rPr>
              <w:t>；</w:t>
            </w:r>
            <w:r>
              <w:rPr>
                <w:color w:val="auto"/>
              </w:rPr>
              <w:t>保证建设项目区的地下水不受项目的影响而降低。</w:t>
            </w:r>
          </w:p>
          <w:p>
            <w:pPr>
              <w:pStyle w:val="69"/>
              <w:rPr>
                <w:rFonts w:ascii="宋体" w:hAnsi="宋体"/>
                <w:color w:val="auto"/>
                <w:kern w:val="0"/>
              </w:rPr>
            </w:pPr>
            <w:r>
              <w:rPr>
                <w:rFonts w:hint="eastAsia"/>
                <w:color w:val="auto"/>
              </w:rPr>
              <w:t>（4）</w:t>
            </w:r>
            <w:r>
              <w:rPr>
                <w:color w:val="auto"/>
              </w:rPr>
              <w:t>固体废物：本项目产生的固体废物应作到合理有效的处置，确保区域环境卫生不受影响。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667" w:type="dxa"/>
            <w:tcMar>
              <w:left w:w="28" w:type="dxa"/>
              <w:right w:w="28" w:type="dxa"/>
            </w:tcMar>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污</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染</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物</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排</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放</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控</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制</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标</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准</w:t>
            </w:r>
          </w:p>
        </w:tc>
        <w:tc>
          <w:tcPr>
            <w:tcW w:w="8394" w:type="dxa"/>
            <w:vAlign w:val="center"/>
          </w:tcPr>
          <w:p>
            <w:pPr>
              <w:pStyle w:val="69"/>
              <w:rPr>
                <w:rFonts w:cs="Times New Roman"/>
                <w:color w:val="auto"/>
              </w:rPr>
            </w:pPr>
            <w:r>
              <w:rPr>
                <w:rFonts w:hint="eastAsia" w:cs="Times New Roman"/>
                <w:color w:val="auto"/>
              </w:rPr>
              <w:t>（</w:t>
            </w:r>
            <w:r>
              <w:rPr>
                <w:rFonts w:cs="Times New Roman"/>
                <w:color w:val="auto"/>
              </w:rPr>
              <w:t>1</w:t>
            </w:r>
            <w:r>
              <w:rPr>
                <w:rFonts w:hint="eastAsia" w:cs="Times New Roman"/>
                <w:color w:val="auto"/>
              </w:rPr>
              <w:t>）大气污染物：</w:t>
            </w:r>
            <w:r>
              <w:rPr>
                <w:rFonts w:cs="Times New Roman"/>
                <w:color w:val="auto"/>
              </w:rPr>
              <w:t>本项目施工期大气污染物执行《大气污染物综合排放标准》（GB16297-1996）中无组织排放监控浓度限值（周界外浓度最高点：1.0mg/m</w:t>
            </w:r>
            <w:r>
              <w:rPr>
                <w:rFonts w:cs="Times New Roman"/>
                <w:color w:val="auto"/>
                <w:vertAlign w:val="superscript"/>
              </w:rPr>
              <w:t>3</w:t>
            </w:r>
            <w:r>
              <w:rPr>
                <w:rFonts w:cs="Times New Roman"/>
                <w:color w:val="auto"/>
              </w:rPr>
              <w:t>）</w:t>
            </w:r>
            <w:r>
              <w:rPr>
                <w:rFonts w:hint="eastAsia" w:cs="Times New Roman"/>
                <w:color w:val="auto"/>
                <w:lang w:eastAsia="zh-CN"/>
              </w:rPr>
              <w:t>，</w:t>
            </w:r>
            <w:r>
              <w:rPr>
                <w:rFonts w:hint="eastAsia" w:cs="Times New Roman"/>
                <w:color w:val="auto"/>
                <w:lang w:val="en-US" w:eastAsia="zh-CN"/>
              </w:rPr>
              <w:t>详见表3-4</w:t>
            </w:r>
            <w:r>
              <w:rPr>
                <w:rFonts w:cs="Times New Roman"/>
                <w:color w:val="auto"/>
              </w:rPr>
              <w:t>；</w:t>
            </w:r>
            <w:r>
              <w:rPr>
                <w:rFonts w:hint="eastAsia" w:cs="Times New Roman"/>
                <w:color w:val="auto"/>
                <w:lang w:val="en-US" w:eastAsia="zh-CN"/>
              </w:rPr>
              <w:t>营运期</w:t>
            </w:r>
            <w:r>
              <w:rPr>
                <w:rFonts w:hint="eastAsia" w:cs="Times New Roman"/>
                <w:color w:val="auto"/>
              </w:rPr>
              <w:t>有组织</w:t>
            </w:r>
            <w:r>
              <w:rPr>
                <w:rFonts w:cs="Times New Roman"/>
                <w:color w:val="auto"/>
              </w:rPr>
              <w:t>颗粒物排放执行《水泥工业大气污染物排放标准》（GB 4915-2013）中表</w:t>
            </w:r>
            <w:r>
              <w:rPr>
                <w:rFonts w:hint="eastAsia" w:cs="Times New Roman"/>
                <w:color w:val="auto"/>
              </w:rPr>
              <w:t>1中散装水泥中转站及水泥制品生产限值；</w:t>
            </w:r>
            <w:r>
              <w:rPr>
                <w:rFonts w:cs="Times New Roman"/>
                <w:color w:val="auto"/>
              </w:rPr>
              <w:t>无组织排放限值厂界颗粒物排放执行《水泥工业大气污染物排放标准》（GB 4915-2013）中表3无组织排放限值，见表3-</w:t>
            </w:r>
            <w:r>
              <w:rPr>
                <w:rFonts w:hint="eastAsia" w:cs="Times New Roman"/>
                <w:color w:val="auto"/>
                <w:lang w:val="en-US" w:eastAsia="zh-CN"/>
              </w:rPr>
              <w:t>5</w:t>
            </w:r>
            <w:r>
              <w:rPr>
                <w:rFonts w:cs="Times New Roman"/>
                <w:color w:val="auto"/>
              </w:rPr>
              <w:t>。</w:t>
            </w:r>
          </w:p>
          <w:p>
            <w:pPr>
              <w:pStyle w:val="39"/>
              <w:bidi w:val="0"/>
              <w:rPr>
                <w:rFonts w:ascii="Times New Roman" w:hAnsi="Times New Roman" w:cs="Times New Roman"/>
                <w:color w:val="auto"/>
              </w:rPr>
            </w:pPr>
            <w:r>
              <w:rPr>
                <w:color w:val="auto"/>
              </w:rPr>
              <w:t xml:space="preserve">表3-5 </w:t>
            </w:r>
            <w:r>
              <w:rPr>
                <w:rFonts w:hint="eastAsia"/>
                <w:color w:val="auto"/>
              </w:rPr>
              <w:t xml:space="preserve"> </w:t>
            </w:r>
            <w:r>
              <w:rPr>
                <w:rFonts w:hint="eastAsia"/>
                <w:color w:val="auto"/>
                <w:lang w:val="en-US" w:eastAsia="zh-CN"/>
              </w:rPr>
              <w:t>施工期</w:t>
            </w:r>
            <w:r>
              <w:rPr>
                <w:rFonts w:hint="eastAsia"/>
                <w:color w:val="auto"/>
              </w:rPr>
              <w:t>大气污染物综合排放标准  单位</w:t>
            </w:r>
            <w:r>
              <w:rPr>
                <w:rFonts w:ascii="Times New Roman" w:hAnsi="Times New Roman" w:cs="Times New Roman"/>
                <w:color w:val="auto"/>
              </w:rPr>
              <w:t>：mg/m</w:t>
            </w:r>
            <w:r>
              <w:rPr>
                <w:rFonts w:ascii="Times New Roman" w:hAnsi="Times New Roman" w:cs="Times New Roman"/>
                <w:color w:val="auto"/>
                <w:vertAlign w:val="superscript"/>
              </w:rPr>
              <w:t>3</w:t>
            </w:r>
          </w:p>
          <w:tbl>
            <w:tblPr>
              <w:tblStyle w:val="30"/>
              <w:tblW w:w="492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431"/>
              <w:gridCol w:w="40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41" w:type="pct"/>
                  <w:vAlign w:val="center"/>
                </w:tcPr>
                <w:p>
                  <w:pPr>
                    <w:adjustRightInd w:val="0"/>
                    <w:snapToGrid w:val="0"/>
                    <w:jc w:val="center"/>
                    <w:rPr>
                      <w:bCs/>
                      <w:color w:val="auto"/>
                      <w:szCs w:val="21"/>
                    </w:rPr>
                  </w:pPr>
                  <w:r>
                    <w:rPr>
                      <w:bCs/>
                      <w:color w:val="auto"/>
                      <w:szCs w:val="21"/>
                    </w:rPr>
                    <w:t>污染物</w:t>
                  </w:r>
                </w:p>
              </w:tc>
              <w:tc>
                <w:tcPr>
                  <w:tcW w:w="1486" w:type="pct"/>
                  <w:vAlign w:val="center"/>
                </w:tcPr>
                <w:p>
                  <w:pPr>
                    <w:adjustRightInd w:val="0"/>
                    <w:snapToGrid w:val="0"/>
                    <w:jc w:val="center"/>
                    <w:rPr>
                      <w:bCs/>
                      <w:color w:val="auto"/>
                      <w:szCs w:val="21"/>
                    </w:rPr>
                  </w:pPr>
                  <w:r>
                    <w:rPr>
                      <w:bCs/>
                      <w:color w:val="auto"/>
                      <w:szCs w:val="21"/>
                    </w:rPr>
                    <w:t>限值</w:t>
                  </w:r>
                </w:p>
              </w:tc>
              <w:tc>
                <w:tcPr>
                  <w:tcW w:w="2472" w:type="pct"/>
                  <w:vAlign w:val="center"/>
                </w:tcPr>
                <w:p>
                  <w:pPr>
                    <w:adjustRightInd w:val="0"/>
                    <w:snapToGrid w:val="0"/>
                    <w:jc w:val="center"/>
                    <w:rPr>
                      <w:bCs/>
                      <w:color w:val="auto"/>
                      <w:szCs w:val="21"/>
                    </w:rPr>
                  </w:pPr>
                  <w:r>
                    <w:rPr>
                      <w:bCs/>
                      <w:color w:val="auto"/>
                      <w:szCs w:val="21"/>
                    </w:rPr>
                    <w:t>污染物排放监控位置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41" w:type="pct"/>
                  <w:vAlign w:val="center"/>
                </w:tcPr>
                <w:p>
                  <w:pPr>
                    <w:adjustRightInd w:val="0"/>
                    <w:snapToGrid w:val="0"/>
                    <w:jc w:val="center"/>
                    <w:rPr>
                      <w:bCs/>
                      <w:color w:val="auto"/>
                      <w:szCs w:val="21"/>
                    </w:rPr>
                  </w:pPr>
                  <w:r>
                    <w:rPr>
                      <w:rFonts w:hint="eastAsia"/>
                      <w:bCs/>
                      <w:color w:val="auto"/>
                      <w:szCs w:val="21"/>
                    </w:rPr>
                    <w:t>无组织颗粒物</w:t>
                  </w:r>
                </w:p>
              </w:tc>
              <w:tc>
                <w:tcPr>
                  <w:tcW w:w="1486" w:type="pct"/>
                  <w:vAlign w:val="center"/>
                </w:tcPr>
                <w:p>
                  <w:pPr>
                    <w:adjustRightInd w:val="0"/>
                    <w:snapToGrid w:val="0"/>
                    <w:jc w:val="center"/>
                    <w:rPr>
                      <w:bCs/>
                      <w:color w:val="auto"/>
                      <w:szCs w:val="21"/>
                    </w:rPr>
                  </w:pPr>
                  <w:r>
                    <w:rPr>
                      <w:rFonts w:hint="eastAsia"/>
                      <w:bCs/>
                      <w:color w:val="auto"/>
                      <w:szCs w:val="21"/>
                    </w:rPr>
                    <w:t>1.0</w:t>
                  </w:r>
                </w:p>
              </w:tc>
              <w:tc>
                <w:tcPr>
                  <w:tcW w:w="2472" w:type="pct"/>
                  <w:vAlign w:val="center"/>
                </w:tcPr>
                <w:p>
                  <w:pPr>
                    <w:adjustRightInd w:val="0"/>
                    <w:snapToGrid w:val="0"/>
                    <w:jc w:val="center"/>
                    <w:rPr>
                      <w:bCs/>
                      <w:color w:val="auto"/>
                      <w:szCs w:val="21"/>
                    </w:rPr>
                  </w:pPr>
                  <w:r>
                    <w:rPr>
                      <w:rFonts w:hint="eastAsia"/>
                      <w:bCs/>
                      <w:color w:val="auto"/>
                      <w:szCs w:val="21"/>
                    </w:rPr>
                    <w:t>周界外浓度最高点</w:t>
                  </w:r>
                </w:p>
              </w:tc>
            </w:tr>
          </w:tbl>
          <w:p>
            <w:pPr>
              <w:widowControl/>
              <w:topLinePunct/>
              <w:adjustRightInd w:val="0"/>
              <w:snapToGrid w:val="0"/>
              <w:jc w:val="center"/>
              <w:rPr>
                <w:rFonts w:ascii="Times New Roman" w:hAnsi="Times New Roman" w:eastAsia="宋体" w:cs="Times New Roman"/>
                <w:b/>
                <w:color w:val="auto"/>
                <w:szCs w:val="21"/>
              </w:rPr>
            </w:pP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表3-</w:t>
            </w:r>
            <w:r>
              <w:rPr>
                <w:rFonts w:hint="eastAsia" w:cs="Times New Roman"/>
                <w:b/>
                <w:color w:val="auto"/>
                <w:szCs w:val="21"/>
                <w:lang w:val="en-US" w:eastAsia="zh-CN"/>
              </w:rPr>
              <w:t>5  营运期</w:t>
            </w:r>
            <w:r>
              <w:rPr>
                <w:rFonts w:ascii="Times New Roman" w:hAnsi="Times New Roman" w:eastAsia="宋体" w:cs="Times New Roman"/>
                <w:b/>
                <w:color w:val="auto"/>
                <w:szCs w:val="21"/>
              </w:rPr>
              <w:t>大气污染物排放限值</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873"/>
              <w:gridCol w:w="1133"/>
              <w:gridCol w:w="1846"/>
              <w:gridCol w:w="37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rPr>
                    <w:t>序号</w:t>
                  </w:r>
                </w:p>
              </w:tc>
              <w:tc>
                <w:tcPr>
                  <w:tcW w:w="525" w:type="pc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rPr>
                    <w:t>污染物</w:t>
                  </w:r>
                </w:p>
              </w:tc>
              <w:tc>
                <w:tcPr>
                  <w:tcW w:w="682" w:type="pc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rPr>
                    <w:t>排放形式</w:t>
                  </w:r>
                </w:p>
              </w:tc>
              <w:tc>
                <w:tcPr>
                  <w:tcW w:w="1111" w:type="pc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rPr>
                    <w:t>标准限值（mg/m</w:t>
                  </w:r>
                  <w:r>
                    <w:rPr>
                      <w:bCs/>
                      <w:color w:val="auto"/>
                      <w:kern w:val="0"/>
                      <w:szCs w:val="21"/>
                      <w:vertAlign w:val="superscript"/>
                    </w:rPr>
                    <w:t>3</w:t>
                  </w:r>
                  <w:r>
                    <w:rPr>
                      <w:bCs/>
                      <w:color w:val="auto"/>
                      <w:kern w:val="0"/>
                      <w:szCs w:val="21"/>
                    </w:rPr>
                    <w:t>）</w:t>
                  </w:r>
                </w:p>
              </w:tc>
              <w:tc>
                <w:tcPr>
                  <w:tcW w:w="2285" w:type="pc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lang w:bidi="ar"/>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rPr>
                    <w:t>1</w:t>
                  </w:r>
                </w:p>
              </w:tc>
              <w:tc>
                <w:tcPr>
                  <w:tcW w:w="525" w:type="pct"/>
                  <w:vMerge w:val="restar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rPr>
                    <w:t>颗粒物</w:t>
                  </w:r>
                </w:p>
              </w:tc>
              <w:tc>
                <w:tcPr>
                  <w:tcW w:w="682" w:type="pc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rPr>
                    <w:t>无组织</w:t>
                  </w:r>
                </w:p>
              </w:tc>
              <w:tc>
                <w:tcPr>
                  <w:tcW w:w="1111" w:type="pct"/>
                  <w:tcBorders>
                    <w:tl2br w:val="nil"/>
                    <w:tr2bl w:val="nil"/>
                  </w:tcBorders>
                  <w:vAlign w:val="center"/>
                </w:tcPr>
                <w:p>
                  <w:pPr>
                    <w:autoSpaceDE w:val="0"/>
                    <w:autoSpaceDN w:val="0"/>
                    <w:adjustRightInd w:val="0"/>
                    <w:jc w:val="center"/>
                    <w:textAlignment w:val="center"/>
                    <w:rPr>
                      <w:bCs/>
                      <w:color w:val="auto"/>
                      <w:kern w:val="0"/>
                      <w:szCs w:val="21"/>
                    </w:rPr>
                  </w:pPr>
                  <w:r>
                    <w:rPr>
                      <w:bCs/>
                      <w:color w:val="auto"/>
                      <w:kern w:val="0"/>
                      <w:szCs w:val="21"/>
                    </w:rPr>
                    <w:t>0.5</w:t>
                  </w:r>
                </w:p>
              </w:tc>
              <w:tc>
                <w:tcPr>
                  <w:tcW w:w="2285" w:type="pct"/>
                  <w:tcBorders>
                    <w:tl2br w:val="nil"/>
                    <w:tr2bl w:val="nil"/>
                  </w:tcBorders>
                  <w:vAlign w:val="center"/>
                </w:tcPr>
                <w:p>
                  <w:pPr>
                    <w:autoSpaceDE w:val="0"/>
                    <w:autoSpaceDN w:val="0"/>
                    <w:adjustRightInd w:val="0"/>
                    <w:jc w:val="center"/>
                    <w:textAlignment w:val="center"/>
                    <w:rPr>
                      <w:bCs/>
                      <w:color w:val="auto"/>
                      <w:spacing w:val="-6"/>
                      <w:kern w:val="0"/>
                      <w:szCs w:val="21"/>
                    </w:rPr>
                  </w:pPr>
                  <w:r>
                    <w:rPr>
                      <w:color w:val="auto"/>
                      <w:spacing w:val="-6"/>
                      <w:szCs w:val="21"/>
                      <w:lang w:bidi="ar"/>
                    </w:rPr>
                    <w:t>《水泥工业大气污染物排放标准》（GB 4915-2013）中表3无组织排放限值</w:t>
                  </w:r>
                  <w:r>
                    <w:rPr>
                      <w:rFonts w:hint="eastAsia"/>
                      <w:color w:val="auto"/>
                      <w:spacing w:val="-6"/>
                      <w:szCs w:val="21"/>
                      <w:lang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 w:type="pct"/>
                  <w:tcBorders>
                    <w:tl2br w:val="nil"/>
                    <w:tr2bl w:val="nil"/>
                  </w:tcBorders>
                  <w:vAlign w:val="center"/>
                </w:tcPr>
                <w:p>
                  <w:pPr>
                    <w:autoSpaceDE w:val="0"/>
                    <w:autoSpaceDN w:val="0"/>
                    <w:adjustRightInd w:val="0"/>
                    <w:jc w:val="center"/>
                    <w:textAlignment w:val="center"/>
                    <w:rPr>
                      <w:bCs/>
                      <w:color w:val="auto"/>
                      <w:kern w:val="0"/>
                      <w:szCs w:val="21"/>
                    </w:rPr>
                  </w:pPr>
                  <w:r>
                    <w:rPr>
                      <w:rFonts w:hint="eastAsia"/>
                      <w:bCs/>
                      <w:color w:val="auto"/>
                      <w:kern w:val="0"/>
                      <w:szCs w:val="21"/>
                    </w:rPr>
                    <w:t>2</w:t>
                  </w:r>
                </w:p>
              </w:tc>
              <w:tc>
                <w:tcPr>
                  <w:tcW w:w="525" w:type="pct"/>
                  <w:vMerge w:val="continue"/>
                  <w:tcBorders>
                    <w:tl2br w:val="nil"/>
                    <w:tr2bl w:val="nil"/>
                  </w:tcBorders>
                  <w:vAlign w:val="center"/>
                </w:tcPr>
                <w:p>
                  <w:pPr>
                    <w:autoSpaceDE w:val="0"/>
                    <w:autoSpaceDN w:val="0"/>
                    <w:adjustRightInd w:val="0"/>
                    <w:jc w:val="center"/>
                    <w:textAlignment w:val="center"/>
                    <w:rPr>
                      <w:bCs/>
                      <w:color w:val="auto"/>
                      <w:kern w:val="0"/>
                      <w:szCs w:val="21"/>
                    </w:rPr>
                  </w:pPr>
                </w:p>
              </w:tc>
              <w:tc>
                <w:tcPr>
                  <w:tcW w:w="682" w:type="pct"/>
                  <w:tcBorders>
                    <w:tl2br w:val="nil"/>
                    <w:tr2bl w:val="nil"/>
                  </w:tcBorders>
                  <w:vAlign w:val="center"/>
                </w:tcPr>
                <w:p>
                  <w:pPr>
                    <w:autoSpaceDE w:val="0"/>
                    <w:autoSpaceDN w:val="0"/>
                    <w:adjustRightInd w:val="0"/>
                    <w:jc w:val="center"/>
                    <w:textAlignment w:val="center"/>
                    <w:rPr>
                      <w:bCs/>
                      <w:color w:val="auto"/>
                      <w:kern w:val="0"/>
                      <w:szCs w:val="21"/>
                    </w:rPr>
                  </w:pPr>
                  <w:r>
                    <w:rPr>
                      <w:rFonts w:hint="eastAsia"/>
                      <w:bCs/>
                      <w:color w:val="auto"/>
                      <w:kern w:val="0"/>
                      <w:szCs w:val="21"/>
                    </w:rPr>
                    <w:t>有组织</w:t>
                  </w:r>
                </w:p>
              </w:tc>
              <w:tc>
                <w:tcPr>
                  <w:tcW w:w="1111" w:type="pct"/>
                  <w:tcBorders>
                    <w:tl2br w:val="nil"/>
                    <w:tr2bl w:val="nil"/>
                  </w:tcBorders>
                  <w:vAlign w:val="center"/>
                </w:tcPr>
                <w:p>
                  <w:pPr>
                    <w:autoSpaceDE w:val="0"/>
                    <w:autoSpaceDN w:val="0"/>
                    <w:adjustRightInd w:val="0"/>
                    <w:jc w:val="center"/>
                    <w:textAlignment w:val="center"/>
                    <w:rPr>
                      <w:bCs/>
                      <w:color w:val="auto"/>
                      <w:kern w:val="0"/>
                      <w:szCs w:val="21"/>
                    </w:rPr>
                  </w:pPr>
                  <w:r>
                    <w:rPr>
                      <w:rFonts w:hint="eastAsia"/>
                      <w:bCs/>
                      <w:color w:val="auto"/>
                      <w:kern w:val="0"/>
                      <w:szCs w:val="21"/>
                    </w:rPr>
                    <w:t>20</w:t>
                  </w:r>
                </w:p>
              </w:tc>
              <w:tc>
                <w:tcPr>
                  <w:tcW w:w="2285" w:type="pct"/>
                  <w:tcBorders>
                    <w:tl2br w:val="nil"/>
                    <w:tr2bl w:val="nil"/>
                  </w:tcBorders>
                  <w:vAlign w:val="center"/>
                </w:tcPr>
                <w:p>
                  <w:pPr>
                    <w:autoSpaceDE w:val="0"/>
                    <w:autoSpaceDN w:val="0"/>
                    <w:adjustRightInd w:val="0"/>
                    <w:jc w:val="center"/>
                    <w:textAlignment w:val="center"/>
                    <w:rPr>
                      <w:color w:val="auto"/>
                      <w:spacing w:val="-6"/>
                      <w:szCs w:val="21"/>
                      <w:lang w:bidi="ar"/>
                    </w:rPr>
                  </w:pPr>
                  <w:r>
                    <w:rPr>
                      <w:color w:val="auto"/>
                      <w:spacing w:val="-6"/>
                      <w:szCs w:val="21"/>
                      <w:lang w:bidi="ar"/>
                    </w:rPr>
                    <w:t>《水泥工业大气污染物排放标准》（GB 4915-2013）中表</w:t>
                  </w:r>
                  <w:r>
                    <w:rPr>
                      <w:rFonts w:hint="eastAsia"/>
                      <w:color w:val="auto"/>
                      <w:spacing w:val="-6"/>
                      <w:szCs w:val="21"/>
                      <w:lang w:bidi="ar"/>
                    </w:rPr>
                    <w:t>1中散装水泥中转站及水泥制品生产限值。</w:t>
                  </w:r>
                </w:p>
              </w:tc>
            </w:tr>
          </w:tbl>
          <w:p>
            <w:pPr>
              <w:pStyle w:val="69"/>
              <w:rPr>
                <w:rFonts w:hint="eastAsia" w:eastAsia="宋体"/>
                <w:color w:val="auto"/>
                <w:szCs w:val="22"/>
                <w:lang w:eastAsia="zh-CN"/>
              </w:rPr>
            </w:pPr>
            <w:r>
              <w:rPr>
                <w:rFonts w:hint="eastAsia"/>
                <w:color w:val="auto"/>
                <w:szCs w:val="22"/>
              </w:rPr>
              <w:t>（2）噪声：</w:t>
            </w:r>
            <w:r>
              <w:rPr>
                <w:rFonts w:cs="Times New Roman"/>
                <w:color w:val="auto"/>
              </w:rPr>
              <w:t>施工期噪声排放执行《建筑施工场界环境噪声排放标准》（GB12523-2011）标准</w:t>
            </w:r>
            <w:r>
              <w:rPr>
                <w:rFonts w:hint="eastAsia" w:cs="Times New Roman"/>
                <w:color w:val="auto"/>
                <w:lang w:eastAsia="zh-CN"/>
              </w:rPr>
              <w:t>，</w:t>
            </w:r>
            <w:r>
              <w:rPr>
                <w:rFonts w:hint="eastAsia" w:cs="Times New Roman"/>
                <w:color w:val="auto"/>
                <w:lang w:val="en-US" w:eastAsia="zh-CN"/>
              </w:rPr>
              <w:t>见表3-6</w:t>
            </w:r>
            <w:r>
              <w:rPr>
                <w:rFonts w:cs="Times New Roman"/>
                <w:color w:val="auto"/>
              </w:rPr>
              <w:t>；</w:t>
            </w:r>
            <w:r>
              <w:rPr>
                <w:rFonts w:hint="eastAsia"/>
                <w:color w:val="auto"/>
                <w:szCs w:val="22"/>
              </w:rPr>
              <w:t>营运期</w:t>
            </w:r>
            <w:r>
              <w:rPr>
                <w:color w:val="auto"/>
                <w:szCs w:val="22"/>
              </w:rPr>
              <w:t>噪声执行《工业企业厂界环境噪声排放标准》(GB12348-2008</w:t>
            </w:r>
            <w:r>
              <w:rPr>
                <w:rFonts w:hint="eastAsia"/>
                <w:color w:val="auto"/>
                <w:szCs w:val="22"/>
              </w:rPr>
              <w:t>）</w:t>
            </w:r>
            <w:r>
              <w:rPr>
                <w:color w:val="auto"/>
                <w:szCs w:val="22"/>
              </w:rPr>
              <w:t>中2类标准，即昼间60dB（A），夜间50dB（A）</w:t>
            </w:r>
            <w:r>
              <w:rPr>
                <w:rFonts w:hint="eastAsia"/>
                <w:color w:val="auto"/>
                <w:szCs w:val="22"/>
                <w:lang w:eastAsia="zh-CN"/>
              </w:rPr>
              <w:t>。</w:t>
            </w:r>
          </w:p>
          <w:p>
            <w:pPr>
              <w:pStyle w:val="39"/>
              <w:bidi w:val="0"/>
              <w:rPr>
                <w:color w:val="auto"/>
              </w:rPr>
            </w:pPr>
            <w:r>
              <w:rPr>
                <w:color w:val="auto"/>
              </w:rPr>
              <w:t xml:space="preserve">表3-6  </w:t>
            </w:r>
            <w:r>
              <w:rPr>
                <w:rFonts w:hint="eastAsia"/>
                <w:color w:val="auto"/>
              </w:rPr>
              <w:t>建筑施工场界环境噪声排放标准  单位：</w:t>
            </w:r>
            <w:r>
              <w:rPr>
                <w:rFonts w:ascii="Times New Roman" w:hAnsi="Times New Roman" w:cs="Times New Roman"/>
                <w:color w:val="auto"/>
              </w:rPr>
              <w:t>dB（A）</w:t>
            </w:r>
          </w:p>
          <w:tbl>
            <w:tblPr>
              <w:tblStyle w:val="30"/>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2769"/>
              <w:gridCol w:w="27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66" w:type="pct"/>
                  <w:vAlign w:val="center"/>
                </w:tcPr>
                <w:p>
                  <w:pPr>
                    <w:jc w:val="center"/>
                    <w:rPr>
                      <w:color w:val="auto"/>
                      <w:szCs w:val="21"/>
                    </w:rPr>
                  </w:pPr>
                  <w:r>
                    <w:rPr>
                      <w:color w:val="auto"/>
                      <w:szCs w:val="21"/>
                    </w:rPr>
                    <w:t>类  别</w:t>
                  </w:r>
                </w:p>
              </w:tc>
              <w:tc>
                <w:tcPr>
                  <w:tcW w:w="1666" w:type="pct"/>
                  <w:vAlign w:val="center"/>
                </w:tcPr>
                <w:p>
                  <w:pPr>
                    <w:jc w:val="center"/>
                    <w:rPr>
                      <w:color w:val="auto"/>
                      <w:szCs w:val="21"/>
                    </w:rPr>
                  </w:pPr>
                  <w:r>
                    <w:rPr>
                      <w:color w:val="auto"/>
                      <w:szCs w:val="21"/>
                    </w:rPr>
                    <w:t>昼  间</w:t>
                  </w:r>
                </w:p>
              </w:tc>
              <w:tc>
                <w:tcPr>
                  <w:tcW w:w="1666" w:type="pct"/>
                  <w:vAlign w:val="center"/>
                </w:tcPr>
                <w:p>
                  <w:pPr>
                    <w:jc w:val="center"/>
                    <w:rPr>
                      <w:color w:val="auto"/>
                      <w:szCs w:val="21"/>
                    </w:rPr>
                  </w:pPr>
                  <w:r>
                    <w:rPr>
                      <w:color w:val="auto"/>
                      <w:szCs w:val="21"/>
                    </w:rPr>
                    <w:t>夜  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66" w:type="pct"/>
                  <w:vAlign w:val="center"/>
                </w:tcPr>
                <w:p>
                  <w:pPr>
                    <w:jc w:val="center"/>
                    <w:rPr>
                      <w:color w:val="auto"/>
                      <w:szCs w:val="21"/>
                    </w:rPr>
                  </w:pPr>
                  <w:r>
                    <w:rPr>
                      <w:rFonts w:hint="eastAsia"/>
                      <w:color w:val="auto"/>
                      <w:szCs w:val="21"/>
                    </w:rPr>
                    <w:t>场界</w:t>
                  </w:r>
                </w:p>
              </w:tc>
              <w:tc>
                <w:tcPr>
                  <w:tcW w:w="1666" w:type="pct"/>
                  <w:vAlign w:val="center"/>
                </w:tcPr>
                <w:p>
                  <w:pPr>
                    <w:jc w:val="center"/>
                    <w:rPr>
                      <w:color w:val="auto"/>
                      <w:szCs w:val="21"/>
                    </w:rPr>
                  </w:pPr>
                  <w:r>
                    <w:rPr>
                      <w:color w:val="auto"/>
                      <w:szCs w:val="21"/>
                    </w:rPr>
                    <w:t>70</w:t>
                  </w:r>
                </w:p>
              </w:tc>
              <w:tc>
                <w:tcPr>
                  <w:tcW w:w="1666" w:type="pct"/>
                  <w:vAlign w:val="center"/>
                </w:tcPr>
                <w:p>
                  <w:pPr>
                    <w:jc w:val="center"/>
                    <w:rPr>
                      <w:color w:val="auto"/>
                      <w:szCs w:val="21"/>
                    </w:rPr>
                  </w:pPr>
                  <w:r>
                    <w:rPr>
                      <w:rFonts w:hint="eastAsia"/>
                      <w:color w:val="auto"/>
                      <w:szCs w:val="21"/>
                    </w:rPr>
                    <w:t>5</w:t>
                  </w:r>
                  <w:r>
                    <w:rPr>
                      <w:color w:val="auto"/>
                      <w:szCs w:val="21"/>
                    </w:rPr>
                    <w:t>5</w:t>
                  </w:r>
                </w:p>
              </w:tc>
            </w:tr>
          </w:tbl>
          <w:p>
            <w:pPr>
              <w:widowControl/>
              <w:topLinePunct/>
              <w:adjustRightInd w:val="0"/>
              <w:snapToGrid w:val="0"/>
              <w:jc w:val="center"/>
              <w:rPr>
                <w:rFonts w:ascii="Times New Roman" w:hAnsi="Times New Roman" w:eastAsia="宋体" w:cs="Times New Roman"/>
                <w:b/>
                <w:color w:val="auto"/>
                <w:szCs w:val="21"/>
              </w:rPr>
            </w:pP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表3-</w:t>
            </w:r>
            <w:r>
              <w:rPr>
                <w:rFonts w:hint="eastAsia" w:cs="Times New Roman"/>
                <w:b/>
                <w:color w:val="auto"/>
                <w:szCs w:val="21"/>
                <w:lang w:val="en-US" w:eastAsia="zh-CN"/>
              </w:rPr>
              <w:t>7</w:t>
            </w:r>
            <w:r>
              <w:rPr>
                <w:rFonts w:ascii="Times New Roman" w:hAnsi="Times New Roman" w:eastAsia="宋体" w:cs="Times New Roman"/>
                <w:b/>
                <w:color w:val="auto"/>
                <w:szCs w:val="21"/>
              </w:rPr>
              <w:t xml:space="preserve">    《工业企业厂界环境噪声排放标准》(GB12348-2008) </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2686"/>
              <w:gridCol w:w="2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685" w:type="dxa"/>
                  <w:vAlign w:val="center"/>
                </w:tcPr>
                <w:p>
                  <w:pPr>
                    <w:jc w:val="center"/>
                    <w:rPr>
                      <w:color w:val="auto"/>
                      <w:szCs w:val="21"/>
                    </w:rPr>
                  </w:pPr>
                  <w:r>
                    <w:rPr>
                      <w:color w:val="auto"/>
                      <w:szCs w:val="21"/>
                    </w:rPr>
                    <w:t>类  别</w:t>
                  </w:r>
                </w:p>
              </w:tc>
              <w:tc>
                <w:tcPr>
                  <w:tcW w:w="2686" w:type="dxa"/>
                  <w:vAlign w:val="center"/>
                </w:tcPr>
                <w:p>
                  <w:pPr>
                    <w:jc w:val="center"/>
                    <w:rPr>
                      <w:color w:val="auto"/>
                      <w:szCs w:val="21"/>
                    </w:rPr>
                  </w:pPr>
                  <w:r>
                    <w:rPr>
                      <w:color w:val="auto"/>
                      <w:szCs w:val="21"/>
                    </w:rPr>
                    <w:t>昼  间</w:t>
                  </w:r>
                </w:p>
              </w:tc>
              <w:tc>
                <w:tcPr>
                  <w:tcW w:w="2686" w:type="dxa"/>
                  <w:vAlign w:val="center"/>
                </w:tcPr>
                <w:p>
                  <w:pPr>
                    <w:jc w:val="center"/>
                    <w:rPr>
                      <w:color w:val="auto"/>
                      <w:szCs w:val="21"/>
                    </w:rPr>
                  </w:pPr>
                  <w:r>
                    <w:rPr>
                      <w:color w:val="auto"/>
                      <w:szCs w:val="21"/>
                    </w:rPr>
                    <w:t>夜  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685" w:type="dxa"/>
                  <w:vAlign w:val="center"/>
                </w:tcPr>
                <w:p>
                  <w:pPr>
                    <w:jc w:val="center"/>
                    <w:rPr>
                      <w:color w:val="auto"/>
                      <w:szCs w:val="21"/>
                    </w:rPr>
                  </w:pPr>
                  <w:r>
                    <w:rPr>
                      <w:color w:val="auto"/>
                      <w:szCs w:val="21"/>
                    </w:rPr>
                    <w:t>2类标准</w:t>
                  </w:r>
                </w:p>
              </w:tc>
              <w:tc>
                <w:tcPr>
                  <w:tcW w:w="2686" w:type="dxa"/>
                  <w:vAlign w:val="center"/>
                </w:tcPr>
                <w:p>
                  <w:pPr>
                    <w:jc w:val="center"/>
                    <w:rPr>
                      <w:color w:val="auto"/>
                      <w:szCs w:val="21"/>
                    </w:rPr>
                  </w:pPr>
                  <w:r>
                    <w:rPr>
                      <w:color w:val="auto"/>
                      <w:szCs w:val="21"/>
                    </w:rPr>
                    <w:t>60</w:t>
                  </w:r>
                  <w:r>
                    <w:rPr>
                      <w:color w:val="auto"/>
                    </w:rPr>
                    <w:t>dB（A）</w:t>
                  </w:r>
                </w:p>
              </w:tc>
              <w:tc>
                <w:tcPr>
                  <w:tcW w:w="2686" w:type="dxa"/>
                  <w:vAlign w:val="center"/>
                </w:tcPr>
                <w:p>
                  <w:pPr>
                    <w:jc w:val="center"/>
                    <w:rPr>
                      <w:color w:val="auto"/>
                      <w:szCs w:val="21"/>
                    </w:rPr>
                  </w:pPr>
                  <w:r>
                    <w:rPr>
                      <w:color w:val="auto"/>
                      <w:szCs w:val="21"/>
                    </w:rPr>
                    <w:t>50</w:t>
                  </w:r>
                  <w:r>
                    <w:rPr>
                      <w:color w:val="auto"/>
                    </w:rPr>
                    <w:t>dB（A）</w:t>
                  </w:r>
                </w:p>
              </w:tc>
            </w:tr>
          </w:tbl>
          <w:p>
            <w:pPr>
              <w:pStyle w:val="119"/>
              <w:ind w:firstLine="480"/>
              <w:jc w:val="left"/>
              <w:rPr>
                <w:color w:val="auto"/>
              </w:rPr>
            </w:pPr>
            <w:r>
              <w:rPr>
                <w:rFonts w:hint="eastAsia"/>
                <w:color w:val="auto"/>
              </w:rPr>
              <w:t>（3）</w:t>
            </w:r>
            <w:r>
              <w:rPr>
                <w:color w:val="auto"/>
              </w:rPr>
              <w:t>废水：</w:t>
            </w:r>
            <w:r>
              <w:rPr>
                <w:rFonts w:hint="eastAsia"/>
                <w:color w:val="auto"/>
                <w:lang w:val="en-US" w:eastAsia="zh-CN"/>
              </w:rPr>
              <w:t>施工期及营运期</w:t>
            </w:r>
            <w:r>
              <w:rPr>
                <w:color w:val="auto"/>
              </w:rPr>
              <w:t>生活污水执行《污水综合排放标准》（GB 8978-1996）表4中三级标准。</w:t>
            </w:r>
          </w:p>
          <w:p>
            <w:pPr>
              <w:pStyle w:val="69"/>
              <w:rPr>
                <w:color w:val="auto"/>
              </w:rPr>
            </w:pPr>
            <w:r>
              <w:rPr>
                <w:rFonts w:hint="eastAsia"/>
                <w:color w:val="auto"/>
                <w:szCs w:val="22"/>
              </w:rPr>
              <w:t>（4）一般固废：</w:t>
            </w:r>
            <w:r>
              <w:rPr>
                <w:rFonts w:hint="eastAsia"/>
                <w:bCs/>
                <w:color w:val="auto"/>
              </w:rPr>
              <w:t>《一般工业固体废物贮存和填埋污染控制标准》（GB18599-2020）</w:t>
            </w:r>
            <w:r>
              <w:rPr>
                <w:rFonts w:hint="eastAsia"/>
                <w:color w:val="auto"/>
              </w:rPr>
              <w:t>。</w:t>
            </w:r>
          </w:p>
          <w:p>
            <w:pPr>
              <w:pStyle w:val="69"/>
              <w:ind w:firstLine="240" w:firstLineChars="100"/>
              <w:rPr>
                <w:rFonts w:hint="eastAsia" w:cs="Times New Roman"/>
                <w:color w:val="auto"/>
                <w:szCs w:val="22"/>
                <w:lang w:eastAsia="zh-CN"/>
              </w:rPr>
            </w:pPr>
            <w:r>
              <w:rPr>
                <w:rFonts w:hint="eastAsia" w:cs="Times New Roman"/>
                <w:color w:val="auto"/>
                <w:szCs w:val="22"/>
              </w:rPr>
              <w:t>（5）</w:t>
            </w:r>
            <w:r>
              <w:rPr>
                <w:rFonts w:cs="Times New Roman"/>
                <w:color w:val="auto"/>
                <w:szCs w:val="22"/>
              </w:rPr>
              <w:t>《危险废物贮存污染控制标准》（GB18597-20</w:t>
            </w:r>
            <w:r>
              <w:rPr>
                <w:rFonts w:hint="eastAsia" w:cs="Times New Roman"/>
                <w:color w:val="auto"/>
                <w:szCs w:val="22"/>
              </w:rPr>
              <w:t>23</w:t>
            </w:r>
            <w:r>
              <w:rPr>
                <w:rFonts w:cs="Times New Roman"/>
                <w:color w:val="auto"/>
                <w:szCs w:val="22"/>
              </w:rPr>
              <w:t>）</w:t>
            </w:r>
            <w:r>
              <w:rPr>
                <w:rFonts w:hint="eastAsia" w:cs="Times New Roman"/>
                <w:color w:val="auto"/>
                <w:szCs w:val="22"/>
              </w:rPr>
              <w:t>中的相关要求</w:t>
            </w:r>
            <w:r>
              <w:rPr>
                <w:rFonts w:hint="eastAsia" w:cs="Times New Roman"/>
                <w:color w:val="auto"/>
                <w:szCs w:val="22"/>
                <w:lang w:eastAsia="zh-CN"/>
              </w:rPr>
              <w:t>。</w:t>
            </w:r>
          </w:p>
          <w:p>
            <w:pPr>
              <w:pStyle w:val="69"/>
              <w:ind w:firstLine="240" w:firstLineChars="100"/>
              <w:rPr>
                <w:rFonts w:hint="eastAsia" w:cs="Times New Roman"/>
                <w:color w:val="auto"/>
                <w:szCs w:val="22"/>
                <w:lang w:eastAsia="zh-CN"/>
              </w:rPr>
            </w:pPr>
          </w:p>
          <w:p>
            <w:pPr>
              <w:pStyle w:val="69"/>
              <w:ind w:firstLine="240" w:firstLineChars="100"/>
              <w:rPr>
                <w:rFonts w:hint="eastAsia" w:cs="Times New Roman"/>
                <w:color w:val="auto"/>
                <w:szCs w:val="22"/>
                <w:lang w:eastAsia="zh-CN"/>
              </w:rPr>
            </w:pPr>
          </w:p>
          <w:p>
            <w:pPr>
              <w:pStyle w:val="69"/>
              <w:ind w:firstLine="240" w:firstLineChars="100"/>
              <w:rPr>
                <w:rFonts w:hint="eastAsia" w:cs="Times New Roman"/>
                <w:color w:val="auto"/>
                <w:szCs w:val="22"/>
                <w:lang w:eastAsia="zh-CN"/>
              </w:rPr>
            </w:pPr>
          </w:p>
          <w:p>
            <w:pPr>
              <w:pStyle w:val="69"/>
              <w:ind w:firstLine="240" w:firstLineChars="100"/>
              <w:rPr>
                <w:rFonts w:hint="eastAsia" w:cs="Times New Roman"/>
                <w:color w:val="auto"/>
                <w:szCs w:val="22"/>
                <w:lang w:eastAsia="zh-CN"/>
              </w:rPr>
            </w:pPr>
          </w:p>
          <w:p>
            <w:pPr>
              <w:pStyle w:val="69"/>
              <w:ind w:firstLine="240" w:firstLineChars="100"/>
              <w:rPr>
                <w:rFonts w:hint="eastAsia" w:cs="Times New Roman"/>
                <w:color w:val="auto"/>
                <w:szCs w:val="22"/>
                <w:lang w:eastAsia="zh-CN"/>
              </w:rPr>
            </w:pPr>
          </w:p>
          <w:p>
            <w:pPr>
              <w:pStyle w:val="69"/>
              <w:ind w:firstLine="240" w:firstLineChars="100"/>
              <w:rPr>
                <w:rFonts w:hint="eastAsia" w:cs="Times New Roman"/>
                <w:color w:val="auto"/>
                <w:szCs w:val="22"/>
                <w:lang w:eastAsia="zh-CN"/>
              </w:rPr>
            </w:pPr>
          </w:p>
          <w:p>
            <w:pPr>
              <w:pStyle w:val="69"/>
              <w:ind w:firstLine="240" w:firstLineChars="100"/>
              <w:rPr>
                <w:rFonts w:hint="eastAsia" w:cs="Times New Roman"/>
                <w:color w:val="auto"/>
                <w:szCs w:val="22"/>
                <w:lang w:eastAsia="zh-CN"/>
              </w:rPr>
            </w:pPr>
          </w:p>
          <w:p>
            <w:pPr>
              <w:pStyle w:val="69"/>
              <w:ind w:firstLine="240" w:firstLineChars="100"/>
              <w:rPr>
                <w:rFonts w:hint="eastAsia" w:cs="Times New Roman"/>
                <w:color w:val="auto"/>
                <w:szCs w:val="22"/>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9" w:hRule="atLeast"/>
          <w:jc w:val="center"/>
        </w:trPr>
        <w:tc>
          <w:tcPr>
            <w:tcW w:w="667" w:type="dxa"/>
            <w:vAlign w:val="center"/>
          </w:tcPr>
          <w:p>
            <w:pPr>
              <w:adjustRightInd w:val="0"/>
              <w:snapToGrid w:val="0"/>
              <w:jc w:val="center"/>
              <w:rPr>
                <w:rFonts w:cs="宋体"/>
                <w:bCs/>
                <w:snapToGrid w:val="0"/>
                <w:color w:val="auto"/>
                <w:sz w:val="24"/>
              </w:rPr>
            </w:pPr>
            <w:r>
              <w:rPr>
                <w:rFonts w:hint="eastAsia" w:cs="宋体"/>
                <w:bCs/>
                <w:snapToGrid w:val="0"/>
                <w:color w:val="auto"/>
                <w:sz w:val="24"/>
              </w:rPr>
              <w:t>总</w:t>
            </w:r>
          </w:p>
          <w:p>
            <w:pPr>
              <w:adjustRightInd w:val="0"/>
              <w:snapToGrid w:val="0"/>
              <w:jc w:val="center"/>
              <w:rPr>
                <w:rFonts w:cs="宋体"/>
                <w:bCs/>
                <w:snapToGrid w:val="0"/>
                <w:color w:val="auto"/>
                <w:sz w:val="24"/>
              </w:rPr>
            </w:pPr>
            <w:r>
              <w:rPr>
                <w:rFonts w:hint="eastAsia" w:cs="宋体"/>
                <w:bCs/>
                <w:snapToGrid w:val="0"/>
                <w:color w:val="auto"/>
                <w:sz w:val="24"/>
              </w:rPr>
              <w:t>量</w:t>
            </w:r>
          </w:p>
          <w:p>
            <w:pPr>
              <w:adjustRightInd w:val="0"/>
              <w:snapToGrid w:val="0"/>
              <w:jc w:val="center"/>
              <w:rPr>
                <w:rFonts w:cs="宋体"/>
                <w:bCs/>
                <w:snapToGrid w:val="0"/>
                <w:color w:val="auto"/>
                <w:sz w:val="24"/>
              </w:rPr>
            </w:pPr>
            <w:r>
              <w:rPr>
                <w:rFonts w:hint="eastAsia" w:cs="宋体"/>
                <w:bCs/>
                <w:snapToGrid w:val="0"/>
                <w:color w:val="auto"/>
                <w:sz w:val="24"/>
              </w:rPr>
              <w:t>控</w:t>
            </w:r>
          </w:p>
          <w:p>
            <w:pPr>
              <w:adjustRightInd w:val="0"/>
              <w:snapToGrid w:val="0"/>
              <w:jc w:val="center"/>
              <w:rPr>
                <w:rFonts w:cs="宋体"/>
                <w:bCs/>
                <w:snapToGrid w:val="0"/>
                <w:color w:val="auto"/>
                <w:sz w:val="24"/>
              </w:rPr>
            </w:pPr>
            <w:r>
              <w:rPr>
                <w:rFonts w:hint="eastAsia" w:cs="宋体"/>
                <w:bCs/>
                <w:snapToGrid w:val="0"/>
                <w:color w:val="auto"/>
                <w:sz w:val="24"/>
              </w:rPr>
              <w:t>制</w:t>
            </w:r>
          </w:p>
          <w:p>
            <w:pPr>
              <w:adjustRightInd w:val="0"/>
              <w:snapToGrid w:val="0"/>
              <w:jc w:val="center"/>
              <w:rPr>
                <w:rFonts w:cs="宋体"/>
                <w:bCs/>
                <w:snapToGrid w:val="0"/>
                <w:color w:val="auto"/>
                <w:sz w:val="24"/>
              </w:rPr>
            </w:pPr>
            <w:r>
              <w:rPr>
                <w:rFonts w:hint="eastAsia" w:cs="宋体"/>
                <w:bCs/>
                <w:snapToGrid w:val="0"/>
                <w:color w:val="auto"/>
                <w:sz w:val="24"/>
              </w:rPr>
              <w:t>指</w:t>
            </w:r>
          </w:p>
          <w:p>
            <w:pPr>
              <w:adjustRightInd w:val="0"/>
              <w:snapToGrid w:val="0"/>
              <w:jc w:val="center"/>
              <w:rPr>
                <w:rFonts w:cs="宋体"/>
                <w:bCs/>
                <w:snapToGrid w:val="0"/>
                <w:color w:val="auto"/>
                <w:sz w:val="24"/>
              </w:rPr>
            </w:pPr>
            <w:r>
              <w:rPr>
                <w:rFonts w:hint="eastAsia" w:cs="宋体"/>
                <w:bCs/>
                <w:snapToGrid w:val="0"/>
                <w:color w:val="auto"/>
                <w:sz w:val="24"/>
              </w:rPr>
              <w:t>标</w:t>
            </w:r>
          </w:p>
        </w:tc>
        <w:tc>
          <w:tcPr>
            <w:tcW w:w="8394" w:type="dxa"/>
          </w:tcPr>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r>
              <w:rPr>
                <w:rFonts w:hint="eastAsia" w:ascii="Times New Roman" w:hAnsi="Times New Roman" w:cs="宋体"/>
                <w:bCs/>
                <w:color w:val="auto"/>
                <w:sz w:val="24"/>
                <w:szCs w:val="24"/>
              </w:rPr>
              <w:t>根据国家“十四五”规定的总量控制污染物种类，结合本项目所在区域的环境特征及本项目排污情况，本项目不设污染物排放总量控制标值。</w:t>
            </w: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pStyle w:val="37"/>
              <w:adjustRightInd w:val="0"/>
              <w:snapToGrid w:val="0"/>
              <w:spacing w:line="560" w:lineRule="exact"/>
              <w:ind w:left="63" w:leftChars="30" w:right="63" w:rightChars="30" w:firstLine="480" w:firstLineChars="200"/>
              <w:jc w:val="both"/>
              <w:rPr>
                <w:rFonts w:ascii="Times New Roman" w:hAnsi="Times New Roman" w:cs="宋体"/>
                <w:bCs/>
                <w:color w:val="auto"/>
                <w:sz w:val="24"/>
                <w:szCs w:val="24"/>
              </w:rPr>
            </w:pPr>
          </w:p>
          <w:p>
            <w:pPr>
              <w:spacing w:line="520" w:lineRule="exact"/>
              <w:rPr>
                <w:rFonts w:cs="宋体"/>
                <w:bCs/>
                <w:snapToGrid w:val="0"/>
                <w:color w:val="auto"/>
                <w:sz w:val="24"/>
              </w:rPr>
            </w:pPr>
          </w:p>
        </w:tc>
      </w:tr>
    </w:tbl>
    <w:p>
      <w:pPr>
        <w:pStyle w:val="26"/>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30"/>
        <w:tblW w:w="90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47" w:type="dxa"/>
            <w:tcMar>
              <w:left w:w="28" w:type="dxa"/>
              <w:right w:w="28" w:type="dxa"/>
            </w:tcMar>
            <w:vAlign w:val="center"/>
          </w:tcPr>
          <w:p>
            <w:pPr>
              <w:widowControl/>
              <w:spacing w:line="520" w:lineRule="exact"/>
              <w:jc w:val="center"/>
              <w:rPr>
                <w:color w:val="auto"/>
                <w:sz w:val="24"/>
              </w:rPr>
            </w:pPr>
            <w:r>
              <w:rPr>
                <w:color w:val="auto"/>
                <w:sz w:val="24"/>
              </w:rPr>
              <w:t>施工</w:t>
            </w:r>
          </w:p>
          <w:p>
            <w:pPr>
              <w:widowControl/>
              <w:spacing w:line="520" w:lineRule="exact"/>
              <w:jc w:val="center"/>
              <w:rPr>
                <w:color w:val="auto"/>
                <w:sz w:val="24"/>
              </w:rPr>
            </w:pPr>
            <w:r>
              <w:rPr>
                <w:color w:val="auto"/>
                <w:sz w:val="24"/>
              </w:rPr>
              <w:t>期环</w:t>
            </w:r>
          </w:p>
          <w:p>
            <w:pPr>
              <w:widowControl/>
              <w:spacing w:line="520" w:lineRule="exact"/>
              <w:jc w:val="center"/>
              <w:rPr>
                <w:color w:val="auto"/>
                <w:sz w:val="24"/>
              </w:rPr>
            </w:pPr>
            <w:r>
              <w:rPr>
                <w:color w:val="auto"/>
                <w:sz w:val="24"/>
              </w:rPr>
              <w:t>境保</w:t>
            </w:r>
          </w:p>
          <w:p>
            <w:pPr>
              <w:widowControl/>
              <w:spacing w:line="520" w:lineRule="exact"/>
              <w:jc w:val="center"/>
              <w:rPr>
                <w:color w:val="auto"/>
                <w:sz w:val="24"/>
              </w:rPr>
            </w:pPr>
            <w:r>
              <w:rPr>
                <w:color w:val="auto"/>
                <w:sz w:val="24"/>
              </w:rPr>
              <w:t>护措</w:t>
            </w:r>
          </w:p>
          <w:p>
            <w:pPr>
              <w:widowControl/>
              <w:spacing w:line="520" w:lineRule="exact"/>
              <w:jc w:val="center"/>
              <w:rPr>
                <w:color w:val="auto"/>
                <w:sz w:val="24"/>
              </w:rPr>
            </w:pPr>
            <w:r>
              <w:rPr>
                <w:color w:val="auto"/>
                <w:sz w:val="24"/>
              </w:rPr>
              <w:t>施</w:t>
            </w:r>
          </w:p>
        </w:tc>
        <w:tc>
          <w:tcPr>
            <w:tcW w:w="8460" w:type="dxa"/>
            <w:vAlign w:val="center"/>
          </w:tcPr>
          <w:p>
            <w:pPr>
              <w:spacing w:line="560" w:lineRule="exact"/>
              <w:ind w:firstLine="480" w:firstLineChars="200"/>
              <w:rPr>
                <w:color w:val="auto"/>
                <w:sz w:val="24"/>
              </w:rPr>
            </w:pPr>
            <w:r>
              <w:rPr>
                <w:color w:val="auto"/>
                <w:sz w:val="24"/>
              </w:rPr>
              <w:t>本项目</w:t>
            </w:r>
            <w:r>
              <w:rPr>
                <w:rFonts w:hint="eastAsia"/>
                <w:color w:val="auto"/>
                <w:sz w:val="24"/>
              </w:rPr>
              <w:t>施工期污染工序主要为土方开挖、管线、道路、土建工程等</w:t>
            </w:r>
            <w:r>
              <w:rPr>
                <w:color w:val="auto"/>
                <w:sz w:val="24"/>
              </w:rPr>
              <w:t>。施工期的主要污染源及采取的措施有：</w:t>
            </w:r>
          </w:p>
          <w:p>
            <w:pPr>
              <w:spacing w:line="560" w:lineRule="exact"/>
              <w:ind w:firstLine="482" w:firstLineChars="200"/>
              <w:rPr>
                <w:b/>
                <w:color w:val="auto"/>
                <w:sz w:val="24"/>
              </w:rPr>
            </w:pPr>
            <w:r>
              <w:rPr>
                <w:b/>
                <w:color w:val="auto"/>
                <w:sz w:val="24"/>
                <w:szCs w:val="21"/>
              </w:rPr>
              <w:t>1</w:t>
            </w:r>
            <w:r>
              <w:rPr>
                <w:rFonts w:hint="eastAsia"/>
                <w:b/>
                <w:color w:val="auto"/>
                <w:sz w:val="24"/>
                <w:szCs w:val="21"/>
              </w:rPr>
              <w:t>、</w:t>
            </w:r>
            <w:r>
              <w:rPr>
                <w:b/>
                <w:color w:val="auto"/>
                <w:sz w:val="24"/>
              </w:rPr>
              <w:t>施工期大气污染防治措施</w:t>
            </w:r>
          </w:p>
          <w:p>
            <w:pPr>
              <w:spacing w:line="560" w:lineRule="exact"/>
              <w:ind w:firstLine="480" w:firstLineChars="200"/>
              <w:jc w:val="left"/>
              <w:rPr>
                <w:color w:val="auto"/>
                <w:sz w:val="24"/>
              </w:rPr>
            </w:pPr>
            <w:r>
              <w:rPr>
                <w:color w:val="auto"/>
                <w:sz w:val="24"/>
              </w:rPr>
              <w:t>A</w:t>
            </w:r>
            <w:r>
              <w:rPr>
                <w:rFonts w:hint="eastAsia"/>
                <w:color w:val="auto"/>
                <w:sz w:val="24"/>
              </w:rPr>
              <w:t>.</w:t>
            </w:r>
            <w:r>
              <w:rPr>
                <w:color w:val="auto"/>
                <w:sz w:val="24"/>
              </w:rPr>
              <w:t>本工程建设施工应有建设单位指定专人负责施工现场扬尘污染措施的实施和监督。施工工地出入口必须设立环境保护监督牌。必须注明项目名称、建设单位、施工单位、防治扬尘污染现场监督员姓名和联系电话、项目工程、环保措施、举报电话等内容；</w:t>
            </w:r>
          </w:p>
          <w:p>
            <w:pPr>
              <w:spacing w:line="560" w:lineRule="exact"/>
              <w:ind w:firstLine="480" w:firstLineChars="200"/>
              <w:jc w:val="left"/>
              <w:rPr>
                <w:color w:val="auto"/>
                <w:sz w:val="24"/>
              </w:rPr>
            </w:pPr>
            <w:r>
              <w:rPr>
                <w:color w:val="auto"/>
                <w:sz w:val="24"/>
              </w:rPr>
              <w:t>B</w:t>
            </w:r>
            <w:r>
              <w:rPr>
                <w:rFonts w:hint="eastAsia"/>
                <w:color w:val="auto"/>
                <w:sz w:val="24"/>
              </w:rPr>
              <w:t>.</w:t>
            </w:r>
            <w:r>
              <w:rPr>
                <w:color w:val="auto"/>
                <w:sz w:val="24"/>
              </w:rPr>
              <w:t>施工工地周边百分百围挡。施工工地周边必须设置1.8m以上的硬质围墙或围挡，严禁敞开式作业，为有效控制粉尘对周围环境的影响。围挡地段应设置防溢座，围挡之间以及围挡与防溢座之间无缝隙。对围挡落尘应当定期进行清洗，保证施工工地周围环境整洁；</w:t>
            </w:r>
          </w:p>
          <w:p>
            <w:pPr>
              <w:spacing w:line="560" w:lineRule="exact"/>
              <w:ind w:firstLine="480" w:firstLineChars="200"/>
              <w:jc w:val="left"/>
              <w:rPr>
                <w:color w:val="auto"/>
                <w:sz w:val="24"/>
              </w:rPr>
            </w:pPr>
            <w:r>
              <w:rPr>
                <w:color w:val="auto"/>
                <w:sz w:val="24"/>
              </w:rPr>
              <w:t>C</w:t>
            </w:r>
            <w:r>
              <w:rPr>
                <w:rFonts w:hint="eastAsia"/>
                <w:color w:val="auto"/>
                <w:sz w:val="24"/>
              </w:rPr>
              <w:t>.</w:t>
            </w:r>
            <w:r>
              <w:rPr>
                <w:color w:val="auto"/>
                <w:sz w:val="24"/>
              </w:rPr>
              <w:t>物料堆放百分之百覆盖。施工工地内堆放易产生扬尘污染物料的，必须密闭存放或覆盖；工程主体施工阶段必须使用密目式安全网进行封闭。</w:t>
            </w:r>
          </w:p>
          <w:p>
            <w:pPr>
              <w:spacing w:line="560" w:lineRule="exact"/>
              <w:ind w:firstLine="480" w:firstLineChars="200"/>
              <w:jc w:val="left"/>
              <w:rPr>
                <w:color w:val="auto"/>
                <w:sz w:val="24"/>
              </w:rPr>
            </w:pPr>
            <w:r>
              <w:rPr>
                <w:color w:val="auto"/>
                <w:sz w:val="24"/>
              </w:rPr>
              <w:t>D</w:t>
            </w:r>
            <w:r>
              <w:rPr>
                <w:rFonts w:hint="eastAsia"/>
                <w:color w:val="auto"/>
                <w:sz w:val="24"/>
              </w:rPr>
              <w:t>.</w:t>
            </w:r>
            <w:r>
              <w:rPr>
                <w:color w:val="auto"/>
                <w:sz w:val="24"/>
              </w:rPr>
              <w:t>要求采用商品混凝土运输车进行混凝土运输，防止扬尘产生；</w:t>
            </w:r>
          </w:p>
          <w:p>
            <w:pPr>
              <w:spacing w:line="560" w:lineRule="exact"/>
              <w:ind w:firstLine="480" w:firstLineChars="200"/>
              <w:jc w:val="left"/>
              <w:rPr>
                <w:color w:val="auto"/>
                <w:sz w:val="24"/>
              </w:rPr>
            </w:pPr>
            <w:r>
              <w:rPr>
                <w:color w:val="auto"/>
                <w:sz w:val="24"/>
              </w:rPr>
              <w:t>E</w:t>
            </w:r>
            <w:r>
              <w:rPr>
                <w:rFonts w:hint="eastAsia"/>
                <w:color w:val="auto"/>
                <w:sz w:val="24"/>
              </w:rPr>
              <w:t>.</w:t>
            </w:r>
            <w:r>
              <w:rPr>
                <w:color w:val="auto"/>
                <w:sz w:val="24"/>
              </w:rPr>
              <w:t>施工期间泥尘量大，进出施工现场车辆将使地面起尘，因此运输车辆进出的主干道应定期洒水清扫，保持车辆出入路面清洁、湿润，以减少汽车轮胎与路面接触而引起的地面扬尘污染，并尽量减缓行驶车速，建议行驶车速不大于5km/h，此时的扬尘量可减少为一般行驶速度（15km/h计）情况下的1/3；项目在施工过程中应注意文明施工，每天对施工场地进行洒水抑尘，减少扬尘对周围环境的污染；</w:t>
            </w:r>
          </w:p>
          <w:p>
            <w:pPr>
              <w:spacing w:line="560" w:lineRule="exact"/>
              <w:ind w:firstLine="480" w:firstLineChars="200"/>
              <w:jc w:val="left"/>
              <w:rPr>
                <w:color w:val="auto"/>
                <w:sz w:val="24"/>
              </w:rPr>
            </w:pPr>
            <w:r>
              <w:rPr>
                <w:color w:val="auto"/>
                <w:sz w:val="24"/>
              </w:rPr>
              <w:t>F</w:t>
            </w:r>
            <w:r>
              <w:rPr>
                <w:rFonts w:hint="eastAsia"/>
                <w:color w:val="auto"/>
                <w:sz w:val="24"/>
              </w:rPr>
              <w:t>.</w:t>
            </w:r>
            <w:r>
              <w:rPr>
                <w:color w:val="auto"/>
                <w:sz w:val="24"/>
              </w:rPr>
              <w:t>在干燥多风的季节，施工期路段保持一定湿度，视情况适当增加洒水降尘的次数</w:t>
            </w:r>
            <w:r>
              <w:rPr>
                <w:rFonts w:hint="eastAsia"/>
                <w:color w:val="auto"/>
                <w:sz w:val="24"/>
              </w:rPr>
              <w:t>；</w:t>
            </w:r>
          </w:p>
          <w:p>
            <w:pPr>
              <w:spacing w:line="560" w:lineRule="exact"/>
              <w:ind w:firstLine="480" w:firstLineChars="200"/>
              <w:jc w:val="left"/>
              <w:rPr>
                <w:color w:val="auto"/>
                <w:sz w:val="24"/>
              </w:rPr>
            </w:pPr>
            <w:r>
              <w:rPr>
                <w:color w:val="auto"/>
                <w:sz w:val="24"/>
              </w:rPr>
              <w:t>G</w:t>
            </w:r>
            <w:r>
              <w:rPr>
                <w:rFonts w:hint="eastAsia"/>
                <w:color w:val="auto"/>
                <w:sz w:val="24"/>
              </w:rPr>
              <w:t>.</w:t>
            </w:r>
            <w:r>
              <w:rPr>
                <w:color w:val="auto"/>
                <w:sz w:val="24"/>
              </w:rPr>
              <w:t>运输沙、石、</w:t>
            </w:r>
            <w:r>
              <w:rPr>
                <w:rFonts w:hint="eastAsia"/>
                <w:color w:val="auto"/>
                <w:sz w:val="24"/>
              </w:rPr>
              <w:t>商品砼</w:t>
            </w:r>
            <w:r>
              <w:rPr>
                <w:color w:val="auto"/>
                <w:sz w:val="24"/>
              </w:rPr>
              <w:t>、剩余弃方、垃圾的车辆装载高度应低于车箱上沿，不得超高超载。实行封闭运输，以免车辆颠簸撒漏。坚持文明装卸；运输车辆卸完货后应清洗车厢。施工车辆在驶出施工区之前，需要清泥除尘处理，不得将泥土尘土带出工地；</w:t>
            </w:r>
          </w:p>
          <w:p>
            <w:pPr>
              <w:spacing w:line="560" w:lineRule="exact"/>
              <w:ind w:firstLine="480" w:firstLineChars="200"/>
              <w:jc w:val="left"/>
              <w:rPr>
                <w:color w:val="auto"/>
                <w:sz w:val="24"/>
              </w:rPr>
            </w:pPr>
            <w:r>
              <w:rPr>
                <w:color w:val="auto"/>
                <w:sz w:val="24"/>
              </w:rPr>
              <w:t>H</w:t>
            </w:r>
            <w:r>
              <w:rPr>
                <w:rFonts w:hint="eastAsia"/>
                <w:color w:val="auto"/>
                <w:sz w:val="24"/>
              </w:rPr>
              <w:t>.</w:t>
            </w:r>
            <w:r>
              <w:rPr>
                <w:color w:val="auto"/>
                <w:sz w:val="24"/>
              </w:rPr>
              <w:t>减少建筑材料及土方的露天堆放，露天堆放易扬撒的物料、开挖土方或48小时内不能清运的工程施工垃圾，应当设置不低于堆放物高度的密闭围栏并予以覆盖，遇到四级或四级以上大风天气，应停止土方作业。</w:t>
            </w:r>
          </w:p>
          <w:p>
            <w:pPr>
              <w:spacing w:line="560" w:lineRule="exact"/>
              <w:ind w:firstLine="480" w:firstLineChars="200"/>
              <w:jc w:val="left"/>
              <w:rPr>
                <w:color w:val="auto"/>
                <w:sz w:val="24"/>
              </w:rPr>
            </w:pPr>
            <w:r>
              <w:rPr>
                <w:color w:val="auto"/>
                <w:sz w:val="24"/>
              </w:rPr>
              <w:t>I</w:t>
            </w:r>
            <w:r>
              <w:rPr>
                <w:rFonts w:hint="eastAsia"/>
                <w:color w:val="auto"/>
                <w:sz w:val="24"/>
              </w:rPr>
              <w:t>.</w:t>
            </w:r>
            <w:r>
              <w:rPr>
                <w:color w:val="auto"/>
                <w:sz w:val="24"/>
              </w:rPr>
              <w:t>禁止露天焚烧废弃物和生活垃圾；</w:t>
            </w:r>
          </w:p>
          <w:p>
            <w:pPr>
              <w:spacing w:line="560" w:lineRule="exact"/>
              <w:ind w:firstLine="480" w:firstLineChars="200"/>
              <w:jc w:val="left"/>
              <w:rPr>
                <w:color w:val="auto"/>
                <w:sz w:val="24"/>
              </w:rPr>
            </w:pPr>
            <w:r>
              <w:rPr>
                <w:color w:val="auto"/>
                <w:sz w:val="24"/>
              </w:rPr>
              <w:t>J</w:t>
            </w:r>
            <w:r>
              <w:rPr>
                <w:rFonts w:hint="eastAsia"/>
                <w:color w:val="auto"/>
                <w:sz w:val="24"/>
              </w:rPr>
              <w:t>.</w:t>
            </w:r>
            <w:r>
              <w:rPr>
                <w:color w:val="auto"/>
                <w:sz w:val="24"/>
              </w:rPr>
              <w:t>做好项目施工期的环境保护，文明施工，合理安排施工期。</w:t>
            </w:r>
          </w:p>
          <w:p>
            <w:pPr>
              <w:autoSpaceDE w:val="0"/>
              <w:autoSpaceDN w:val="0"/>
              <w:adjustRightInd w:val="0"/>
              <w:spacing w:line="560" w:lineRule="exact"/>
              <w:ind w:firstLine="480" w:firstLineChars="200"/>
              <w:textAlignment w:val="baseline"/>
              <w:rPr>
                <w:color w:val="auto"/>
                <w:kern w:val="0"/>
                <w:sz w:val="24"/>
              </w:rPr>
            </w:pPr>
            <w:r>
              <w:rPr>
                <w:color w:val="auto"/>
                <w:kern w:val="0"/>
                <w:sz w:val="24"/>
              </w:rPr>
              <w:t>K</w:t>
            </w:r>
            <w:r>
              <w:rPr>
                <w:rFonts w:hint="eastAsia"/>
                <w:color w:val="auto"/>
                <w:kern w:val="0"/>
                <w:sz w:val="24"/>
              </w:rPr>
              <w:t>.</w:t>
            </w:r>
            <w:r>
              <w:rPr>
                <w:color w:val="auto"/>
                <w:kern w:val="0"/>
                <w:sz w:val="24"/>
              </w:rPr>
              <w:t>严格执行《大气污染防治法》（2016年1月1日起实施）中相关规定，建设单位应当将防治扬尘污染费用列入工程造价，并在施工承包合同中明确施工单位扬尘污染防治责任。施工单位应当制定具体施工扬尘污染防治实施方案。</w:t>
            </w:r>
          </w:p>
          <w:p>
            <w:pPr>
              <w:tabs>
                <w:tab w:val="left" w:pos="705"/>
              </w:tabs>
              <w:adjustRightInd w:val="0"/>
              <w:snapToGrid w:val="0"/>
              <w:spacing w:line="560" w:lineRule="exact"/>
              <w:ind w:firstLine="512" w:firstLineChars="200"/>
              <w:rPr>
                <w:color w:val="auto"/>
                <w:spacing w:val="8"/>
                <w:sz w:val="24"/>
              </w:rPr>
            </w:pPr>
            <w:r>
              <w:rPr>
                <w:color w:val="auto"/>
                <w:spacing w:val="8"/>
                <w:sz w:val="24"/>
              </w:rPr>
              <w:t>采取以上措施后，可有效控制粉尘无组织排放，施工场地无组织粉尘可达标排放</w:t>
            </w:r>
            <w:r>
              <w:rPr>
                <w:rFonts w:hint="eastAsia"/>
                <w:color w:val="auto"/>
                <w:spacing w:val="8"/>
                <w:sz w:val="24"/>
              </w:rPr>
              <w:t>，施工期废气对周围大气环境质量影响是有限的。</w:t>
            </w:r>
          </w:p>
          <w:p>
            <w:pPr>
              <w:spacing w:line="560" w:lineRule="exact"/>
              <w:ind w:firstLine="482" w:firstLineChars="200"/>
              <w:rPr>
                <w:color w:val="auto"/>
                <w:sz w:val="24"/>
              </w:rPr>
            </w:pPr>
            <w:r>
              <w:rPr>
                <w:b/>
                <w:bCs/>
                <w:color w:val="auto"/>
                <w:sz w:val="24"/>
                <w:szCs w:val="21"/>
              </w:rPr>
              <w:t>2</w:t>
            </w:r>
            <w:r>
              <w:rPr>
                <w:rFonts w:hint="eastAsia"/>
                <w:b/>
                <w:bCs/>
                <w:color w:val="auto"/>
                <w:sz w:val="24"/>
                <w:szCs w:val="21"/>
              </w:rPr>
              <w:t>、施工期</w:t>
            </w:r>
            <w:r>
              <w:rPr>
                <w:b/>
                <w:bCs/>
                <w:color w:val="auto"/>
                <w:sz w:val="24"/>
                <w:szCs w:val="21"/>
              </w:rPr>
              <w:t>废水</w:t>
            </w:r>
            <w:r>
              <w:rPr>
                <w:b/>
                <w:bCs/>
                <w:color w:val="auto"/>
                <w:sz w:val="24"/>
              </w:rPr>
              <w:t>污染防治措施</w:t>
            </w:r>
          </w:p>
          <w:p>
            <w:pPr>
              <w:autoSpaceDE w:val="0"/>
              <w:autoSpaceDN w:val="0"/>
              <w:adjustRightInd w:val="0"/>
              <w:snapToGrid w:val="0"/>
              <w:spacing w:line="560" w:lineRule="exact"/>
              <w:ind w:firstLine="480" w:firstLineChars="200"/>
              <w:textAlignment w:val="baseline"/>
              <w:rPr>
                <w:color w:val="auto"/>
                <w:sz w:val="24"/>
              </w:rPr>
            </w:pPr>
            <w:r>
              <w:rPr>
                <w:color w:val="auto"/>
                <w:sz w:val="24"/>
              </w:rPr>
              <w:t>施工废水的产生量与工地管理水平关系极大，如果管理不善，施工现场污水横流，对工地周围的环境会造成一定的影响。针对以上施工废水的特点，提出以下施工期废水污染防治措施：</w:t>
            </w:r>
          </w:p>
          <w:p>
            <w:pPr>
              <w:autoSpaceDE w:val="0"/>
              <w:autoSpaceDN w:val="0"/>
              <w:adjustRightInd w:val="0"/>
              <w:snapToGrid w:val="0"/>
              <w:spacing w:line="560" w:lineRule="exact"/>
              <w:ind w:firstLine="512" w:firstLineChars="200"/>
              <w:textAlignment w:val="baseline"/>
              <w:rPr>
                <w:color w:val="auto"/>
                <w:sz w:val="24"/>
              </w:rPr>
            </w:pPr>
            <w:r>
              <w:rPr>
                <w:color w:val="auto"/>
                <w:spacing w:val="8"/>
                <w:sz w:val="24"/>
              </w:rPr>
              <w:t>①设</w:t>
            </w:r>
            <w:r>
              <w:rPr>
                <w:rFonts w:hint="eastAsia"/>
                <w:color w:val="auto"/>
                <w:spacing w:val="8"/>
                <w:sz w:val="24"/>
              </w:rPr>
              <w:t>沉淀</w:t>
            </w:r>
            <w:r>
              <w:rPr>
                <w:color w:val="auto"/>
                <w:spacing w:val="8"/>
                <w:sz w:val="24"/>
              </w:rPr>
              <w:t>池，将场地</w:t>
            </w:r>
            <w:r>
              <w:rPr>
                <w:rFonts w:hint="eastAsia"/>
                <w:color w:val="auto"/>
                <w:spacing w:val="8"/>
                <w:sz w:val="24"/>
              </w:rPr>
              <w:t>施工</w:t>
            </w:r>
            <w:r>
              <w:rPr>
                <w:color w:val="auto"/>
                <w:spacing w:val="8"/>
                <w:sz w:val="24"/>
              </w:rPr>
              <w:t>废水收集</w:t>
            </w:r>
            <w:r>
              <w:rPr>
                <w:rFonts w:hint="eastAsia"/>
                <w:color w:val="auto"/>
                <w:spacing w:val="8"/>
                <w:sz w:val="24"/>
              </w:rPr>
              <w:t>经隔油</w:t>
            </w:r>
            <w:r>
              <w:rPr>
                <w:color w:val="auto"/>
                <w:spacing w:val="8"/>
                <w:sz w:val="24"/>
              </w:rPr>
              <w:t>沉淀处理后用于洒水抑尘；工程完工后，</w:t>
            </w:r>
            <w:r>
              <w:rPr>
                <w:color w:val="auto"/>
                <w:sz w:val="24"/>
              </w:rPr>
              <w:t>尽快对周边进行绿化或地面硬化。</w:t>
            </w:r>
          </w:p>
          <w:p>
            <w:pPr>
              <w:autoSpaceDE w:val="0"/>
              <w:autoSpaceDN w:val="0"/>
              <w:adjustRightInd w:val="0"/>
              <w:snapToGrid w:val="0"/>
              <w:spacing w:line="560" w:lineRule="exact"/>
              <w:ind w:firstLine="480" w:firstLineChars="200"/>
              <w:textAlignment w:val="baseline"/>
              <w:rPr>
                <w:color w:val="auto"/>
                <w:sz w:val="24"/>
              </w:rPr>
            </w:pPr>
            <w:r>
              <w:rPr>
                <w:color w:val="auto"/>
                <w:sz w:val="24"/>
              </w:rPr>
              <w:t>②施工单位对施工场地用水应严格管理，贯彻“一水多用、重复利用、节约用水”的原则，尽量减少废水的排放量，减轻废水排放对周围环境的影响。清洗废水经沉淀处理后循环使用。</w:t>
            </w:r>
          </w:p>
          <w:p>
            <w:pPr>
              <w:pStyle w:val="4"/>
              <w:spacing w:before="0" w:after="0" w:line="560" w:lineRule="exact"/>
              <w:ind w:firstLine="482" w:firstLineChars="200"/>
              <w:rPr>
                <w:color w:val="auto"/>
                <w:sz w:val="24"/>
                <w:szCs w:val="21"/>
              </w:rPr>
            </w:pPr>
            <w:r>
              <w:rPr>
                <w:color w:val="auto"/>
                <w:sz w:val="24"/>
                <w:szCs w:val="21"/>
              </w:rPr>
              <w:t>3</w:t>
            </w:r>
            <w:r>
              <w:rPr>
                <w:rFonts w:hint="eastAsia"/>
                <w:color w:val="auto"/>
                <w:sz w:val="24"/>
                <w:szCs w:val="21"/>
              </w:rPr>
              <w:t>、施工期</w:t>
            </w:r>
            <w:r>
              <w:rPr>
                <w:color w:val="auto"/>
                <w:sz w:val="24"/>
                <w:szCs w:val="21"/>
              </w:rPr>
              <w:t>噪声</w:t>
            </w:r>
          </w:p>
          <w:p>
            <w:pPr>
              <w:spacing w:line="560" w:lineRule="exact"/>
              <w:ind w:firstLine="480" w:firstLineChars="200"/>
              <w:rPr>
                <w:color w:val="auto"/>
                <w:sz w:val="24"/>
              </w:rPr>
            </w:pPr>
            <w:r>
              <w:rPr>
                <w:rFonts w:hint="eastAsia"/>
                <w:color w:val="auto"/>
                <w:sz w:val="24"/>
              </w:rPr>
              <w:t>（1）</w:t>
            </w:r>
            <w:r>
              <w:rPr>
                <w:color w:val="auto"/>
                <w:sz w:val="24"/>
              </w:rPr>
              <w:t>本项目施工期主要噪声源为各类施工机械设备（空压机、挖掘机、推土机、装载机、焊接机、压路机、打桩机、振捣器）噪声和运输车辆噪声，具有分贝高、无规律的特点。噪声源强在78~105dB(A)</w:t>
            </w:r>
            <w:r>
              <w:rPr>
                <w:rFonts w:hint="eastAsia"/>
                <w:color w:val="auto"/>
                <w:sz w:val="24"/>
              </w:rPr>
              <w:t>。</w:t>
            </w:r>
          </w:p>
          <w:p>
            <w:pPr>
              <w:spacing w:line="560" w:lineRule="exact"/>
              <w:ind w:firstLine="480" w:firstLineChars="200"/>
              <w:rPr>
                <w:color w:val="auto"/>
                <w:sz w:val="24"/>
              </w:rPr>
            </w:pPr>
            <w:r>
              <w:rPr>
                <w:color w:val="auto"/>
                <w:sz w:val="24"/>
              </w:rPr>
              <w:t>（</w:t>
            </w:r>
            <w:r>
              <w:rPr>
                <w:rFonts w:hint="eastAsia"/>
                <w:color w:val="auto"/>
                <w:sz w:val="24"/>
              </w:rPr>
              <w:t>2</w:t>
            </w:r>
            <w:r>
              <w:rPr>
                <w:color w:val="auto"/>
                <w:sz w:val="24"/>
              </w:rPr>
              <w:t>）施工期噪声污染防治措施</w:t>
            </w:r>
          </w:p>
          <w:p>
            <w:pPr>
              <w:autoSpaceDE w:val="0"/>
              <w:autoSpaceDN w:val="0"/>
              <w:adjustRightInd w:val="0"/>
              <w:spacing w:line="560" w:lineRule="exact"/>
              <w:ind w:firstLine="480" w:firstLineChars="200"/>
              <w:textAlignment w:val="baseline"/>
              <w:rPr>
                <w:color w:val="auto"/>
                <w:sz w:val="24"/>
              </w:rPr>
            </w:pPr>
            <w:r>
              <w:rPr>
                <w:color w:val="auto"/>
                <w:sz w:val="24"/>
              </w:rPr>
              <w:t>A</w:t>
            </w:r>
            <w:r>
              <w:rPr>
                <w:rFonts w:hint="eastAsia"/>
                <w:color w:val="auto"/>
                <w:sz w:val="24"/>
              </w:rPr>
              <w:t>.</w:t>
            </w:r>
            <w:r>
              <w:rPr>
                <w:color w:val="auto"/>
                <w:sz w:val="24"/>
              </w:rPr>
              <w:t>本项目的高噪声作业区应尽可能对高噪声设备采取临时隔音围护结构。合理配置各种机械的摆放位置，将施工现场的固定振动源相对集中，以减少振动干扰的范围；</w:t>
            </w:r>
          </w:p>
          <w:p>
            <w:pPr>
              <w:autoSpaceDE w:val="0"/>
              <w:autoSpaceDN w:val="0"/>
              <w:adjustRightInd w:val="0"/>
              <w:spacing w:line="560" w:lineRule="exact"/>
              <w:ind w:firstLine="480" w:firstLineChars="200"/>
              <w:textAlignment w:val="baseline"/>
              <w:rPr>
                <w:color w:val="auto"/>
                <w:kern w:val="0"/>
                <w:sz w:val="24"/>
              </w:rPr>
            </w:pPr>
            <w:r>
              <w:rPr>
                <w:color w:val="auto"/>
                <w:kern w:val="0"/>
                <w:sz w:val="24"/>
              </w:rPr>
              <w:t>B</w:t>
            </w:r>
            <w:r>
              <w:rPr>
                <w:rFonts w:hint="eastAsia"/>
                <w:color w:val="auto"/>
                <w:kern w:val="0"/>
                <w:sz w:val="24"/>
              </w:rPr>
              <w:t>.</w:t>
            </w:r>
            <w:r>
              <w:rPr>
                <w:color w:val="auto"/>
                <w:kern w:val="0"/>
                <w:sz w:val="24"/>
              </w:rPr>
              <w:t>选择低噪声的机械设备：对于开挖和运输土石方的机械设备（挖土机、推土机等）以及翻斗车，可以通过排气消声器和隔离发动机</w:t>
            </w:r>
            <w:r>
              <w:rPr>
                <w:rFonts w:hint="eastAsia"/>
                <w:color w:val="auto"/>
                <w:kern w:val="0"/>
                <w:sz w:val="24"/>
              </w:rPr>
              <w:t>振</w:t>
            </w:r>
            <w:r>
              <w:rPr>
                <w:color w:val="auto"/>
                <w:kern w:val="0"/>
                <w:sz w:val="24"/>
              </w:rPr>
              <w:t>动部分的方法来降低噪声，其他产生噪声的部分还可以采用部分封闭或者完全封闭的办法，尽量减少振动面的振幅；闲置的机械设备等应该予以关闭；一切动力机械设备都应该经</w:t>
            </w:r>
            <w:r>
              <w:rPr>
                <w:color w:val="auto"/>
                <w:sz w:val="24"/>
              </w:rPr>
              <w:t>常检修，特别是会因为部件松动而产生噪声的机械，以及降噪部件容易损坏而导致强噪声产生的机械设备；</w:t>
            </w:r>
          </w:p>
          <w:p>
            <w:pPr>
              <w:adjustRightInd w:val="0"/>
              <w:snapToGrid w:val="0"/>
              <w:spacing w:line="560" w:lineRule="exact"/>
              <w:ind w:firstLine="480" w:firstLineChars="200"/>
              <w:rPr>
                <w:color w:val="auto"/>
                <w:sz w:val="24"/>
              </w:rPr>
            </w:pPr>
            <w:r>
              <w:rPr>
                <w:color w:val="auto"/>
                <w:sz w:val="24"/>
              </w:rPr>
              <w:t>C</w:t>
            </w:r>
            <w:r>
              <w:rPr>
                <w:rFonts w:hint="eastAsia"/>
                <w:color w:val="auto"/>
                <w:sz w:val="24"/>
              </w:rPr>
              <w:t>.</w:t>
            </w:r>
            <w:r>
              <w:rPr>
                <w:color w:val="auto"/>
                <w:sz w:val="24"/>
              </w:rPr>
              <w:t>对位置相对固定的机械设备，尽量在工棚内操作；不能进入棚内的，可采取</w:t>
            </w:r>
            <w:r>
              <w:rPr>
                <w:rFonts w:hint="eastAsia"/>
                <w:color w:val="auto"/>
                <w:sz w:val="24"/>
              </w:rPr>
              <w:t>围挡</w:t>
            </w:r>
            <w:r>
              <w:rPr>
                <w:color w:val="auto"/>
                <w:sz w:val="24"/>
              </w:rPr>
              <w:t>之类的单面声屏障，施工场地要按要求进行围蔽，围蔽高度不低于2m；</w:t>
            </w:r>
          </w:p>
          <w:p>
            <w:pPr>
              <w:autoSpaceDE w:val="0"/>
              <w:autoSpaceDN w:val="0"/>
              <w:adjustRightInd w:val="0"/>
              <w:spacing w:line="560" w:lineRule="exact"/>
              <w:ind w:firstLine="480" w:firstLineChars="200"/>
              <w:textAlignment w:val="baseline"/>
              <w:rPr>
                <w:color w:val="auto"/>
                <w:sz w:val="24"/>
              </w:rPr>
            </w:pPr>
            <w:r>
              <w:rPr>
                <w:color w:val="auto"/>
                <w:kern w:val="0"/>
                <w:sz w:val="24"/>
              </w:rPr>
              <w:t>D</w:t>
            </w:r>
            <w:r>
              <w:rPr>
                <w:rFonts w:hint="eastAsia"/>
                <w:color w:val="auto"/>
                <w:kern w:val="0"/>
                <w:sz w:val="24"/>
              </w:rPr>
              <w:t>.</w:t>
            </w:r>
            <w:r>
              <w:rPr>
                <w:color w:val="auto"/>
                <w:kern w:val="0"/>
                <w:sz w:val="24"/>
              </w:rPr>
              <w:t>限制高噪声机械的使用和调整高噪声施工的时间，把噪声大的作业尽量安排在白天。严格按照施工期时间段限制（休息时间14：00-16：00、00：00-8：00内不得施工），把对周围环境的影响降到最低；</w:t>
            </w:r>
          </w:p>
          <w:p>
            <w:pPr>
              <w:autoSpaceDE w:val="0"/>
              <w:autoSpaceDN w:val="0"/>
              <w:adjustRightInd w:val="0"/>
              <w:spacing w:line="560" w:lineRule="exact"/>
              <w:ind w:firstLine="480" w:firstLineChars="200"/>
              <w:textAlignment w:val="baseline"/>
              <w:rPr>
                <w:color w:val="auto"/>
                <w:kern w:val="0"/>
                <w:sz w:val="24"/>
              </w:rPr>
            </w:pPr>
            <w:r>
              <w:rPr>
                <w:color w:val="auto"/>
                <w:sz w:val="24"/>
              </w:rPr>
              <w:t>E</w:t>
            </w:r>
            <w:r>
              <w:rPr>
                <w:rFonts w:hint="eastAsia"/>
                <w:color w:val="auto"/>
                <w:sz w:val="24"/>
              </w:rPr>
              <w:t>.</w:t>
            </w:r>
            <w:r>
              <w:rPr>
                <w:color w:val="auto"/>
                <w:kern w:val="0"/>
                <w:sz w:val="24"/>
              </w:rPr>
              <w:t>加强运输车辆的管理，建材等运输尽量在白天进行，并控制车辆鸣笛；</w:t>
            </w:r>
          </w:p>
          <w:p>
            <w:pPr>
              <w:autoSpaceDE w:val="0"/>
              <w:autoSpaceDN w:val="0"/>
              <w:adjustRightInd w:val="0"/>
              <w:spacing w:line="560" w:lineRule="exact"/>
              <w:ind w:firstLine="480" w:firstLineChars="200"/>
              <w:textAlignment w:val="baseline"/>
              <w:rPr>
                <w:color w:val="auto"/>
                <w:kern w:val="0"/>
                <w:sz w:val="24"/>
              </w:rPr>
            </w:pPr>
            <w:r>
              <w:rPr>
                <w:color w:val="auto"/>
                <w:kern w:val="0"/>
                <w:sz w:val="24"/>
              </w:rPr>
              <w:t>通过以上措施可将施工期噪声影响控制在较小范围内，施工厂界噪声可满足《建筑施工场界环境噪声排放标准》（GB 12523-2011）中标准要求。随施工的结束，施工噪声影响也将随之消失，对周边环境影响较小。</w:t>
            </w:r>
          </w:p>
          <w:p>
            <w:pPr>
              <w:pStyle w:val="4"/>
              <w:spacing w:before="0" w:after="0" w:line="560" w:lineRule="exact"/>
              <w:ind w:firstLine="482" w:firstLineChars="200"/>
              <w:rPr>
                <w:color w:val="auto"/>
                <w:sz w:val="24"/>
                <w:szCs w:val="21"/>
              </w:rPr>
            </w:pPr>
            <w:r>
              <w:rPr>
                <w:color w:val="auto"/>
                <w:sz w:val="24"/>
                <w:szCs w:val="21"/>
              </w:rPr>
              <w:t>4</w:t>
            </w:r>
            <w:r>
              <w:rPr>
                <w:rFonts w:hint="eastAsia"/>
                <w:color w:val="auto"/>
                <w:sz w:val="24"/>
                <w:szCs w:val="21"/>
              </w:rPr>
              <w:t>、</w:t>
            </w:r>
            <w:r>
              <w:rPr>
                <w:color w:val="auto"/>
                <w:sz w:val="24"/>
                <w:szCs w:val="21"/>
              </w:rPr>
              <w:t>固体废物</w:t>
            </w:r>
          </w:p>
          <w:p>
            <w:pPr>
              <w:pStyle w:val="69"/>
              <w:rPr>
                <w:rFonts w:hint="default" w:ascii="Times New Roman" w:hAnsi="Times New Roman" w:eastAsia="宋体" w:cs="Times New Roman"/>
                <w:color w:val="auto"/>
                <w:highlight w:val="none"/>
              </w:rPr>
            </w:pPr>
            <w:r>
              <w:rPr>
                <w:rFonts w:hint="default"/>
                <w:color w:val="auto"/>
                <w:highlight w:val="none"/>
              </w:rPr>
              <w:t>施</w:t>
            </w:r>
            <w:r>
              <w:rPr>
                <w:rFonts w:hint="default" w:ascii="Times New Roman" w:hAnsi="Times New Roman" w:eastAsia="宋体" w:cs="Times New Roman"/>
                <w:color w:val="auto"/>
                <w:highlight w:val="none"/>
              </w:rPr>
              <w:t>工期固体废物主要由施工建筑垃圾和施工人员产生的生活垃圾组成。</w:t>
            </w:r>
          </w:p>
          <w:p>
            <w:pPr>
              <w:pStyle w:val="6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（1）施工建筑垃圾</w:t>
            </w:r>
          </w:p>
          <w:p>
            <w:pPr>
              <w:pStyle w:val="6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主要包括施工过程中产生的渣土、废钢筋、各种废钢配件、金属管线废料、各种装饰材料的包装箱、包装袋等废弃物。根据调查相关资料，建筑垃圾按每100m</w:t>
            </w:r>
            <w:r>
              <w:rPr>
                <w:rFonts w:hint="default" w:ascii="Times New Roman" w:hAnsi="Times New Roman" w:eastAsia="宋体" w:cs="Times New Roman"/>
                <w:color w:val="auto"/>
                <w:highlight w:val="none"/>
                <w:vertAlign w:val="superscript"/>
              </w:rPr>
              <w:t>2</w:t>
            </w:r>
            <w:r>
              <w:rPr>
                <w:rFonts w:hint="default" w:ascii="Times New Roman" w:hAnsi="Times New Roman" w:eastAsia="宋体" w:cs="Times New Roman"/>
                <w:color w:val="auto"/>
                <w:highlight w:val="none"/>
              </w:rPr>
              <w:t>建筑面积产生1t计算，本项目总建筑面积为</w:t>
            </w:r>
            <w:r>
              <w:rPr>
                <w:rFonts w:hint="eastAsia" w:ascii="Times New Roman" w:hAnsi="Times New Roman" w:eastAsia="宋体" w:cs="Times New Roman"/>
                <w:color w:val="auto"/>
                <w:highlight w:val="none"/>
                <w:lang w:val="en-US" w:eastAsia="zh-CN"/>
              </w:rPr>
              <w:t>5164</w:t>
            </w:r>
            <w:r>
              <w:rPr>
                <w:rFonts w:hint="default" w:ascii="Times New Roman" w:hAnsi="Times New Roman" w:eastAsia="宋体" w:cs="Times New Roman"/>
                <w:color w:val="auto"/>
                <w:highlight w:val="none"/>
              </w:rPr>
              <w:t>m</w:t>
            </w:r>
            <w:r>
              <w:rPr>
                <w:rFonts w:hint="default" w:ascii="Times New Roman" w:hAnsi="Times New Roman" w:eastAsia="宋体" w:cs="Times New Roman"/>
                <w:color w:val="auto"/>
                <w:highlight w:val="none"/>
                <w:vertAlign w:val="superscript"/>
              </w:rPr>
              <w:t>2</w:t>
            </w:r>
            <w:r>
              <w:rPr>
                <w:rFonts w:hint="default" w:ascii="Times New Roman" w:hAnsi="Times New Roman" w:eastAsia="宋体" w:cs="Times New Roman"/>
                <w:color w:val="auto"/>
                <w:highlight w:val="none"/>
              </w:rPr>
              <w:t>，产生建筑垃圾约为</w:t>
            </w:r>
            <w:r>
              <w:rPr>
                <w:rFonts w:hint="eastAsia" w:ascii="Times New Roman" w:hAnsi="Times New Roman" w:eastAsia="宋体" w:cs="Times New Roman"/>
                <w:color w:val="auto"/>
                <w:highlight w:val="none"/>
                <w:lang w:val="en-US" w:eastAsia="zh-CN"/>
              </w:rPr>
              <w:t>51.64</w:t>
            </w:r>
            <w:r>
              <w:rPr>
                <w:rFonts w:hint="default" w:ascii="Times New Roman" w:hAnsi="Times New Roman" w:eastAsia="宋体" w:cs="Times New Roman"/>
                <w:color w:val="auto"/>
                <w:highlight w:val="none"/>
              </w:rPr>
              <w:t>t。项目施工中产生的建筑垃圾采用分类收集的方式进行收集，可再生利用部分收集后出售，不可再生部分按照当地城市环境卫生管理部门要求办理相关手续，由建设单位进行合理清运处置。</w:t>
            </w:r>
          </w:p>
          <w:p>
            <w:pPr>
              <w:pStyle w:val="6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）土石方</w:t>
            </w:r>
          </w:p>
          <w:p>
            <w:pPr>
              <w:pStyle w:val="6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项目在建设过程会产生土石方，根据项目区实际勘查及设计计算，项目区</w:t>
            </w:r>
            <w:r>
              <w:rPr>
                <w:rFonts w:hint="eastAsia" w:ascii="Times New Roman" w:hAnsi="Times New Roman" w:eastAsia="宋体" w:cs="Times New Roman"/>
                <w:color w:val="auto"/>
                <w:highlight w:val="none"/>
                <w:lang w:val="en-US" w:eastAsia="zh-CN"/>
              </w:rPr>
              <w:t>挖方约5000m</w:t>
            </w:r>
            <w:r>
              <w:rPr>
                <w:rFonts w:hint="eastAsia"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rPr>
              <w:t>，产生的挖方均在场区内回填使用，无废弃土石方外运处置。</w:t>
            </w:r>
          </w:p>
          <w:p>
            <w:pPr>
              <w:pStyle w:val="6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）生活垃圾</w:t>
            </w:r>
          </w:p>
          <w:p>
            <w:pPr>
              <w:pStyle w:val="6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项目建设过程中同时施工的人员按20人，依照我国生活污染物排放系数，垃圾排放系数取1.0kg/人•d，生活垃圾产生量为0.02t/d；定点堆放，由环卫部门统</w:t>
            </w:r>
            <w:r>
              <w:rPr>
                <w:rFonts w:hint="eastAsia" w:ascii="Times New Roman" w:hAnsi="Times New Roman" w:eastAsia="宋体" w:cs="Times New Roman"/>
                <w:color w:val="auto"/>
                <w:highlight w:val="none"/>
                <w:lang w:eastAsia="zh-CN"/>
              </w:rPr>
              <w:t>一</w:t>
            </w:r>
            <w:r>
              <w:rPr>
                <w:rFonts w:hint="default" w:ascii="Times New Roman" w:hAnsi="Times New Roman" w:eastAsia="宋体" w:cs="Times New Roman"/>
                <w:color w:val="auto"/>
                <w:highlight w:val="none"/>
              </w:rPr>
              <w:t>清运至垃圾填埋场处置。</w:t>
            </w:r>
          </w:p>
          <w:p>
            <w:pPr>
              <w:pStyle w:val="4"/>
              <w:spacing w:before="0" w:after="0" w:line="560" w:lineRule="exact"/>
              <w:ind w:firstLine="482" w:firstLineChars="200"/>
              <w:rPr>
                <w:color w:val="auto"/>
                <w:sz w:val="24"/>
                <w:szCs w:val="21"/>
              </w:rPr>
            </w:pPr>
            <w:r>
              <w:rPr>
                <w:rFonts w:hint="eastAsia"/>
                <w:color w:val="auto"/>
                <w:sz w:val="24"/>
                <w:szCs w:val="21"/>
              </w:rPr>
              <w:t>5、</w:t>
            </w:r>
            <w:r>
              <w:rPr>
                <w:color w:val="auto"/>
                <w:sz w:val="24"/>
                <w:szCs w:val="21"/>
              </w:rPr>
              <w:t>施工期的防沙治沙影响</w:t>
            </w:r>
          </w:p>
          <w:p>
            <w:pPr>
              <w:pStyle w:val="69"/>
              <w:rPr>
                <w:rFonts w:cs="Times New Roman"/>
                <w:color w:val="auto"/>
              </w:rPr>
            </w:pPr>
            <w:r>
              <w:rPr>
                <w:rFonts w:cs="Times New Roman"/>
                <w:color w:val="auto"/>
              </w:rPr>
              <w:t>根据《新疆防沙治沙规划（2011-2020年）》相关要求，经现场踏勘，项目区周边植被较少，需要进行防沙治沙工作，应以预防为主，防治结合，综合治理的原则，遵循生态规律。</w:t>
            </w:r>
          </w:p>
          <w:p>
            <w:pPr>
              <w:pStyle w:val="69"/>
              <w:rPr>
                <w:rFonts w:cs="Times New Roman"/>
                <w:color w:val="auto"/>
              </w:rPr>
            </w:pPr>
            <w:r>
              <w:rPr>
                <w:rFonts w:cs="Times New Roman"/>
                <w:color w:val="auto"/>
              </w:rPr>
              <w:t>根据相关要求，本环评提出了以下防沙治沙措施：</w:t>
            </w:r>
          </w:p>
          <w:p>
            <w:pPr>
              <w:pStyle w:val="69"/>
              <w:rPr>
                <w:rFonts w:cs="Times New Roman"/>
                <w:color w:val="auto"/>
              </w:rPr>
            </w:pPr>
            <w:r>
              <w:rPr>
                <w:rFonts w:cs="Times New Roman"/>
                <w:color w:val="auto"/>
              </w:rPr>
              <w:t>（1）应与当地防风固沙、环保绿化的政策结合，结合项目区所在的实际环境，主动配合风沙治理工作；施工现场应采取保护地表环境措施，防止土壤侵蚀、流失。</w:t>
            </w:r>
          </w:p>
          <w:p>
            <w:pPr>
              <w:pStyle w:val="69"/>
              <w:rPr>
                <w:rFonts w:cs="Times New Roman"/>
                <w:color w:val="auto"/>
              </w:rPr>
            </w:pPr>
            <w:r>
              <w:rPr>
                <w:rFonts w:cs="Times New Roman"/>
                <w:color w:val="auto"/>
              </w:rPr>
              <w:t>（2）施工时应减少土方开挖、回填量和堆放占用土地，最大限度地减少对土地的扰动；在工程结束后用开挖土方及时进行回填，应尽量做到平衡，宜采取原土回填。</w:t>
            </w:r>
          </w:p>
          <w:p>
            <w:pPr>
              <w:pStyle w:val="69"/>
              <w:rPr>
                <w:rFonts w:cs="Times New Roman"/>
                <w:color w:val="auto"/>
              </w:rPr>
            </w:pPr>
            <w:r>
              <w:rPr>
                <w:rFonts w:cs="Times New Roman"/>
                <w:color w:val="auto"/>
              </w:rPr>
              <w:t>（3）向职工灌输防风固沙，保护环境的理念，贴出防沙治沙措施标识牌，增强人员防沙治沙意识，提高防沙治沙能力</w:t>
            </w:r>
            <w:r>
              <w:rPr>
                <w:rFonts w:hint="eastAsia" w:cs="Times New Roman"/>
                <w:color w:val="auto"/>
              </w:rPr>
              <w:t>。</w:t>
            </w:r>
          </w:p>
          <w:p>
            <w:pPr>
              <w:pStyle w:val="6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547" w:type="dxa"/>
            <w:tcMar>
              <w:left w:w="28" w:type="dxa"/>
              <w:right w:w="28" w:type="dxa"/>
            </w:tcMar>
            <w:vAlign w:val="center"/>
          </w:tcPr>
          <w:p>
            <w:pPr>
              <w:adjustRightInd w:val="0"/>
              <w:snapToGrid w:val="0"/>
              <w:spacing w:line="520" w:lineRule="exact"/>
              <w:jc w:val="center"/>
              <w:rPr>
                <w:bCs/>
                <w:color w:val="auto"/>
                <w:sz w:val="24"/>
              </w:rPr>
            </w:pPr>
            <w:r>
              <w:rPr>
                <w:bCs/>
                <w:color w:val="auto"/>
                <w:sz w:val="24"/>
              </w:rPr>
              <w:t>运营</w:t>
            </w:r>
          </w:p>
          <w:p>
            <w:pPr>
              <w:adjustRightInd w:val="0"/>
              <w:snapToGrid w:val="0"/>
              <w:spacing w:line="520" w:lineRule="exact"/>
              <w:jc w:val="center"/>
              <w:rPr>
                <w:bCs/>
                <w:color w:val="auto"/>
                <w:sz w:val="24"/>
              </w:rPr>
            </w:pPr>
            <w:r>
              <w:rPr>
                <w:bCs/>
                <w:color w:val="auto"/>
                <w:sz w:val="24"/>
              </w:rPr>
              <w:t>期环</w:t>
            </w:r>
          </w:p>
          <w:p>
            <w:pPr>
              <w:adjustRightInd w:val="0"/>
              <w:snapToGrid w:val="0"/>
              <w:spacing w:line="520" w:lineRule="exact"/>
              <w:jc w:val="center"/>
              <w:rPr>
                <w:bCs/>
                <w:color w:val="auto"/>
                <w:sz w:val="24"/>
              </w:rPr>
            </w:pPr>
            <w:r>
              <w:rPr>
                <w:bCs/>
                <w:color w:val="auto"/>
                <w:sz w:val="24"/>
              </w:rPr>
              <w:t>境影</w:t>
            </w:r>
          </w:p>
          <w:p>
            <w:pPr>
              <w:adjustRightInd w:val="0"/>
              <w:snapToGrid w:val="0"/>
              <w:spacing w:line="520" w:lineRule="exact"/>
              <w:jc w:val="center"/>
              <w:rPr>
                <w:bCs/>
                <w:color w:val="auto"/>
                <w:sz w:val="24"/>
              </w:rPr>
            </w:pPr>
            <w:r>
              <w:rPr>
                <w:bCs/>
                <w:color w:val="auto"/>
                <w:sz w:val="24"/>
              </w:rPr>
              <w:t>响和</w:t>
            </w:r>
          </w:p>
          <w:p>
            <w:pPr>
              <w:adjustRightInd w:val="0"/>
              <w:snapToGrid w:val="0"/>
              <w:spacing w:line="520" w:lineRule="exact"/>
              <w:jc w:val="center"/>
              <w:rPr>
                <w:bCs/>
                <w:color w:val="auto"/>
                <w:sz w:val="24"/>
              </w:rPr>
            </w:pPr>
            <w:r>
              <w:rPr>
                <w:bCs/>
                <w:color w:val="auto"/>
                <w:sz w:val="24"/>
              </w:rPr>
              <w:t>保护</w:t>
            </w:r>
          </w:p>
          <w:p>
            <w:pPr>
              <w:adjustRightInd w:val="0"/>
              <w:snapToGrid w:val="0"/>
              <w:spacing w:line="520" w:lineRule="exact"/>
              <w:jc w:val="center"/>
              <w:rPr>
                <w:bCs/>
                <w:color w:val="auto"/>
                <w:sz w:val="24"/>
              </w:rPr>
            </w:pPr>
            <w:r>
              <w:rPr>
                <w:bCs/>
                <w:color w:val="auto"/>
                <w:sz w:val="24"/>
              </w:rPr>
              <w:t>措施</w:t>
            </w:r>
          </w:p>
        </w:tc>
        <w:tc>
          <w:tcPr>
            <w:tcW w:w="8460" w:type="dxa"/>
            <w:vAlign w:val="center"/>
          </w:tcPr>
          <w:p>
            <w:pPr>
              <w:widowControl/>
              <w:numPr>
                <w:ilvl w:val="0"/>
                <w:numId w:val="11"/>
              </w:numPr>
              <w:spacing w:line="520" w:lineRule="exact"/>
              <w:ind w:firstLine="482" w:firstLineChars="200"/>
              <w:rPr>
                <w:b/>
                <w:bCs/>
                <w:color w:val="auto"/>
                <w:sz w:val="24"/>
              </w:rPr>
            </w:pPr>
            <w:r>
              <w:rPr>
                <w:rFonts w:hint="eastAsia"/>
                <w:b/>
                <w:bCs/>
                <w:color w:val="auto"/>
                <w:sz w:val="24"/>
              </w:rPr>
              <w:t>大气环境影响分析</w:t>
            </w:r>
          </w:p>
          <w:p>
            <w:pPr>
              <w:snapToGrid w:val="0"/>
              <w:spacing w:line="520" w:lineRule="exact"/>
              <w:ind w:firstLine="559" w:firstLineChars="232"/>
              <w:rPr>
                <w:rFonts w:hAnsi="宋体"/>
                <w:b/>
                <w:bCs/>
                <w:color w:val="auto"/>
                <w:sz w:val="24"/>
              </w:rPr>
            </w:pPr>
            <w:r>
              <w:rPr>
                <w:rFonts w:hint="eastAsia" w:hAnsi="宋体"/>
                <w:b/>
                <w:bCs/>
                <w:color w:val="auto"/>
                <w:sz w:val="24"/>
              </w:rPr>
              <w:t>1</w:t>
            </w:r>
            <w:r>
              <w:rPr>
                <w:rFonts w:hAnsi="宋体"/>
                <w:b/>
                <w:bCs/>
                <w:color w:val="auto"/>
                <w:sz w:val="24"/>
              </w:rPr>
              <w:t>.1</w:t>
            </w:r>
            <w:r>
              <w:rPr>
                <w:rFonts w:hint="eastAsia" w:hAnsi="宋体"/>
                <w:b/>
                <w:bCs/>
                <w:color w:val="auto"/>
                <w:sz w:val="24"/>
              </w:rPr>
              <w:t>大气污染物源强估算</w:t>
            </w:r>
          </w:p>
          <w:p>
            <w:pPr>
              <w:pStyle w:val="104"/>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color w:val="auto"/>
                <w:sz w:val="24"/>
                <w:szCs w:val="24"/>
              </w:rPr>
            </w:pPr>
            <w:r>
              <w:rPr>
                <w:rFonts w:hint="eastAsia"/>
                <w:color w:val="auto"/>
                <w:sz w:val="24"/>
                <w:szCs w:val="24"/>
              </w:rPr>
              <w:t>商品混凝土及预制构件生产线</w:t>
            </w:r>
            <w:r>
              <w:rPr>
                <w:color w:val="auto"/>
                <w:sz w:val="24"/>
                <w:szCs w:val="24"/>
              </w:rPr>
              <w:t>产生的废气主要为</w:t>
            </w:r>
            <w:r>
              <w:rPr>
                <w:rFonts w:hint="eastAsia"/>
                <w:color w:val="auto"/>
                <w:sz w:val="24"/>
                <w:szCs w:val="24"/>
              </w:rPr>
              <w:t>粉料仓</w:t>
            </w:r>
            <w:r>
              <w:rPr>
                <w:color w:val="auto"/>
                <w:sz w:val="24"/>
                <w:szCs w:val="24"/>
              </w:rPr>
              <w:t>、</w:t>
            </w:r>
            <w:r>
              <w:rPr>
                <w:rFonts w:hint="eastAsia"/>
                <w:color w:val="auto"/>
                <w:sz w:val="24"/>
                <w:szCs w:val="24"/>
              </w:rPr>
              <w:t>运输</w:t>
            </w:r>
            <w:r>
              <w:rPr>
                <w:color w:val="auto"/>
                <w:sz w:val="24"/>
                <w:szCs w:val="24"/>
              </w:rPr>
              <w:t>、</w:t>
            </w:r>
            <w:r>
              <w:rPr>
                <w:rFonts w:hint="eastAsia"/>
                <w:color w:val="auto"/>
                <w:sz w:val="24"/>
                <w:szCs w:val="24"/>
              </w:rPr>
              <w:t>上料、配料、搅拌过程产生的颗粒物及物料运输过程产生的汽车尾气。</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color w:val="auto"/>
                <w:sz w:val="24"/>
              </w:rPr>
            </w:pPr>
            <w:r>
              <w:rPr>
                <w:rFonts w:hint="eastAsia"/>
                <w:color w:val="auto"/>
                <w:sz w:val="24"/>
              </w:rPr>
              <w:t>（1）粉料筒仓（水泥、粉煤灰）呼吸颗粒物</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auto"/>
                <w:sz w:val="24"/>
              </w:rPr>
            </w:pPr>
            <w:r>
              <w:rPr>
                <w:rFonts w:hint="eastAsia"/>
                <w:color w:val="auto"/>
                <w:sz w:val="24"/>
              </w:rPr>
              <w:t>项目粉料（水泥、粉煤灰、矿粉）储存于筒仓内，2条混凝土生产线粉料筒仓共计6座。粉料由专用罐车运至厂区采用气动上料时筒仓会产生呼吸从而产生颗粒物，</w:t>
            </w:r>
            <w:r>
              <w:rPr>
                <w:color w:val="auto"/>
                <w:sz w:val="24"/>
              </w:rPr>
              <w:t>参考《排放源统计调查产排污核算方法和系数手册》（2021年6月）-3021水泥制品制造（含3022砼结构构件制造、3029其他水泥类似制品制造）</w:t>
            </w:r>
            <w:r>
              <w:rPr>
                <w:rFonts w:hint="eastAsia"/>
                <w:color w:val="auto"/>
                <w:sz w:val="24"/>
              </w:rPr>
              <w:t>中水泥制品</w:t>
            </w:r>
            <w:r>
              <w:rPr>
                <w:color w:val="auto"/>
                <w:sz w:val="24"/>
              </w:rPr>
              <w:t>，物料输送储存工序废气量产污系数为</w:t>
            </w:r>
            <w:r>
              <w:rPr>
                <w:rFonts w:hint="eastAsia"/>
                <w:color w:val="auto"/>
                <w:sz w:val="24"/>
              </w:rPr>
              <w:t>41.8</w:t>
            </w:r>
            <w:r>
              <w:rPr>
                <w:color w:val="auto"/>
                <w:sz w:val="24"/>
              </w:rPr>
              <w:t>标立方米/吨-产品、颗粒物产生量为0.</w:t>
            </w:r>
            <w:r>
              <w:rPr>
                <w:rFonts w:hint="eastAsia"/>
                <w:color w:val="auto"/>
                <w:sz w:val="24"/>
              </w:rPr>
              <w:t>19</w:t>
            </w:r>
            <w:r>
              <w:rPr>
                <w:color w:val="auto"/>
                <w:sz w:val="24"/>
              </w:rPr>
              <w:t>kg/t-产品，仓顶除尘器除尘效率99.7%。</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auto"/>
                <w:sz w:val="24"/>
              </w:rPr>
            </w:pPr>
            <w:r>
              <w:rPr>
                <w:rFonts w:hint="eastAsia"/>
                <w:color w:val="auto"/>
                <w:sz w:val="24"/>
              </w:rPr>
              <w:t>筒仓为全密闭，收集率按100%计。筒仓呼吸粉尘产排情况见表4-1、4-2。</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表4-1  呼吸粉尘产生量一览表</w:t>
            </w:r>
          </w:p>
          <w:tbl>
            <w:tblPr>
              <w:tblStyle w:val="31"/>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167"/>
              <w:gridCol w:w="1711"/>
              <w:gridCol w:w="2079"/>
              <w:gridCol w:w="17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925" w:type="pct"/>
                  <w:tcBorders>
                    <w:tl2br w:val="nil"/>
                    <w:tr2bl w:val="nil"/>
                  </w:tcBorders>
                  <w:vAlign w:val="center"/>
                </w:tcPr>
                <w:p>
                  <w:pPr>
                    <w:jc w:val="center"/>
                    <w:rPr>
                      <w:color w:val="auto"/>
                      <w:szCs w:val="21"/>
                    </w:rPr>
                  </w:pPr>
                  <w:r>
                    <w:rPr>
                      <w:rFonts w:hint="eastAsia"/>
                      <w:color w:val="auto"/>
                      <w:szCs w:val="21"/>
                    </w:rPr>
                    <w:t>生产线</w:t>
                  </w:r>
                </w:p>
              </w:tc>
              <w:tc>
                <w:tcPr>
                  <w:tcW w:w="708" w:type="pct"/>
                  <w:tcBorders>
                    <w:tl2br w:val="nil"/>
                    <w:tr2bl w:val="nil"/>
                  </w:tcBorders>
                  <w:vAlign w:val="center"/>
                </w:tcPr>
                <w:p>
                  <w:pPr>
                    <w:jc w:val="center"/>
                    <w:rPr>
                      <w:color w:val="auto"/>
                      <w:szCs w:val="21"/>
                    </w:rPr>
                  </w:pPr>
                  <w:r>
                    <w:rPr>
                      <w:rFonts w:hint="eastAsia"/>
                      <w:color w:val="auto"/>
                      <w:szCs w:val="21"/>
                    </w:rPr>
                    <w:t>筒仓</w:t>
                  </w:r>
                </w:p>
              </w:tc>
              <w:tc>
                <w:tcPr>
                  <w:tcW w:w="1038" w:type="pct"/>
                  <w:tcBorders>
                    <w:tl2br w:val="nil"/>
                    <w:tr2bl w:val="nil"/>
                  </w:tcBorders>
                  <w:vAlign w:val="center"/>
                </w:tcPr>
                <w:p>
                  <w:pPr>
                    <w:jc w:val="center"/>
                    <w:rPr>
                      <w:color w:val="auto"/>
                      <w:szCs w:val="21"/>
                    </w:rPr>
                  </w:pPr>
                  <w:r>
                    <w:rPr>
                      <w:rFonts w:hint="eastAsia"/>
                      <w:color w:val="auto"/>
                      <w:szCs w:val="21"/>
                    </w:rPr>
                    <w:t>存储量（t/a）</w:t>
                  </w:r>
                </w:p>
              </w:tc>
              <w:tc>
                <w:tcPr>
                  <w:tcW w:w="1261" w:type="pct"/>
                  <w:tcBorders>
                    <w:tl2br w:val="nil"/>
                    <w:tr2bl w:val="nil"/>
                  </w:tcBorders>
                  <w:vAlign w:val="center"/>
                </w:tcPr>
                <w:p>
                  <w:pPr>
                    <w:jc w:val="center"/>
                    <w:rPr>
                      <w:color w:val="auto"/>
                      <w:szCs w:val="21"/>
                    </w:rPr>
                  </w:pPr>
                  <w:r>
                    <w:rPr>
                      <w:rFonts w:hint="eastAsia"/>
                      <w:color w:val="auto"/>
                      <w:szCs w:val="21"/>
                    </w:rPr>
                    <w:t>废气量（万Nm</w:t>
                  </w:r>
                  <w:r>
                    <w:rPr>
                      <w:rFonts w:hint="eastAsia"/>
                      <w:color w:val="auto"/>
                      <w:szCs w:val="21"/>
                      <w:vertAlign w:val="superscript"/>
                    </w:rPr>
                    <w:t>3</w:t>
                  </w:r>
                  <w:r>
                    <w:rPr>
                      <w:rFonts w:hint="eastAsia"/>
                      <w:color w:val="auto"/>
                      <w:szCs w:val="21"/>
                    </w:rPr>
                    <w:t>/a）</w:t>
                  </w:r>
                </w:p>
              </w:tc>
              <w:tc>
                <w:tcPr>
                  <w:tcW w:w="1066" w:type="pct"/>
                  <w:tcBorders>
                    <w:tl2br w:val="nil"/>
                    <w:tr2bl w:val="nil"/>
                  </w:tcBorders>
                  <w:vAlign w:val="center"/>
                </w:tcPr>
                <w:p>
                  <w:pPr>
                    <w:jc w:val="center"/>
                    <w:rPr>
                      <w:color w:val="auto"/>
                      <w:szCs w:val="21"/>
                    </w:rPr>
                  </w:pPr>
                  <w:r>
                    <w:rPr>
                      <w:rFonts w:hint="eastAsia"/>
                      <w:color w:val="auto"/>
                      <w:szCs w:val="21"/>
                    </w:rPr>
                    <w:t>粉尘产生量（t/a）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5" w:type="pct"/>
                  <w:vMerge w:val="restart"/>
                  <w:tcBorders>
                    <w:tl2br w:val="nil"/>
                    <w:tr2bl w:val="nil"/>
                  </w:tcBorders>
                  <w:vAlign w:val="center"/>
                </w:tcPr>
                <w:p>
                  <w:pPr>
                    <w:jc w:val="center"/>
                    <w:rPr>
                      <w:color w:val="auto"/>
                      <w:szCs w:val="21"/>
                    </w:rPr>
                  </w:pPr>
                  <w:r>
                    <w:rPr>
                      <w:rFonts w:hint="eastAsia"/>
                      <w:color w:val="auto"/>
                      <w:szCs w:val="21"/>
                    </w:rPr>
                    <w:t>混凝土生产线1#</w:t>
                  </w:r>
                </w:p>
              </w:tc>
              <w:tc>
                <w:tcPr>
                  <w:tcW w:w="708" w:type="pct"/>
                  <w:tcBorders>
                    <w:tl2br w:val="nil"/>
                    <w:tr2bl w:val="nil"/>
                  </w:tcBorders>
                  <w:vAlign w:val="center"/>
                </w:tcPr>
                <w:p>
                  <w:pPr>
                    <w:jc w:val="center"/>
                    <w:rPr>
                      <w:color w:val="auto"/>
                      <w:szCs w:val="21"/>
                    </w:rPr>
                  </w:pPr>
                  <w:r>
                    <w:rPr>
                      <w:rFonts w:hint="eastAsia"/>
                      <w:color w:val="auto"/>
                      <w:szCs w:val="21"/>
                    </w:rPr>
                    <w:t>水泥</w:t>
                  </w:r>
                </w:p>
              </w:tc>
              <w:tc>
                <w:tcPr>
                  <w:tcW w:w="1038" w:type="pct"/>
                  <w:tcBorders>
                    <w:tl2br w:val="nil"/>
                    <w:tr2bl w:val="nil"/>
                  </w:tcBorders>
                  <w:vAlign w:val="center"/>
                </w:tcPr>
                <w:p>
                  <w:pPr>
                    <w:jc w:val="center"/>
                    <w:rPr>
                      <w:color w:val="auto"/>
                      <w:szCs w:val="21"/>
                    </w:rPr>
                  </w:pPr>
                  <w:r>
                    <w:rPr>
                      <w:rFonts w:hint="eastAsia"/>
                      <w:color w:val="auto"/>
                      <w:szCs w:val="21"/>
                    </w:rPr>
                    <w:t>74520</w:t>
                  </w:r>
                </w:p>
              </w:tc>
              <w:tc>
                <w:tcPr>
                  <w:tcW w:w="1261"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311.49 </w:t>
                  </w:r>
                </w:p>
              </w:tc>
              <w:tc>
                <w:tcPr>
                  <w:tcW w:w="1066"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14.16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5" w:type="pct"/>
                  <w:vMerge w:val="continue"/>
                  <w:tcBorders>
                    <w:tl2br w:val="nil"/>
                    <w:tr2bl w:val="nil"/>
                  </w:tcBorders>
                  <w:vAlign w:val="center"/>
                </w:tcPr>
                <w:p>
                  <w:pPr>
                    <w:jc w:val="center"/>
                    <w:rPr>
                      <w:color w:val="auto"/>
                      <w:szCs w:val="21"/>
                    </w:rPr>
                  </w:pPr>
                </w:p>
              </w:tc>
              <w:tc>
                <w:tcPr>
                  <w:tcW w:w="708" w:type="pct"/>
                  <w:tcBorders>
                    <w:tl2br w:val="nil"/>
                    <w:tr2bl w:val="nil"/>
                  </w:tcBorders>
                  <w:vAlign w:val="center"/>
                </w:tcPr>
                <w:p>
                  <w:pPr>
                    <w:jc w:val="center"/>
                    <w:rPr>
                      <w:color w:val="auto"/>
                      <w:szCs w:val="21"/>
                    </w:rPr>
                  </w:pPr>
                  <w:r>
                    <w:rPr>
                      <w:rFonts w:hint="eastAsia"/>
                      <w:color w:val="auto"/>
                      <w:szCs w:val="21"/>
                    </w:rPr>
                    <w:t>粉煤灰</w:t>
                  </w:r>
                </w:p>
              </w:tc>
              <w:tc>
                <w:tcPr>
                  <w:tcW w:w="1038" w:type="pct"/>
                  <w:tcBorders>
                    <w:tl2br w:val="nil"/>
                    <w:tr2bl w:val="nil"/>
                  </w:tcBorders>
                  <w:vAlign w:val="center"/>
                </w:tcPr>
                <w:p>
                  <w:pPr>
                    <w:jc w:val="center"/>
                    <w:rPr>
                      <w:color w:val="auto"/>
                      <w:szCs w:val="21"/>
                    </w:rPr>
                  </w:pPr>
                  <w:r>
                    <w:rPr>
                      <w:rFonts w:hint="eastAsia"/>
                      <w:color w:val="auto"/>
                      <w:szCs w:val="21"/>
                    </w:rPr>
                    <w:t>26220</w:t>
                  </w:r>
                </w:p>
              </w:tc>
              <w:tc>
                <w:tcPr>
                  <w:tcW w:w="1261"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109.60 </w:t>
                  </w:r>
                </w:p>
              </w:tc>
              <w:tc>
                <w:tcPr>
                  <w:tcW w:w="1066"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4.98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5" w:type="pct"/>
                  <w:vMerge w:val="continue"/>
                  <w:tcBorders>
                    <w:tl2br w:val="nil"/>
                    <w:tr2bl w:val="nil"/>
                  </w:tcBorders>
                  <w:vAlign w:val="center"/>
                </w:tcPr>
                <w:p>
                  <w:pPr>
                    <w:jc w:val="center"/>
                    <w:rPr>
                      <w:color w:val="auto"/>
                      <w:szCs w:val="21"/>
                    </w:rPr>
                  </w:pPr>
                </w:p>
              </w:tc>
              <w:tc>
                <w:tcPr>
                  <w:tcW w:w="708" w:type="pct"/>
                  <w:tcBorders>
                    <w:tl2br w:val="nil"/>
                    <w:tr2bl w:val="nil"/>
                  </w:tcBorders>
                  <w:vAlign w:val="center"/>
                </w:tcPr>
                <w:p>
                  <w:pPr>
                    <w:jc w:val="center"/>
                    <w:rPr>
                      <w:color w:val="auto"/>
                      <w:szCs w:val="21"/>
                    </w:rPr>
                  </w:pPr>
                  <w:r>
                    <w:rPr>
                      <w:rFonts w:hint="eastAsia"/>
                      <w:color w:val="auto"/>
                      <w:szCs w:val="21"/>
                    </w:rPr>
                    <w:t>矿粉</w:t>
                  </w:r>
                </w:p>
              </w:tc>
              <w:tc>
                <w:tcPr>
                  <w:tcW w:w="1038" w:type="pct"/>
                  <w:tcBorders>
                    <w:tl2br w:val="nil"/>
                    <w:tr2bl w:val="nil"/>
                  </w:tcBorders>
                  <w:vAlign w:val="center"/>
                </w:tcPr>
                <w:p>
                  <w:pPr>
                    <w:jc w:val="center"/>
                    <w:rPr>
                      <w:color w:val="auto"/>
                      <w:szCs w:val="21"/>
                    </w:rPr>
                  </w:pPr>
                  <w:r>
                    <w:rPr>
                      <w:rFonts w:hint="eastAsia"/>
                      <w:color w:val="auto"/>
                      <w:szCs w:val="21"/>
                    </w:rPr>
                    <w:t>8280</w:t>
                  </w:r>
                </w:p>
              </w:tc>
              <w:tc>
                <w:tcPr>
                  <w:tcW w:w="1261"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34.61 </w:t>
                  </w:r>
                </w:p>
              </w:tc>
              <w:tc>
                <w:tcPr>
                  <w:tcW w:w="1066"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1.57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5" w:type="pct"/>
                  <w:vMerge w:val="restart"/>
                  <w:tcBorders>
                    <w:tl2br w:val="nil"/>
                    <w:tr2bl w:val="nil"/>
                  </w:tcBorders>
                  <w:vAlign w:val="center"/>
                </w:tcPr>
                <w:p>
                  <w:pPr>
                    <w:jc w:val="center"/>
                    <w:rPr>
                      <w:color w:val="auto"/>
                      <w:szCs w:val="21"/>
                    </w:rPr>
                  </w:pPr>
                  <w:r>
                    <w:rPr>
                      <w:rFonts w:hint="eastAsia"/>
                      <w:color w:val="auto"/>
                      <w:szCs w:val="21"/>
                    </w:rPr>
                    <w:t>混凝土生产线2#</w:t>
                  </w:r>
                </w:p>
              </w:tc>
              <w:tc>
                <w:tcPr>
                  <w:tcW w:w="708" w:type="pct"/>
                  <w:tcBorders>
                    <w:tl2br w:val="nil"/>
                    <w:tr2bl w:val="nil"/>
                  </w:tcBorders>
                  <w:vAlign w:val="center"/>
                </w:tcPr>
                <w:p>
                  <w:pPr>
                    <w:jc w:val="center"/>
                    <w:rPr>
                      <w:color w:val="auto"/>
                      <w:szCs w:val="21"/>
                    </w:rPr>
                  </w:pPr>
                  <w:r>
                    <w:rPr>
                      <w:rFonts w:hint="eastAsia"/>
                      <w:color w:val="auto"/>
                      <w:szCs w:val="21"/>
                    </w:rPr>
                    <w:t>水泥</w:t>
                  </w:r>
                </w:p>
              </w:tc>
              <w:tc>
                <w:tcPr>
                  <w:tcW w:w="1038" w:type="pct"/>
                  <w:tcBorders>
                    <w:tl2br w:val="nil"/>
                    <w:tr2bl w:val="nil"/>
                  </w:tcBorders>
                  <w:vAlign w:val="center"/>
                </w:tcPr>
                <w:p>
                  <w:pPr>
                    <w:jc w:val="center"/>
                    <w:rPr>
                      <w:color w:val="auto"/>
                      <w:szCs w:val="21"/>
                    </w:rPr>
                  </w:pPr>
                  <w:r>
                    <w:rPr>
                      <w:rFonts w:hint="eastAsia"/>
                      <w:color w:val="auto"/>
                      <w:szCs w:val="21"/>
                    </w:rPr>
                    <w:t>74520</w:t>
                  </w:r>
                </w:p>
              </w:tc>
              <w:tc>
                <w:tcPr>
                  <w:tcW w:w="1261"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311.49 </w:t>
                  </w:r>
                </w:p>
              </w:tc>
              <w:tc>
                <w:tcPr>
                  <w:tcW w:w="1066"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14.16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25" w:type="pct"/>
                  <w:vMerge w:val="continue"/>
                  <w:tcBorders>
                    <w:tl2br w:val="nil"/>
                    <w:tr2bl w:val="nil"/>
                  </w:tcBorders>
                  <w:vAlign w:val="center"/>
                </w:tcPr>
                <w:p>
                  <w:pPr>
                    <w:jc w:val="center"/>
                    <w:rPr>
                      <w:color w:val="auto"/>
                      <w:szCs w:val="21"/>
                    </w:rPr>
                  </w:pPr>
                </w:p>
              </w:tc>
              <w:tc>
                <w:tcPr>
                  <w:tcW w:w="708" w:type="pct"/>
                  <w:tcBorders>
                    <w:tl2br w:val="nil"/>
                    <w:tr2bl w:val="nil"/>
                  </w:tcBorders>
                  <w:vAlign w:val="center"/>
                </w:tcPr>
                <w:p>
                  <w:pPr>
                    <w:jc w:val="center"/>
                    <w:rPr>
                      <w:color w:val="auto"/>
                      <w:szCs w:val="21"/>
                    </w:rPr>
                  </w:pPr>
                  <w:r>
                    <w:rPr>
                      <w:rFonts w:hint="eastAsia"/>
                      <w:color w:val="auto"/>
                      <w:szCs w:val="21"/>
                    </w:rPr>
                    <w:t>粉煤灰</w:t>
                  </w:r>
                </w:p>
              </w:tc>
              <w:tc>
                <w:tcPr>
                  <w:tcW w:w="1038" w:type="pct"/>
                  <w:tcBorders>
                    <w:tl2br w:val="nil"/>
                    <w:tr2bl w:val="nil"/>
                  </w:tcBorders>
                  <w:vAlign w:val="center"/>
                </w:tcPr>
                <w:p>
                  <w:pPr>
                    <w:jc w:val="center"/>
                    <w:rPr>
                      <w:color w:val="auto"/>
                      <w:szCs w:val="21"/>
                    </w:rPr>
                  </w:pPr>
                  <w:r>
                    <w:rPr>
                      <w:rFonts w:hint="eastAsia"/>
                      <w:color w:val="auto"/>
                      <w:szCs w:val="21"/>
                    </w:rPr>
                    <w:t>26220</w:t>
                  </w:r>
                </w:p>
              </w:tc>
              <w:tc>
                <w:tcPr>
                  <w:tcW w:w="1261"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109.60 </w:t>
                  </w:r>
                </w:p>
              </w:tc>
              <w:tc>
                <w:tcPr>
                  <w:tcW w:w="1066"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4.98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25" w:type="pct"/>
                  <w:vMerge w:val="continue"/>
                  <w:tcBorders>
                    <w:tl2br w:val="nil"/>
                    <w:tr2bl w:val="nil"/>
                  </w:tcBorders>
                  <w:vAlign w:val="center"/>
                </w:tcPr>
                <w:p>
                  <w:pPr>
                    <w:jc w:val="center"/>
                    <w:rPr>
                      <w:color w:val="auto"/>
                      <w:szCs w:val="21"/>
                    </w:rPr>
                  </w:pPr>
                </w:p>
              </w:tc>
              <w:tc>
                <w:tcPr>
                  <w:tcW w:w="708" w:type="pct"/>
                  <w:tcBorders>
                    <w:tl2br w:val="nil"/>
                    <w:tr2bl w:val="nil"/>
                  </w:tcBorders>
                  <w:vAlign w:val="center"/>
                </w:tcPr>
                <w:p>
                  <w:pPr>
                    <w:jc w:val="center"/>
                    <w:rPr>
                      <w:color w:val="auto"/>
                      <w:szCs w:val="21"/>
                    </w:rPr>
                  </w:pPr>
                  <w:r>
                    <w:rPr>
                      <w:rFonts w:hint="eastAsia"/>
                      <w:color w:val="auto"/>
                      <w:szCs w:val="21"/>
                    </w:rPr>
                    <w:t>矿粉</w:t>
                  </w:r>
                </w:p>
              </w:tc>
              <w:tc>
                <w:tcPr>
                  <w:tcW w:w="1038" w:type="pct"/>
                  <w:tcBorders>
                    <w:tl2br w:val="nil"/>
                    <w:tr2bl w:val="nil"/>
                  </w:tcBorders>
                  <w:vAlign w:val="center"/>
                </w:tcPr>
                <w:p>
                  <w:pPr>
                    <w:jc w:val="center"/>
                    <w:rPr>
                      <w:color w:val="auto"/>
                      <w:szCs w:val="21"/>
                    </w:rPr>
                  </w:pPr>
                  <w:r>
                    <w:rPr>
                      <w:rFonts w:hint="eastAsia"/>
                      <w:color w:val="auto"/>
                      <w:szCs w:val="21"/>
                    </w:rPr>
                    <w:t>8280</w:t>
                  </w:r>
                </w:p>
              </w:tc>
              <w:tc>
                <w:tcPr>
                  <w:tcW w:w="1261"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34.61 </w:t>
                  </w:r>
                </w:p>
              </w:tc>
              <w:tc>
                <w:tcPr>
                  <w:tcW w:w="1066"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1.57 </w:t>
                  </w:r>
                </w:p>
              </w:tc>
            </w:tr>
          </w:tbl>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表4-2  呼吸粉尘产排量一览表</w:t>
            </w:r>
          </w:p>
          <w:tbl>
            <w:tblPr>
              <w:tblStyle w:val="31"/>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121"/>
              <w:gridCol w:w="415"/>
              <w:gridCol w:w="824"/>
              <w:gridCol w:w="1156"/>
              <w:gridCol w:w="1090"/>
              <w:gridCol w:w="958"/>
              <w:gridCol w:w="1144"/>
              <w:gridCol w:w="10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tcBorders>
                    <w:tl2br w:val="nil"/>
                    <w:tr2bl w:val="nil"/>
                  </w:tcBorders>
                  <w:vAlign w:val="center"/>
                </w:tcPr>
                <w:p>
                  <w:pPr>
                    <w:jc w:val="center"/>
                    <w:rPr>
                      <w:color w:val="auto"/>
                      <w:szCs w:val="21"/>
                    </w:rPr>
                  </w:pPr>
                  <w:r>
                    <w:rPr>
                      <w:color w:val="auto"/>
                      <w:szCs w:val="21"/>
                    </w:rPr>
                    <w:t>生产线</w:t>
                  </w:r>
                </w:p>
              </w:tc>
              <w:tc>
                <w:tcPr>
                  <w:tcW w:w="680" w:type="pct"/>
                  <w:tcBorders>
                    <w:tl2br w:val="nil"/>
                    <w:tr2bl w:val="nil"/>
                  </w:tcBorders>
                  <w:vAlign w:val="center"/>
                </w:tcPr>
                <w:p>
                  <w:pPr>
                    <w:jc w:val="center"/>
                    <w:rPr>
                      <w:color w:val="auto"/>
                      <w:szCs w:val="21"/>
                    </w:rPr>
                  </w:pPr>
                  <w:r>
                    <w:rPr>
                      <w:rFonts w:hint="eastAsia"/>
                      <w:color w:val="auto"/>
                      <w:szCs w:val="21"/>
                    </w:rPr>
                    <w:t>排放口</w:t>
                  </w:r>
                </w:p>
              </w:tc>
              <w:tc>
                <w:tcPr>
                  <w:tcW w:w="252" w:type="pct"/>
                  <w:tcBorders>
                    <w:tl2br w:val="nil"/>
                    <w:tr2bl w:val="nil"/>
                  </w:tcBorders>
                  <w:vAlign w:val="center"/>
                </w:tcPr>
                <w:p>
                  <w:pPr>
                    <w:jc w:val="center"/>
                    <w:rPr>
                      <w:color w:val="auto"/>
                      <w:szCs w:val="21"/>
                    </w:rPr>
                  </w:pPr>
                  <w:r>
                    <w:rPr>
                      <w:color w:val="auto"/>
                      <w:szCs w:val="21"/>
                    </w:rPr>
                    <w:t>污染物</w:t>
                  </w:r>
                </w:p>
              </w:tc>
              <w:tc>
                <w:tcPr>
                  <w:tcW w:w="500" w:type="pct"/>
                  <w:tcBorders>
                    <w:tl2br w:val="nil"/>
                    <w:tr2bl w:val="nil"/>
                  </w:tcBorders>
                  <w:vAlign w:val="center"/>
                </w:tcPr>
                <w:p>
                  <w:pPr>
                    <w:jc w:val="center"/>
                    <w:rPr>
                      <w:color w:val="auto"/>
                      <w:szCs w:val="21"/>
                    </w:rPr>
                  </w:pPr>
                  <w:r>
                    <w:rPr>
                      <w:color w:val="auto"/>
                      <w:szCs w:val="21"/>
                    </w:rPr>
                    <w:t>产生量（t/a）</w:t>
                  </w:r>
                </w:p>
              </w:tc>
              <w:tc>
                <w:tcPr>
                  <w:tcW w:w="701" w:type="pct"/>
                  <w:tcBorders>
                    <w:tl2br w:val="nil"/>
                    <w:tr2bl w:val="nil"/>
                  </w:tcBorders>
                  <w:vAlign w:val="center"/>
                </w:tcPr>
                <w:p>
                  <w:pPr>
                    <w:jc w:val="center"/>
                    <w:rPr>
                      <w:color w:val="auto"/>
                      <w:szCs w:val="21"/>
                    </w:rPr>
                  </w:pPr>
                  <w:r>
                    <w:rPr>
                      <w:color w:val="auto"/>
                    </w:rPr>
                    <w:t>环保措施</w:t>
                  </w:r>
                </w:p>
              </w:tc>
              <w:tc>
                <w:tcPr>
                  <w:tcW w:w="661" w:type="pct"/>
                  <w:tcBorders>
                    <w:tl2br w:val="nil"/>
                    <w:tr2bl w:val="nil"/>
                  </w:tcBorders>
                  <w:vAlign w:val="center"/>
                </w:tcPr>
                <w:p>
                  <w:pPr>
                    <w:jc w:val="center"/>
                    <w:rPr>
                      <w:color w:val="auto"/>
                      <w:szCs w:val="21"/>
                    </w:rPr>
                  </w:pPr>
                  <w:r>
                    <w:rPr>
                      <w:color w:val="auto"/>
                      <w:szCs w:val="21"/>
                    </w:rPr>
                    <w:t>去除效率（%）</w:t>
                  </w:r>
                </w:p>
              </w:tc>
              <w:tc>
                <w:tcPr>
                  <w:tcW w:w="581" w:type="pct"/>
                  <w:tcBorders>
                    <w:tl2br w:val="nil"/>
                    <w:tr2bl w:val="nil"/>
                  </w:tcBorders>
                  <w:vAlign w:val="center"/>
                </w:tcPr>
                <w:p>
                  <w:pPr>
                    <w:jc w:val="center"/>
                    <w:rPr>
                      <w:color w:val="auto"/>
                      <w:szCs w:val="21"/>
                    </w:rPr>
                  </w:pPr>
                  <w:r>
                    <w:rPr>
                      <w:color w:val="auto"/>
                      <w:szCs w:val="21"/>
                    </w:rPr>
                    <w:t>排放量（t/a）</w:t>
                  </w:r>
                </w:p>
              </w:tc>
              <w:tc>
                <w:tcPr>
                  <w:tcW w:w="694" w:type="pct"/>
                  <w:tcBorders>
                    <w:tl2br w:val="nil"/>
                    <w:tr2bl w:val="nil"/>
                  </w:tcBorders>
                  <w:vAlign w:val="center"/>
                </w:tcPr>
                <w:p>
                  <w:pPr>
                    <w:jc w:val="center"/>
                    <w:rPr>
                      <w:color w:val="auto"/>
                      <w:szCs w:val="21"/>
                    </w:rPr>
                  </w:pPr>
                  <w:r>
                    <w:rPr>
                      <w:color w:val="auto"/>
                      <w:szCs w:val="21"/>
                    </w:rPr>
                    <w:t>排放浓度（mg/m</w:t>
                  </w:r>
                  <w:r>
                    <w:rPr>
                      <w:color w:val="auto"/>
                      <w:szCs w:val="21"/>
                      <w:vertAlign w:val="superscript"/>
                    </w:rPr>
                    <w:t>3</w:t>
                  </w:r>
                  <w:r>
                    <w:rPr>
                      <w:color w:val="auto"/>
                      <w:szCs w:val="21"/>
                    </w:rPr>
                    <w:t>）</w:t>
                  </w:r>
                </w:p>
              </w:tc>
              <w:tc>
                <w:tcPr>
                  <w:tcW w:w="661" w:type="pct"/>
                  <w:tcBorders>
                    <w:tl2br w:val="nil"/>
                    <w:tr2bl w:val="nil"/>
                  </w:tcBorders>
                  <w:vAlign w:val="center"/>
                </w:tcPr>
                <w:p>
                  <w:pPr>
                    <w:jc w:val="center"/>
                    <w:rPr>
                      <w:color w:val="auto"/>
                      <w:szCs w:val="21"/>
                    </w:rPr>
                  </w:pPr>
                  <w:r>
                    <w:rPr>
                      <w:color w:val="auto"/>
                      <w:szCs w:val="21"/>
                    </w:rPr>
                    <w:t>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64" w:type="pct"/>
                  <w:vMerge w:val="restart"/>
                  <w:tcBorders>
                    <w:tl2br w:val="nil"/>
                    <w:tr2bl w:val="nil"/>
                  </w:tcBorders>
                  <w:vAlign w:val="center"/>
                </w:tcPr>
                <w:p>
                  <w:pPr>
                    <w:jc w:val="center"/>
                    <w:rPr>
                      <w:color w:val="auto"/>
                      <w:szCs w:val="21"/>
                    </w:rPr>
                  </w:pPr>
                  <w:r>
                    <w:rPr>
                      <w:rFonts w:hint="eastAsia"/>
                      <w:color w:val="auto"/>
                      <w:szCs w:val="21"/>
                    </w:rPr>
                    <w:t>混凝土生产线1#</w:t>
                  </w:r>
                </w:p>
              </w:tc>
              <w:tc>
                <w:tcPr>
                  <w:tcW w:w="680" w:type="pct"/>
                  <w:tcBorders>
                    <w:tl2br w:val="nil"/>
                    <w:tr2bl w:val="nil"/>
                  </w:tcBorders>
                  <w:vAlign w:val="center"/>
                </w:tcPr>
                <w:p>
                  <w:pPr>
                    <w:jc w:val="center"/>
                    <w:rPr>
                      <w:color w:val="auto"/>
                      <w:szCs w:val="21"/>
                    </w:rPr>
                  </w:pPr>
                  <w:r>
                    <w:rPr>
                      <w:rFonts w:hint="eastAsia"/>
                      <w:color w:val="auto"/>
                      <w:szCs w:val="21"/>
                    </w:rPr>
                    <w:t>水泥筒仓DA001</w:t>
                  </w:r>
                </w:p>
              </w:tc>
              <w:tc>
                <w:tcPr>
                  <w:tcW w:w="252" w:type="pct"/>
                  <w:vMerge w:val="restart"/>
                  <w:tcBorders>
                    <w:tl2br w:val="nil"/>
                    <w:tr2bl w:val="nil"/>
                  </w:tcBorders>
                  <w:vAlign w:val="center"/>
                </w:tcPr>
                <w:p>
                  <w:pPr>
                    <w:jc w:val="center"/>
                    <w:rPr>
                      <w:color w:val="auto"/>
                      <w:szCs w:val="21"/>
                    </w:rPr>
                  </w:pPr>
                  <w:r>
                    <w:rPr>
                      <w:color w:val="auto"/>
                      <w:szCs w:val="21"/>
                    </w:rPr>
                    <w:t>颗粒物</w:t>
                  </w:r>
                </w:p>
              </w:tc>
              <w:tc>
                <w:tcPr>
                  <w:tcW w:w="500" w:type="pct"/>
                  <w:tcBorders>
                    <w:tl2br w:val="nil"/>
                    <w:tr2bl w:val="nil"/>
                  </w:tcBorders>
                  <w:vAlign w:val="center"/>
                </w:tcPr>
                <w:p>
                  <w:pPr>
                    <w:pStyle w:val="38"/>
                    <w:jc w:val="center"/>
                    <w:rPr>
                      <w:color w:val="auto"/>
                    </w:rPr>
                  </w:pPr>
                  <w:r>
                    <w:rPr>
                      <w:color w:val="auto"/>
                    </w:rPr>
                    <w:t>14.16</w:t>
                  </w:r>
                </w:p>
              </w:tc>
              <w:tc>
                <w:tcPr>
                  <w:tcW w:w="701" w:type="pct"/>
                  <w:vMerge w:val="restart"/>
                  <w:tcBorders>
                    <w:tl2br w:val="nil"/>
                    <w:tr2bl w:val="nil"/>
                  </w:tcBorders>
                  <w:vAlign w:val="center"/>
                </w:tcPr>
                <w:p>
                  <w:pPr>
                    <w:jc w:val="center"/>
                    <w:rPr>
                      <w:color w:val="auto"/>
                      <w:szCs w:val="21"/>
                    </w:rPr>
                  </w:pPr>
                  <w:r>
                    <w:rPr>
                      <w:color w:val="auto"/>
                      <w:szCs w:val="21"/>
                    </w:rPr>
                    <w:t>筒仓全密闭，顶部配套安装</w:t>
                  </w:r>
                  <w:r>
                    <w:rPr>
                      <w:rFonts w:hint="eastAsia"/>
                      <w:color w:val="auto"/>
                      <w:szCs w:val="21"/>
                      <w:lang w:val="en-US" w:eastAsia="zh-CN"/>
                    </w:rPr>
                    <w:t>气相脉冲袋式</w:t>
                  </w:r>
                  <w:r>
                    <w:rPr>
                      <w:color w:val="auto"/>
                      <w:szCs w:val="21"/>
                    </w:rPr>
                    <w:t>除尘器+15m高排气筒排放</w:t>
                  </w:r>
                </w:p>
              </w:tc>
              <w:tc>
                <w:tcPr>
                  <w:tcW w:w="661" w:type="pct"/>
                  <w:tcBorders>
                    <w:tl2br w:val="nil"/>
                    <w:tr2bl w:val="nil"/>
                  </w:tcBorders>
                  <w:vAlign w:val="center"/>
                </w:tcPr>
                <w:p>
                  <w:pPr>
                    <w:jc w:val="center"/>
                    <w:rPr>
                      <w:color w:val="auto"/>
                      <w:szCs w:val="21"/>
                    </w:rPr>
                  </w:pPr>
                  <w:r>
                    <w:rPr>
                      <w:rFonts w:hint="eastAsia"/>
                      <w:color w:val="auto"/>
                      <w:szCs w:val="21"/>
                    </w:rPr>
                    <w:t>99.7</w:t>
                  </w:r>
                </w:p>
              </w:tc>
              <w:tc>
                <w:tcPr>
                  <w:tcW w:w="581" w:type="pct"/>
                  <w:tcBorders>
                    <w:tl2br w:val="nil"/>
                    <w:tr2bl w:val="nil"/>
                  </w:tcBorders>
                  <w:vAlign w:val="center"/>
                </w:tcPr>
                <w:p>
                  <w:pPr>
                    <w:pStyle w:val="38"/>
                    <w:jc w:val="center"/>
                    <w:rPr>
                      <w:color w:val="auto"/>
                    </w:rPr>
                  </w:pPr>
                  <w:r>
                    <w:rPr>
                      <w:color w:val="auto"/>
                    </w:rPr>
                    <w:t>0.042</w:t>
                  </w:r>
                </w:p>
              </w:tc>
              <w:tc>
                <w:tcPr>
                  <w:tcW w:w="694" w:type="pct"/>
                  <w:tcBorders>
                    <w:tl2br w:val="nil"/>
                    <w:tr2bl w:val="nil"/>
                  </w:tcBorders>
                  <w:vAlign w:val="center"/>
                </w:tcPr>
                <w:p>
                  <w:pPr>
                    <w:pStyle w:val="38"/>
                    <w:jc w:val="center"/>
                    <w:rPr>
                      <w:color w:val="auto"/>
                    </w:rPr>
                  </w:pPr>
                  <w:r>
                    <w:rPr>
                      <w:color w:val="auto"/>
                    </w:rPr>
                    <w:t>13.64</w:t>
                  </w:r>
                </w:p>
              </w:tc>
              <w:tc>
                <w:tcPr>
                  <w:tcW w:w="661" w:type="pct"/>
                  <w:tcBorders>
                    <w:tl2br w:val="nil"/>
                    <w:tr2bl w:val="nil"/>
                  </w:tcBorders>
                  <w:vAlign w:val="center"/>
                </w:tcPr>
                <w:p>
                  <w:pPr>
                    <w:pStyle w:val="38"/>
                    <w:jc w:val="center"/>
                    <w:rPr>
                      <w:color w:val="auto"/>
                    </w:rPr>
                  </w:pPr>
                  <w:r>
                    <w:rPr>
                      <w:color w:val="auto"/>
                    </w:rPr>
                    <w:t>0.020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4" w:type="pct"/>
                  <w:vMerge w:val="continue"/>
                  <w:tcBorders>
                    <w:tl2br w:val="nil"/>
                    <w:tr2bl w:val="nil"/>
                  </w:tcBorders>
                  <w:vAlign w:val="center"/>
                </w:tcPr>
                <w:p>
                  <w:pPr>
                    <w:jc w:val="center"/>
                    <w:rPr>
                      <w:color w:val="auto"/>
                      <w:szCs w:val="21"/>
                    </w:rPr>
                  </w:pPr>
                </w:p>
              </w:tc>
              <w:tc>
                <w:tcPr>
                  <w:tcW w:w="680" w:type="pct"/>
                  <w:tcBorders>
                    <w:tl2br w:val="nil"/>
                    <w:tr2bl w:val="nil"/>
                  </w:tcBorders>
                  <w:vAlign w:val="center"/>
                </w:tcPr>
                <w:p>
                  <w:pPr>
                    <w:jc w:val="center"/>
                    <w:rPr>
                      <w:color w:val="auto"/>
                      <w:szCs w:val="21"/>
                    </w:rPr>
                  </w:pPr>
                  <w:r>
                    <w:rPr>
                      <w:rFonts w:hint="eastAsia"/>
                      <w:color w:val="auto"/>
                      <w:szCs w:val="21"/>
                    </w:rPr>
                    <w:t>粉煤灰筒仓DA002</w:t>
                  </w:r>
                </w:p>
              </w:tc>
              <w:tc>
                <w:tcPr>
                  <w:tcW w:w="252" w:type="pct"/>
                  <w:vMerge w:val="continue"/>
                  <w:tcBorders>
                    <w:tl2br w:val="nil"/>
                    <w:tr2bl w:val="nil"/>
                  </w:tcBorders>
                  <w:vAlign w:val="center"/>
                </w:tcPr>
                <w:p>
                  <w:pPr>
                    <w:jc w:val="center"/>
                    <w:rPr>
                      <w:color w:val="auto"/>
                      <w:szCs w:val="21"/>
                    </w:rPr>
                  </w:pPr>
                </w:p>
              </w:tc>
              <w:tc>
                <w:tcPr>
                  <w:tcW w:w="500" w:type="pct"/>
                  <w:tcBorders>
                    <w:tl2br w:val="nil"/>
                    <w:tr2bl w:val="nil"/>
                  </w:tcBorders>
                  <w:vAlign w:val="center"/>
                </w:tcPr>
                <w:p>
                  <w:pPr>
                    <w:pStyle w:val="38"/>
                    <w:jc w:val="center"/>
                    <w:rPr>
                      <w:color w:val="auto"/>
                    </w:rPr>
                  </w:pPr>
                  <w:r>
                    <w:rPr>
                      <w:color w:val="auto"/>
                    </w:rPr>
                    <w:t>4.98</w:t>
                  </w:r>
                </w:p>
              </w:tc>
              <w:tc>
                <w:tcPr>
                  <w:tcW w:w="701" w:type="pct"/>
                  <w:vMerge w:val="continue"/>
                  <w:tcBorders>
                    <w:tl2br w:val="nil"/>
                    <w:tr2bl w:val="nil"/>
                  </w:tcBorders>
                  <w:vAlign w:val="center"/>
                </w:tcPr>
                <w:p>
                  <w:pPr>
                    <w:jc w:val="center"/>
                    <w:rPr>
                      <w:color w:val="auto"/>
                      <w:szCs w:val="21"/>
                    </w:rPr>
                  </w:pPr>
                </w:p>
              </w:tc>
              <w:tc>
                <w:tcPr>
                  <w:tcW w:w="661" w:type="pct"/>
                  <w:tcBorders>
                    <w:tl2br w:val="nil"/>
                    <w:tr2bl w:val="nil"/>
                  </w:tcBorders>
                  <w:vAlign w:val="center"/>
                </w:tcPr>
                <w:p>
                  <w:pPr>
                    <w:jc w:val="center"/>
                    <w:rPr>
                      <w:color w:val="auto"/>
                      <w:szCs w:val="21"/>
                    </w:rPr>
                  </w:pPr>
                  <w:r>
                    <w:rPr>
                      <w:rFonts w:hint="eastAsia"/>
                      <w:color w:val="auto"/>
                      <w:szCs w:val="21"/>
                    </w:rPr>
                    <w:t>99.7</w:t>
                  </w:r>
                </w:p>
              </w:tc>
              <w:tc>
                <w:tcPr>
                  <w:tcW w:w="581" w:type="pct"/>
                  <w:tcBorders>
                    <w:tl2br w:val="nil"/>
                    <w:tr2bl w:val="nil"/>
                  </w:tcBorders>
                  <w:vAlign w:val="center"/>
                </w:tcPr>
                <w:p>
                  <w:pPr>
                    <w:pStyle w:val="38"/>
                    <w:jc w:val="center"/>
                    <w:rPr>
                      <w:color w:val="auto"/>
                    </w:rPr>
                  </w:pPr>
                  <w:r>
                    <w:rPr>
                      <w:color w:val="auto"/>
                    </w:rPr>
                    <w:t>0.015</w:t>
                  </w:r>
                </w:p>
              </w:tc>
              <w:tc>
                <w:tcPr>
                  <w:tcW w:w="694" w:type="pct"/>
                  <w:tcBorders>
                    <w:tl2br w:val="nil"/>
                    <w:tr2bl w:val="nil"/>
                  </w:tcBorders>
                  <w:vAlign w:val="center"/>
                </w:tcPr>
                <w:p>
                  <w:pPr>
                    <w:pStyle w:val="38"/>
                    <w:jc w:val="center"/>
                    <w:rPr>
                      <w:color w:val="auto"/>
                    </w:rPr>
                  </w:pPr>
                  <w:r>
                    <w:rPr>
                      <w:color w:val="auto"/>
                    </w:rPr>
                    <w:t>13.63</w:t>
                  </w:r>
                </w:p>
              </w:tc>
              <w:tc>
                <w:tcPr>
                  <w:tcW w:w="661" w:type="pct"/>
                  <w:tcBorders>
                    <w:tl2br w:val="nil"/>
                    <w:tr2bl w:val="nil"/>
                  </w:tcBorders>
                  <w:vAlign w:val="center"/>
                </w:tcPr>
                <w:p>
                  <w:pPr>
                    <w:pStyle w:val="38"/>
                    <w:jc w:val="center"/>
                    <w:rPr>
                      <w:color w:val="auto"/>
                    </w:rPr>
                  </w:pPr>
                  <w:r>
                    <w:rPr>
                      <w:color w:val="auto"/>
                    </w:rPr>
                    <w:t>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4" w:type="pct"/>
                  <w:vMerge w:val="continue"/>
                  <w:tcBorders>
                    <w:tl2br w:val="nil"/>
                    <w:tr2bl w:val="nil"/>
                  </w:tcBorders>
                  <w:vAlign w:val="center"/>
                </w:tcPr>
                <w:p>
                  <w:pPr>
                    <w:jc w:val="center"/>
                    <w:rPr>
                      <w:color w:val="auto"/>
                      <w:szCs w:val="21"/>
                    </w:rPr>
                  </w:pPr>
                </w:p>
              </w:tc>
              <w:tc>
                <w:tcPr>
                  <w:tcW w:w="680" w:type="pct"/>
                  <w:tcBorders>
                    <w:tl2br w:val="nil"/>
                    <w:tr2bl w:val="nil"/>
                  </w:tcBorders>
                  <w:vAlign w:val="center"/>
                </w:tcPr>
                <w:p>
                  <w:pPr>
                    <w:jc w:val="center"/>
                    <w:rPr>
                      <w:color w:val="auto"/>
                      <w:szCs w:val="21"/>
                    </w:rPr>
                  </w:pPr>
                  <w:r>
                    <w:rPr>
                      <w:rFonts w:hint="eastAsia"/>
                      <w:color w:val="auto"/>
                      <w:szCs w:val="21"/>
                    </w:rPr>
                    <w:t>矿粉筒仓DA003</w:t>
                  </w:r>
                </w:p>
              </w:tc>
              <w:tc>
                <w:tcPr>
                  <w:tcW w:w="252" w:type="pct"/>
                  <w:vMerge w:val="continue"/>
                  <w:tcBorders>
                    <w:tl2br w:val="nil"/>
                    <w:tr2bl w:val="nil"/>
                  </w:tcBorders>
                  <w:vAlign w:val="center"/>
                </w:tcPr>
                <w:p>
                  <w:pPr>
                    <w:jc w:val="center"/>
                    <w:rPr>
                      <w:color w:val="auto"/>
                      <w:szCs w:val="21"/>
                    </w:rPr>
                  </w:pPr>
                </w:p>
              </w:tc>
              <w:tc>
                <w:tcPr>
                  <w:tcW w:w="500" w:type="pct"/>
                  <w:tcBorders>
                    <w:tl2br w:val="nil"/>
                    <w:tr2bl w:val="nil"/>
                  </w:tcBorders>
                  <w:vAlign w:val="center"/>
                </w:tcPr>
                <w:p>
                  <w:pPr>
                    <w:pStyle w:val="38"/>
                    <w:jc w:val="center"/>
                    <w:rPr>
                      <w:color w:val="auto"/>
                    </w:rPr>
                  </w:pPr>
                  <w:r>
                    <w:rPr>
                      <w:color w:val="auto"/>
                    </w:rPr>
                    <w:t>1.57</w:t>
                  </w:r>
                </w:p>
              </w:tc>
              <w:tc>
                <w:tcPr>
                  <w:tcW w:w="701" w:type="pct"/>
                  <w:vMerge w:val="continue"/>
                  <w:tcBorders>
                    <w:tl2br w:val="nil"/>
                    <w:tr2bl w:val="nil"/>
                  </w:tcBorders>
                  <w:vAlign w:val="center"/>
                </w:tcPr>
                <w:p>
                  <w:pPr>
                    <w:jc w:val="center"/>
                    <w:rPr>
                      <w:color w:val="auto"/>
                      <w:szCs w:val="21"/>
                    </w:rPr>
                  </w:pPr>
                </w:p>
              </w:tc>
              <w:tc>
                <w:tcPr>
                  <w:tcW w:w="661" w:type="pct"/>
                  <w:tcBorders>
                    <w:tl2br w:val="nil"/>
                    <w:tr2bl w:val="nil"/>
                  </w:tcBorders>
                  <w:vAlign w:val="center"/>
                </w:tcPr>
                <w:p>
                  <w:pPr>
                    <w:jc w:val="center"/>
                    <w:rPr>
                      <w:color w:val="auto"/>
                      <w:szCs w:val="21"/>
                    </w:rPr>
                  </w:pPr>
                  <w:r>
                    <w:rPr>
                      <w:rFonts w:hint="eastAsia"/>
                      <w:color w:val="auto"/>
                      <w:szCs w:val="21"/>
                    </w:rPr>
                    <w:t>99.7</w:t>
                  </w:r>
                </w:p>
              </w:tc>
              <w:tc>
                <w:tcPr>
                  <w:tcW w:w="581" w:type="pct"/>
                  <w:tcBorders>
                    <w:tl2br w:val="nil"/>
                    <w:tr2bl w:val="nil"/>
                  </w:tcBorders>
                  <w:vAlign w:val="center"/>
                </w:tcPr>
                <w:p>
                  <w:pPr>
                    <w:pStyle w:val="38"/>
                    <w:jc w:val="center"/>
                    <w:rPr>
                      <w:color w:val="auto"/>
                    </w:rPr>
                  </w:pPr>
                  <w:r>
                    <w:rPr>
                      <w:color w:val="auto"/>
                    </w:rPr>
                    <w:t>0.005</w:t>
                  </w:r>
                </w:p>
              </w:tc>
              <w:tc>
                <w:tcPr>
                  <w:tcW w:w="694" w:type="pct"/>
                  <w:tcBorders>
                    <w:tl2br w:val="nil"/>
                    <w:tr2bl w:val="nil"/>
                  </w:tcBorders>
                  <w:vAlign w:val="center"/>
                </w:tcPr>
                <w:p>
                  <w:pPr>
                    <w:pStyle w:val="38"/>
                    <w:jc w:val="center"/>
                    <w:rPr>
                      <w:color w:val="auto"/>
                    </w:rPr>
                  </w:pPr>
                  <w:r>
                    <w:rPr>
                      <w:color w:val="auto"/>
                    </w:rPr>
                    <w:t>13.61</w:t>
                  </w:r>
                </w:p>
              </w:tc>
              <w:tc>
                <w:tcPr>
                  <w:tcW w:w="661" w:type="pct"/>
                  <w:tcBorders>
                    <w:tl2br w:val="nil"/>
                    <w:tr2bl w:val="nil"/>
                  </w:tcBorders>
                  <w:vAlign w:val="center"/>
                </w:tcPr>
                <w:p>
                  <w:pPr>
                    <w:pStyle w:val="38"/>
                    <w:jc w:val="center"/>
                    <w:rPr>
                      <w:color w:val="auto"/>
                    </w:rPr>
                  </w:pPr>
                  <w:r>
                    <w:rPr>
                      <w:color w:val="auto"/>
                    </w:rPr>
                    <w:t>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64" w:type="pct"/>
                  <w:vMerge w:val="restart"/>
                  <w:tcBorders>
                    <w:tl2br w:val="nil"/>
                    <w:tr2bl w:val="nil"/>
                  </w:tcBorders>
                  <w:vAlign w:val="center"/>
                </w:tcPr>
                <w:p>
                  <w:pPr>
                    <w:jc w:val="center"/>
                    <w:rPr>
                      <w:color w:val="auto"/>
                      <w:szCs w:val="21"/>
                    </w:rPr>
                  </w:pPr>
                  <w:r>
                    <w:rPr>
                      <w:rFonts w:hint="eastAsia"/>
                      <w:color w:val="auto"/>
                      <w:szCs w:val="21"/>
                    </w:rPr>
                    <w:t>混凝土生产线2#</w:t>
                  </w:r>
                </w:p>
              </w:tc>
              <w:tc>
                <w:tcPr>
                  <w:tcW w:w="680" w:type="pct"/>
                  <w:tcBorders>
                    <w:tl2br w:val="nil"/>
                    <w:tr2bl w:val="nil"/>
                  </w:tcBorders>
                  <w:vAlign w:val="center"/>
                </w:tcPr>
                <w:p>
                  <w:pPr>
                    <w:jc w:val="center"/>
                    <w:rPr>
                      <w:color w:val="auto"/>
                      <w:szCs w:val="21"/>
                    </w:rPr>
                  </w:pPr>
                  <w:r>
                    <w:rPr>
                      <w:rFonts w:hint="eastAsia"/>
                      <w:color w:val="auto"/>
                      <w:szCs w:val="21"/>
                    </w:rPr>
                    <w:t>水泥筒仓DA004</w:t>
                  </w:r>
                </w:p>
              </w:tc>
              <w:tc>
                <w:tcPr>
                  <w:tcW w:w="252" w:type="pct"/>
                  <w:vMerge w:val="restart"/>
                  <w:tcBorders>
                    <w:tl2br w:val="nil"/>
                    <w:tr2bl w:val="nil"/>
                  </w:tcBorders>
                  <w:vAlign w:val="center"/>
                </w:tcPr>
                <w:p>
                  <w:pPr>
                    <w:jc w:val="center"/>
                    <w:rPr>
                      <w:color w:val="auto"/>
                      <w:szCs w:val="21"/>
                    </w:rPr>
                  </w:pPr>
                  <w:r>
                    <w:rPr>
                      <w:color w:val="auto"/>
                      <w:szCs w:val="21"/>
                    </w:rPr>
                    <w:t>颗粒物</w:t>
                  </w:r>
                </w:p>
              </w:tc>
              <w:tc>
                <w:tcPr>
                  <w:tcW w:w="500" w:type="pct"/>
                  <w:tcBorders>
                    <w:tl2br w:val="nil"/>
                    <w:tr2bl w:val="nil"/>
                  </w:tcBorders>
                  <w:vAlign w:val="center"/>
                </w:tcPr>
                <w:p>
                  <w:pPr>
                    <w:pStyle w:val="38"/>
                    <w:jc w:val="center"/>
                    <w:rPr>
                      <w:color w:val="auto"/>
                    </w:rPr>
                  </w:pPr>
                  <w:r>
                    <w:rPr>
                      <w:color w:val="auto"/>
                    </w:rPr>
                    <w:t>14.16</w:t>
                  </w:r>
                </w:p>
              </w:tc>
              <w:tc>
                <w:tcPr>
                  <w:tcW w:w="701" w:type="pct"/>
                  <w:vMerge w:val="continue"/>
                  <w:tcBorders>
                    <w:tl2br w:val="nil"/>
                    <w:tr2bl w:val="nil"/>
                  </w:tcBorders>
                  <w:vAlign w:val="center"/>
                </w:tcPr>
                <w:p>
                  <w:pPr>
                    <w:jc w:val="center"/>
                    <w:rPr>
                      <w:color w:val="auto"/>
                      <w:szCs w:val="21"/>
                    </w:rPr>
                  </w:pPr>
                </w:p>
              </w:tc>
              <w:tc>
                <w:tcPr>
                  <w:tcW w:w="661" w:type="pct"/>
                  <w:tcBorders>
                    <w:tl2br w:val="nil"/>
                    <w:tr2bl w:val="nil"/>
                  </w:tcBorders>
                  <w:vAlign w:val="center"/>
                </w:tcPr>
                <w:p>
                  <w:pPr>
                    <w:jc w:val="center"/>
                    <w:rPr>
                      <w:color w:val="auto"/>
                      <w:szCs w:val="21"/>
                    </w:rPr>
                  </w:pPr>
                  <w:r>
                    <w:rPr>
                      <w:rFonts w:hint="eastAsia"/>
                      <w:color w:val="auto"/>
                      <w:szCs w:val="21"/>
                    </w:rPr>
                    <w:t>99.7</w:t>
                  </w:r>
                </w:p>
              </w:tc>
              <w:tc>
                <w:tcPr>
                  <w:tcW w:w="581" w:type="pct"/>
                  <w:tcBorders>
                    <w:tl2br w:val="nil"/>
                    <w:tr2bl w:val="nil"/>
                  </w:tcBorders>
                  <w:vAlign w:val="center"/>
                </w:tcPr>
                <w:p>
                  <w:pPr>
                    <w:pStyle w:val="38"/>
                    <w:jc w:val="center"/>
                    <w:rPr>
                      <w:color w:val="auto"/>
                    </w:rPr>
                  </w:pPr>
                  <w:r>
                    <w:rPr>
                      <w:color w:val="auto"/>
                    </w:rPr>
                    <w:t>0.042</w:t>
                  </w:r>
                </w:p>
              </w:tc>
              <w:tc>
                <w:tcPr>
                  <w:tcW w:w="694" w:type="pct"/>
                  <w:tcBorders>
                    <w:tl2br w:val="nil"/>
                    <w:tr2bl w:val="nil"/>
                  </w:tcBorders>
                  <w:vAlign w:val="center"/>
                </w:tcPr>
                <w:p>
                  <w:pPr>
                    <w:pStyle w:val="38"/>
                    <w:jc w:val="center"/>
                    <w:rPr>
                      <w:color w:val="auto"/>
                    </w:rPr>
                  </w:pPr>
                  <w:r>
                    <w:rPr>
                      <w:color w:val="auto"/>
                    </w:rPr>
                    <w:t>13.64</w:t>
                  </w:r>
                </w:p>
              </w:tc>
              <w:tc>
                <w:tcPr>
                  <w:tcW w:w="661" w:type="pct"/>
                  <w:tcBorders>
                    <w:tl2br w:val="nil"/>
                    <w:tr2bl w:val="nil"/>
                  </w:tcBorders>
                  <w:vAlign w:val="center"/>
                </w:tcPr>
                <w:p>
                  <w:pPr>
                    <w:pStyle w:val="38"/>
                    <w:jc w:val="center"/>
                    <w:rPr>
                      <w:color w:val="auto"/>
                    </w:rPr>
                  </w:pPr>
                  <w:r>
                    <w:rPr>
                      <w:color w:val="auto"/>
                    </w:rPr>
                    <w:t>0.020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64" w:type="pct"/>
                  <w:vMerge w:val="continue"/>
                  <w:tcBorders>
                    <w:tl2br w:val="nil"/>
                    <w:tr2bl w:val="nil"/>
                  </w:tcBorders>
                  <w:vAlign w:val="center"/>
                </w:tcPr>
                <w:p>
                  <w:pPr>
                    <w:jc w:val="center"/>
                    <w:rPr>
                      <w:color w:val="auto"/>
                      <w:szCs w:val="21"/>
                    </w:rPr>
                  </w:pPr>
                </w:p>
              </w:tc>
              <w:tc>
                <w:tcPr>
                  <w:tcW w:w="680" w:type="pct"/>
                  <w:tcBorders>
                    <w:tl2br w:val="nil"/>
                    <w:tr2bl w:val="nil"/>
                  </w:tcBorders>
                  <w:vAlign w:val="center"/>
                </w:tcPr>
                <w:p>
                  <w:pPr>
                    <w:jc w:val="center"/>
                    <w:rPr>
                      <w:color w:val="auto"/>
                      <w:szCs w:val="21"/>
                    </w:rPr>
                  </w:pPr>
                  <w:r>
                    <w:rPr>
                      <w:rFonts w:hint="eastAsia"/>
                      <w:color w:val="auto"/>
                      <w:szCs w:val="21"/>
                    </w:rPr>
                    <w:t>粉煤灰筒仓DA005</w:t>
                  </w:r>
                </w:p>
              </w:tc>
              <w:tc>
                <w:tcPr>
                  <w:tcW w:w="252" w:type="pct"/>
                  <w:vMerge w:val="continue"/>
                  <w:tcBorders>
                    <w:tl2br w:val="nil"/>
                    <w:tr2bl w:val="nil"/>
                  </w:tcBorders>
                  <w:vAlign w:val="center"/>
                </w:tcPr>
                <w:p>
                  <w:pPr>
                    <w:jc w:val="center"/>
                    <w:rPr>
                      <w:color w:val="auto"/>
                      <w:szCs w:val="21"/>
                    </w:rPr>
                  </w:pPr>
                </w:p>
              </w:tc>
              <w:tc>
                <w:tcPr>
                  <w:tcW w:w="500" w:type="pct"/>
                  <w:tcBorders>
                    <w:tl2br w:val="nil"/>
                    <w:tr2bl w:val="nil"/>
                  </w:tcBorders>
                  <w:vAlign w:val="center"/>
                </w:tcPr>
                <w:p>
                  <w:pPr>
                    <w:pStyle w:val="38"/>
                    <w:jc w:val="center"/>
                    <w:rPr>
                      <w:color w:val="auto"/>
                    </w:rPr>
                  </w:pPr>
                  <w:r>
                    <w:rPr>
                      <w:color w:val="auto"/>
                    </w:rPr>
                    <w:t>4.98</w:t>
                  </w:r>
                </w:p>
              </w:tc>
              <w:tc>
                <w:tcPr>
                  <w:tcW w:w="701" w:type="pct"/>
                  <w:vMerge w:val="continue"/>
                  <w:tcBorders>
                    <w:tl2br w:val="nil"/>
                    <w:tr2bl w:val="nil"/>
                  </w:tcBorders>
                  <w:vAlign w:val="center"/>
                </w:tcPr>
                <w:p>
                  <w:pPr>
                    <w:jc w:val="center"/>
                    <w:rPr>
                      <w:color w:val="auto"/>
                      <w:szCs w:val="21"/>
                    </w:rPr>
                  </w:pPr>
                </w:p>
              </w:tc>
              <w:tc>
                <w:tcPr>
                  <w:tcW w:w="661" w:type="pct"/>
                  <w:tcBorders>
                    <w:tl2br w:val="nil"/>
                    <w:tr2bl w:val="nil"/>
                  </w:tcBorders>
                  <w:vAlign w:val="center"/>
                </w:tcPr>
                <w:p>
                  <w:pPr>
                    <w:jc w:val="center"/>
                    <w:rPr>
                      <w:color w:val="auto"/>
                      <w:szCs w:val="21"/>
                    </w:rPr>
                  </w:pPr>
                  <w:r>
                    <w:rPr>
                      <w:rFonts w:hint="eastAsia"/>
                      <w:color w:val="auto"/>
                      <w:szCs w:val="21"/>
                    </w:rPr>
                    <w:t>99.7</w:t>
                  </w:r>
                </w:p>
              </w:tc>
              <w:tc>
                <w:tcPr>
                  <w:tcW w:w="581" w:type="pct"/>
                  <w:tcBorders>
                    <w:tl2br w:val="nil"/>
                    <w:tr2bl w:val="nil"/>
                  </w:tcBorders>
                  <w:vAlign w:val="center"/>
                </w:tcPr>
                <w:p>
                  <w:pPr>
                    <w:pStyle w:val="38"/>
                    <w:jc w:val="center"/>
                    <w:rPr>
                      <w:color w:val="auto"/>
                    </w:rPr>
                  </w:pPr>
                  <w:r>
                    <w:rPr>
                      <w:color w:val="auto"/>
                    </w:rPr>
                    <w:t>0.015</w:t>
                  </w:r>
                </w:p>
              </w:tc>
              <w:tc>
                <w:tcPr>
                  <w:tcW w:w="694" w:type="pct"/>
                  <w:tcBorders>
                    <w:tl2br w:val="nil"/>
                    <w:tr2bl w:val="nil"/>
                  </w:tcBorders>
                  <w:vAlign w:val="center"/>
                </w:tcPr>
                <w:p>
                  <w:pPr>
                    <w:pStyle w:val="38"/>
                    <w:jc w:val="center"/>
                    <w:rPr>
                      <w:color w:val="auto"/>
                    </w:rPr>
                  </w:pPr>
                  <w:r>
                    <w:rPr>
                      <w:color w:val="auto"/>
                    </w:rPr>
                    <w:t>13.63</w:t>
                  </w:r>
                </w:p>
              </w:tc>
              <w:tc>
                <w:tcPr>
                  <w:tcW w:w="661" w:type="pct"/>
                  <w:tcBorders>
                    <w:tl2br w:val="nil"/>
                    <w:tr2bl w:val="nil"/>
                  </w:tcBorders>
                  <w:vAlign w:val="center"/>
                </w:tcPr>
                <w:p>
                  <w:pPr>
                    <w:pStyle w:val="38"/>
                    <w:jc w:val="center"/>
                    <w:rPr>
                      <w:color w:val="auto"/>
                    </w:rPr>
                  </w:pPr>
                  <w:r>
                    <w:rPr>
                      <w:color w:val="auto"/>
                    </w:rPr>
                    <w:t>0.007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64" w:type="pct"/>
                  <w:vMerge w:val="continue"/>
                  <w:tcBorders>
                    <w:tl2br w:val="nil"/>
                    <w:tr2bl w:val="nil"/>
                  </w:tcBorders>
                  <w:vAlign w:val="center"/>
                </w:tcPr>
                <w:p>
                  <w:pPr>
                    <w:jc w:val="center"/>
                    <w:rPr>
                      <w:color w:val="auto"/>
                      <w:szCs w:val="21"/>
                    </w:rPr>
                  </w:pPr>
                </w:p>
              </w:tc>
              <w:tc>
                <w:tcPr>
                  <w:tcW w:w="680" w:type="pct"/>
                  <w:tcBorders>
                    <w:tl2br w:val="nil"/>
                    <w:tr2bl w:val="nil"/>
                  </w:tcBorders>
                  <w:vAlign w:val="center"/>
                </w:tcPr>
                <w:p>
                  <w:pPr>
                    <w:jc w:val="center"/>
                    <w:rPr>
                      <w:color w:val="auto"/>
                      <w:szCs w:val="21"/>
                    </w:rPr>
                  </w:pPr>
                  <w:r>
                    <w:rPr>
                      <w:rFonts w:hint="eastAsia"/>
                      <w:color w:val="auto"/>
                      <w:szCs w:val="21"/>
                    </w:rPr>
                    <w:t>矿粉筒仓DA006</w:t>
                  </w:r>
                </w:p>
              </w:tc>
              <w:tc>
                <w:tcPr>
                  <w:tcW w:w="252" w:type="pct"/>
                  <w:vMerge w:val="continue"/>
                  <w:tcBorders>
                    <w:tl2br w:val="nil"/>
                    <w:tr2bl w:val="nil"/>
                  </w:tcBorders>
                  <w:vAlign w:val="center"/>
                </w:tcPr>
                <w:p>
                  <w:pPr>
                    <w:jc w:val="center"/>
                    <w:rPr>
                      <w:color w:val="auto"/>
                      <w:szCs w:val="21"/>
                    </w:rPr>
                  </w:pPr>
                </w:p>
              </w:tc>
              <w:tc>
                <w:tcPr>
                  <w:tcW w:w="500" w:type="pct"/>
                  <w:tcBorders>
                    <w:tl2br w:val="nil"/>
                    <w:tr2bl w:val="nil"/>
                  </w:tcBorders>
                  <w:vAlign w:val="center"/>
                </w:tcPr>
                <w:p>
                  <w:pPr>
                    <w:pStyle w:val="38"/>
                    <w:jc w:val="center"/>
                    <w:rPr>
                      <w:color w:val="auto"/>
                    </w:rPr>
                  </w:pPr>
                  <w:r>
                    <w:rPr>
                      <w:color w:val="auto"/>
                    </w:rPr>
                    <w:t>1.57</w:t>
                  </w:r>
                </w:p>
              </w:tc>
              <w:tc>
                <w:tcPr>
                  <w:tcW w:w="701" w:type="pct"/>
                  <w:vMerge w:val="continue"/>
                  <w:tcBorders>
                    <w:tl2br w:val="nil"/>
                    <w:tr2bl w:val="nil"/>
                  </w:tcBorders>
                  <w:vAlign w:val="center"/>
                </w:tcPr>
                <w:p>
                  <w:pPr>
                    <w:jc w:val="center"/>
                    <w:rPr>
                      <w:color w:val="auto"/>
                      <w:szCs w:val="21"/>
                    </w:rPr>
                  </w:pPr>
                </w:p>
              </w:tc>
              <w:tc>
                <w:tcPr>
                  <w:tcW w:w="661" w:type="pct"/>
                  <w:tcBorders>
                    <w:tl2br w:val="nil"/>
                    <w:tr2bl w:val="nil"/>
                  </w:tcBorders>
                  <w:vAlign w:val="center"/>
                </w:tcPr>
                <w:p>
                  <w:pPr>
                    <w:jc w:val="center"/>
                    <w:rPr>
                      <w:color w:val="auto"/>
                      <w:szCs w:val="21"/>
                    </w:rPr>
                  </w:pPr>
                  <w:r>
                    <w:rPr>
                      <w:rFonts w:hint="eastAsia"/>
                      <w:color w:val="auto"/>
                      <w:szCs w:val="21"/>
                    </w:rPr>
                    <w:t>99.7</w:t>
                  </w:r>
                </w:p>
              </w:tc>
              <w:tc>
                <w:tcPr>
                  <w:tcW w:w="581" w:type="pct"/>
                  <w:tcBorders>
                    <w:tl2br w:val="nil"/>
                    <w:tr2bl w:val="nil"/>
                  </w:tcBorders>
                  <w:vAlign w:val="center"/>
                </w:tcPr>
                <w:p>
                  <w:pPr>
                    <w:pStyle w:val="38"/>
                    <w:jc w:val="center"/>
                    <w:rPr>
                      <w:color w:val="auto"/>
                    </w:rPr>
                  </w:pPr>
                  <w:r>
                    <w:rPr>
                      <w:color w:val="auto"/>
                    </w:rPr>
                    <w:t>0.005</w:t>
                  </w:r>
                </w:p>
              </w:tc>
              <w:tc>
                <w:tcPr>
                  <w:tcW w:w="694" w:type="pct"/>
                  <w:tcBorders>
                    <w:tl2br w:val="nil"/>
                    <w:tr2bl w:val="nil"/>
                  </w:tcBorders>
                  <w:vAlign w:val="center"/>
                </w:tcPr>
                <w:p>
                  <w:pPr>
                    <w:pStyle w:val="38"/>
                    <w:jc w:val="center"/>
                    <w:rPr>
                      <w:color w:val="auto"/>
                    </w:rPr>
                  </w:pPr>
                  <w:r>
                    <w:rPr>
                      <w:color w:val="auto"/>
                    </w:rPr>
                    <w:t>13.61</w:t>
                  </w:r>
                </w:p>
              </w:tc>
              <w:tc>
                <w:tcPr>
                  <w:tcW w:w="661" w:type="pct"/>
                  <w:tcBorders>
                    <w:tl2br w:val="nil"/>
                    <w:tr2bl w:val="nil"/>
                  </w:tcBorders>
                  <w:vAlign w:val="center"/>
                </w:tcPr>
                <w:p>
                  <w:pPr>
                    <w:pStyle w:val="38"/>
                    <w:jc w:val="center"/>
                    <w:rPr>
                      <w:color w:val="auto"/>
                    </w:rPr>
                  </w:pPr>
                  <w:r>
                    <w:rPr>
                      <w:color w:val="auto"/>
                    </w:rPr>
                    <w:t>0.002</w:t>
                  </w:r>
                </w:p>
              </w:tc>
            </w:tr>
          </w:tbl>
          <w:p>
            <w:pPr>
              <w:spacing w:line="520" w:lineRule="exact"/>
              <w:ind w:firstLine="480" w:firstLineChars="200"/>
              <w:rPr>
                <w:color w:val="auto"/>
                <w:sz w:val="24"/>
                <w:szCs w:val="32"/>
              </w:rPr>
            </w:pPr>
            <w:r>
              <w:rPr>
                <w:color w:val="auto"/>
                <w:sz w:val="24"/>
                <w:szCs w:val="32"/>
              </w:rPr>
              <w:t>（2）搅拌粉尘</w:t>
            </w:r>
          </w:p>
          <w:p>
            <w:pPr>
              <w:spacing w:line="520" w:lineRule="exact"/>
              <w:ind w:firstLine="480" w:firstLineChars="200"/>
              <w:rPr>
                <w:color w:val="auto"/>
                <w:sz w:val="24"/>
                <w:szCs w:val="32"/>
              </w:rPr>
            </w:pPr>
            <w:r>
              <w:rPr>
                <w:color w:val="auto"/>
                <w:sz w:val="24"/>
              </w:rPr>
              <w:t>混凝土生产线</w:t>
            </w:r>
            <w:r>
              <w:rPr>
                <w:color w:val="auto"/>
                <w:sz w:val="24"/>
                <w:szCs w:val="32"/>
              </w:rPr>
              <w:t>水泥、粉煤灰、矿粉、石料、</w:t>
            </w:r>
            <w:r>
              <w:rPr>
                <w:rFonts w:hint="eastAsia"/>
                <w:color w:val="auto"/>
                <w:sz w:val="24"/>
                <w:szCs w:val="32"/>
              </w:rPr>
              <w:t>水洗砂</w:t>
            </w:r>
            <w:r>
              <w:rPr>
                <w:color w:val="auto"/>
                <w:sz w:val="24"/>
                <w:szCs w:val="32"/>
              </w:rPr>
              <w:t>以及添加剂按一定比例混合后进入搅拌站搅拌，混合主机为连续运行，即进料和出料始终是连续性的。当原料由管道通过计量泵进入搅拌主机时，混合机的呼吸孔会有粉尘产生。</w:t>
            </w:r>
          </w:p>
          <w:p>
            <w:pPr>
              <w:spacing w:line="520" w:lineRule="exact"/>
              <w:ind w:firstLine="480" w:firstLineChars="200"/>
              <w:rPr>
                <w:color w:val="auto"/>
                <w:sz w:val="24"/>
                <w:szCs w:val="32"/>
              </w:rPr>
            </w:pPr>
            <w:r>
              <w:rPr>
                <w:rFonts w:hint="eastAsia"/>
                <w:color w:val="auto"/>
                <w:sz w:val="24"/>
                <w:szCs w:val="32"/>
              </w:rPr>
              <w:t>依据《排放源统计调查产排污核算方法和系数手册》中“3021水泥制品制造（含3022砼结构构件制造、</w:t>
            </w:r>
            <w:r>
              <w:rPr>
                <w:color w:val="auto"/>
                <w:sz w:val="24"/>
                <w:szCs w:val="32"/>
              </w:rPr>
              <w:t>3029</w:t>
            </w:r>
            <w:r>
              <w:rPr>
                <w:rFonts w:hint="eastAsia"/>
                <w:color w:val="auto"/>
                <w:sz w:val="24"/>
                <w:szCs w:val="32"/>
              </w:rPr>
              <w:t>其他水泥类似制品制造）行业系数手册”中物料混合搅拌工段产污系数（颗粒物：0.13kg/t-产品）。</w:t>
            </w:r>
          </w:p>
          <w:p>
            <w:pPr>
              <w:spacing w:line="520" w:lineRule="exact"/>
              <w:ind w:firstLine="480" w:firstLineChars="200"/>
              <w:rPr>
                <w:color w:val="auto"/>
                <w:sz w:val="24"/>
                <w:szCs w:val="32"/>
              </w:rPr>
            </w:pPr>
            <w:r>
              <w:rPr>
                <w:rFonts w:hint="eastAsia"/>
                <w:color w:val="auto"/>
                <w:sz w:val="24"/>
                <w:szCs w:val="32"/>
              </w:rPr>
              <w:t>本项目混凝土生产线搅拌工序</w:t>
            </w:r>
            <w:r>
              <w:rPr>
                <w:color w:val="auto"/>
                <w:sz w:val="24"/>
                <w:szCs w:val="32"/>
              </w:rPr>
              <w:t>均在全封闭搅拌楼内</w:t>
            </w:r>
            <w:r>
              <w:rPr>
                <w:rFonts w:hint="eastAsia"/>
                <w:color w:val="auto"/>
                <w:sz w:val="24"/>
                <w:szCs w:val="32"/>
              </w:rPr>
              <w:t>，</w:t>
            </w:r>
            <w:r>
              <w:rPr>
                <w:rFonts w:hint="eastAsia"/>
                <w:color w:val="auto"/>
                <w:sz w:val="24"/>
              </w:rPr>
              <w:t>收集</w:t>
            </w:r>
            <w:r>
              <w:rPr>
                <w:color w:val="auto"/>
                <w:sz w:val="24"/>
              </w:rPr>
              <w:t>效率按99%计</w:t>
            </w:r>
            <w:r>
              <w:rPr>
                <w:rFonts w:hint="eastAsia"/>
                <w:color w:val="auto"/>
                <w:sz w:val="24"/>
              </w:rPr>
              <w:t>，</w:t>
            </w:r>
            <w:r>
              <w:rPr>
                <w:rFonts w:hint="eastAsia"/>
                <w:color w:val="auto"/>
                <w:sz w:val="24"/>
                <w:szCs w:val="32"/>
              </w:rPr>
              <w:t>搅拌粉尘经自带的滤芯式除尘器处理</w:t>
            </w:r>
            <w:r>
              <w:rPr>
                <w:color w:val="auto"/>
                <w:sz w:val="24"/>
                <w:szCs w:val="32"/>
              </w:rPr>
              <w:t>后</w:t>
            </w:r>
            <w:r>
              <w:rPr>
                <w:rFonts w:hint="eastAsia"/>
                <w:color w:val="auto"/>
                <w:sz w:val="24"/>
                <w:szCs w:val="32"/>
              </w:rPr>
              <w:t>全部回用于生产</w:t>
            </w:r>
            <w:r>
              <w:rPr>
                <w:color w:val="auto"/>
                <w:sz w:val="24"/>
                <w:szCs w:val="32"/>
              </w:rPr>
              <w:t>。</w:t>
            </w:r>
          </w:p>
          <w:p>
            <w:pPr>
              <w:spacing w:line="520" w:lineRule="exact"/>
              <w:ind w:firstLine="480" w:firstLineChars="200"/>
              <w:rPr>
                <w:color w:val="auto"/>
                <w:sz w:val="24"/>
              </w:rPr>
            </w:pPr>
            <w:r>
              <w:rPr>
                <w:color w:val="auto"/>
                <w:sz w:val="24"/>
                <w:szCs w:val="32"/>
              </w:rPr>
              <w:t>根据业主提供资料可知，</w:t>
            </w:r>
            <w:r>
              <w:rPr>
                <w:rFonts w:hint="eastAsia"/>
                <w:color w:val="auto"/>
                <w:sz w:val="24"/>
                <w:szCs w:val="32"/>
              </w:rPr>
              <w:t>本项目年产混凝土60万m</w:t>
            </w:r>
            <w:r>
              <w:rPr>
                <w:rFonts w:hint="eastAsia"/>
                <w:color w:val="auto"/>
                <w:sz w:val="24"/>
                <w:szCs w:val="32"/>
                <w:vertAlign w:val="superscript"/>
              </w:rPr>
              <w:t>3</w:t>
            </w:r>
            <w:r>
              <w:rPr>
                <w:rFonts w:hint="eastAsia"/>
                <w:color w:val="auto"/>
                <w:sz w:val="24"/>
                <w:szCs w:val="32"/>
              </w:rPr>
              <w:t>（约138万吨）</w:t>
            </w:r>
            <w:r>
              <w:rPr>
                <w:color w:val="auto"/>
                <w:sz w:val="24"/>
                <w:szCs w:val="32"/>
              </w:rPr>
              <w:t>。</w:t>
            </w:r>
            <w:r>
              <w:rPr>
                <w:color w:val="auto"/>
                <w:sz w:val="24"/>
              </w:rPr>
              <w:t>则搅拌</w:t>
            </w:r>
            <w:r>
              <w:rPr>
                <w:rFonts w:hint="eastAsia"/>
                <w:color w:val="auto"/>
                <w:sz w:val="24"/>
              </w:rPr>
              <w:t>过程</w:t>
            </w:r>
            <w:r>
              <w:rPr>
                <w:color w:val="auto"/>
                <w:sz w:val="24"/>
              </w:rPr>
              <w:t>颗粒物排放量为</w:t>
            </w:r>
            <w:r>
              <w:rPr>
                <w:rFonts w:hint="eastAsia"/>
                <w:color w:val="auto"/>
                <w:sz w:val="24"/>
                <w:lang w:val="en-US" w:eastAsia="zh-CN"/>
              </w:rPr>
              <w:t>1.794</w:t>
            </w:r>
            <w:r>
              <w:rPr>
                <w:color w:val="auto"/>
                <w:sz w:val="24"/>
              </w:rPr>
              <w:t>t/a，</w:t>
            </w:r>
            <w:r>
              <w:rPr>
                <w:rFonts w:hint="eastAsia"/>
                <w:color w:val="auto"/>
                <w:sz w:val="24"/>
              </w:rPr>
              <w:t>在搅拌楼内自然沉降（去除效率按90%计），则搅拌楼无组织排放量为0.179</w:t>
            </w:r>
            <w:r>
              <w:rPr>
                <w:color w:val="auto"/>
                <w:sz w:val="24"/>
              </w:rPr>
              <w:t>t/a</w:t>
            </w:r>
            <w:r>
              <w:rPr>
                <w:rFonts w:hint="eastAsia"/>
                <w:color w:val="auto"/>
                <w:sz w:val="24"/>
              </w:rPr>
              <w:t>。</w:t>
            </w:r>
          </w:p>
          <w:p>
            <w:pPr>
              <w:spacing w:line="520" w:lineRule="exact"/>
              <w:ind w:firstLine="480" w:firstLineChars="200"/>
              <w:rPr>
                <w:color w:val="auto"/>
                <w:sz w:val="24"/>
                <w:szCs w:val="32"/>
              </w:rPr>
            </w:pPr>
            <w:r>
              <w:rPr>
                <w:rFonts w:hint="eastAsia"/>
                <w:color w:val="auto"/>
                <w:sz w:val="24"/>
                <w:szCs w:val="32"/>
              </w:rPr>
              <w:t>（3）</w:t>
            </w:r>
            <w:r>
              <w:rPr>
                <w:color w:val="auto"/>
                <w:sz w:val="24"/>
                <w:szCs w:val="32"/>
              </w:rPr>
              <w:t>石子、</w:t>
            </w:r>
            <w:r>
              <w:rPr>
                <w:rFonts w:hint="eastAsia"/>
                <w:color w:val="auto"/>
                <w:sz w:val="24"/>
                <w:szCs w:val="32"/>
              </w:rPr>
              <w:t>水洗砂</w:t>
            </w:r>
            <w:r>
              <w:rPr>
                <w:color w:val="auto"/>
                <w:sz w:val="24"/>
                <w:szCs w:val="32"/>
              </w:rPr>
              <w:t>等骨料输送过程产生粉尘</w:t>
            </w:r>
          </w:p>
          <w:p>
            <w:pPr>
              <w:spacing w:line="520" w:lineRule="exact"/>
              <w:ind w:firstLine="480" w:firstLineChars="200"/>
              <w:rPr>
                <w:color w:val="auto"/>
                <w:sz w:val="24"/>
                <w:szCs w:val="32"/>
              </w:rPr>
            </w:pPr>
            <w:r>
              <w:rPr>
                <w:color w:val="auto"/>
                <w:sz w:val="24"/>
                <w:szCs w:val="32"/>
              </w:rPr>
              <w:t>石子、</w:t>
            </w:r>
            <w:r>
              <w:rPr>
                <w:rFonts w:hint="eastAsia"/>
                <w:color w:val="auto"/>
                <w:sz w:val="24"/>
                <w:szCs w:val="32"/>
              </w:rPr>
              <w:t>水洗砂</w:t>
            </w:r>
            <w:r>
              <w:rPr>
                <w:color w:val="auto"/>
                <w:sz w:val="24"/>
                <w:szCs w:val="32"/>
              </w:rPr>
              <w:t>等骨料的输送是经过搅拌装置自带的密封传送带完成。因此在物料输送过程中基本无粉尘外逸。</w:t>
            </w:r>
          </w:p>
          <w:p>
            <w:pPr>
              <w:spacing w:line="520" w:lineRule="exact"/>
              <w:ind w:firstLine="480" w:firstLineChars="200"/>
              <w:rPr>
                <w:color w:val="auto"/>
                <w:sz w:val="24"/>
                <w:szCs w:val="32"/>
              </w:rPr>
            </w:pPr>
            <w:r>
              <w:rPr>
                <w:rFonts w:hint="eastAsia"/>
                <w:color w:val="auto"/>
                <w:sz w:val="24"/>
                <w:szCs w:val="32"/>
              </w:rPr>
              <w:t>（4）</w:t>
            </w:r>
            <w:r>
              <w:rPr>
                <w:color w:val="auto"/>
                <w:sz w:val="24"/>
                <w:szCs w:val="32"/>
              </w:rPr>
              <w:t>运输车辆起尘</w:t>
            </w:r>
          </w:p>
          <w:p>
            <w:pPr>
              <w:spacing w:line="520" w:lineRule="exact"/>
              <w:ind w:firstLine="480" w:firstLineChars="200"/>
              <w:rPr>
                <w:color w:val="auto"/>
                <w:sz w:val="24"/>
                <w:szCs w:val="32"/>
              </w:rPr>
            </w:pPr>
            <w:r>
              <w:rPr>
                <w:color w:val="auto"/>
                <w:sz w:val="24"/>
                <w:szCs w:val="32"/>
              </w:rPr>
              <w:t>车辆行驶产生的扬尘，在道路完全干燥的情况下，可按下列经验公式计算：</w:t>
            </w:r>
          </w:p>
          <w:p>
            <w:pPr>
              <w:spacing w:line="520" w:lineRule="exact"/>
              <w:ind w:firstLine="1440" w:firstLineChars="600"/>
              <w:rPr>
                <w:color w:val="auto"/>
                <w:sz w:val="24"/>
                <w:szCs w:val="32"/>
              </w:rPr>
            </w:pPr>
            <w:r>
              <w:rPr>
                <w:color w:val="auto"/>
                <w:sz w:val="24"/>
                <w:szCs w:val="32"/>
              </w:rPr>
              <w:t>Q=0.123(V/5)(W/6.8)</w:t>
            </w:r>
            <w:r>
              <w:rPr>
                <w:color w:val="auto"/>
                <w:sz w:val="24"/>
                <w:szCs w:val="32"/>
                <w:vertAlign w:val="superscript"/>
              </w:rPr>
              <w:t>0.85</w:t>
            </w:r>
            <w:r>
              <w:rPr>
                <w:color w:val="auto"/>
                <w:sz w:val="24"/>
                <w:szCs w:val="32"/>
              </w:rPr>
              <w:t>(P/0.5)</w:t>
            </w:r>
            <w:r>
              <w:rPr>
                <w:color w:val="auto"/>
                <w:sz w:val="24"/>
                <w:szCs w:val="32"/>
                <w:vertAlign w:val="superscript"/>
              </w:rPr>
              <w:t>0.75</w:t>
            </w:r>
          </w:p>
          <w:p>
            <w:pPr>
              <w:spacing w:line="520" w:lineRule="exact"/>
              <w:ind w:firstLine="720" w:firstLineChars="300"/>
              <w:rPr>
                <w:color w:val="auto"/>
                <w:sz w:val="24"/>
                <w:szCs w:val="32"/>
              </w:rPr>
            </w:pPr>
            <w:r>
              <w:rPr>
                <w:color w:val="auto"/>
                <w:sz w:val="24"/>
                <w:szCs w:val="32"/>
              </w:rPr>
              <w:t>式中：Q：汽车行驶时的扬尘，kg/km·辆；</w:t>
            </w:r>
          </w:p>
          <w:p>
            <w:pPr>
              <w:spacing w:line="520" w:lineRule="exact"/>
              <w:ind w:firstLine="1440" w:firstLineChars="600"/>
              <w:rPr>
                <w:color w:val="auto"/>
                <w:sz w:val="24"/>
                <w:szCs w:val="32"/>
              </w:rPr>
            </w:pPr>
            <w:r>
              <w:rPr>
                <w:color w:val="auto"/>
                <w:sz w:val="24"/>
                <w:szCs w:val="32"/>
              </w:rPr>
              <w:t>V：汽车行驶速度，km/h；</w:t>
            </w:r>
          </w:p>
          <w:p>
            <w:pPr>
              <w:spacing w:line="520" w:lineRule="exact"/>
              <w:ind w:firstLine="1440" w:firstLineChars="600"/>
              <w:rPr>
                <w:color w:val="auto"/>
                <w:sz w:val="24"/>
                <w:szCs w:val="32"/>
              </w:rPr>
            </w:pPr>
            <w:r>
              <w:rPr>
                <w:color w:val="auto"/>
                <w:sz w:val="24"/>
                <w:szCs w:val="32"/>
              </w:rPr>
              <w:t>W：汽车载重，t；</w:t>
            </w:r>
          </w:p>
          <w:p>
            <w:pPr>
              <w:spacing w:line="520" w:lineRule="exact"/>
              <w:ind w:firstLine="1440" w:firstLineChars="600"/>
              <w:rPr>
                <w:color w:val="auto"/>
                <w:sz w:val="24"/>
                <w:szCs w:val="32"/>
              </w:rPr>
            </w:pPr>
            <w:r>
              <w:rPr>
                <w:color w:val="auto"/>
                <w:sz w:val="24"/>
                <w:szCs w:val="32"/>
              </w:rPr>
              <w:t>P：道路表面粉尘量，kg/m</w:t>
            </w:r>
            <w:r>
              <w:rPr>
                <w:color w:val="auto"/>
                <w:sz w:val="24"/>
                <w:szCs w:val="32"/>
                <w:vertAlign w:val="superscript"/>
              </w:rPr>
              <w:t>2</w:t>
            </w:r>
            <w:r>
              <w:rPr>
                <w:color w:val="auto"/>
                <w:sz w:val="24"/>
                <w:szCs w:val="32"/>
              </w:rPr>
              <w:t>。</w:t>
            </w:r>
          </w:p>
          <w:p>
            <w:pPr>
              <w:spacing w:line="520" w:lineRule="exact"/>
              <w:ind w:firstLine="480" w:firstLineChars="200"/>
              <w:rPr>
                <w:color w:val="auto"/>
              </w:rPr>
            </w:pPr>
            <w:r>
              <w:rPr>
                <w:color w:val="auto"/>
                <w:sz w:val="24"/>
                <w:szCs w:val="32"/>
              </w:rPr>
              <w:t>本项目车辆在厂区内行驶距离按</w:t>
            </w:r>
            <w:r>
              <w:rPr>
                <w:rFonts w:hint="eastAsia"/>
                <w:color w:val="auto"/>
                <w:sz w:val="24"/>
                <w:szCs w:val="32"/>
              </w:rPr>
              <w:t>10</w:t>
            </w:r>
            <w:r>
              <w:rPr>
                <w:color w:val="auto"/>
                <w:sz w:val="24"/>
                <w:szCs w:val="32"/>
              </w:rPr>
              <w:t>0m计，本项目</w:t>
            </w:r>
            <w:r>
              <w:rPr>
                <w:rFonts w:hint="eastAsia"/>
                <w:color w:val="auto"/>
                <w:sz w:val="24"/>
                <w:szCs w:val="32"/>
                <w:lang w:val="en-US" w:eastAsia="zh-CN"/>
              </w:rPr>
              <w:t>混凝土运输车辆</w:t>
            </w:r>
            <w:r>
              <w:rPr>
                <w:color w:val="auto"/>
                <w:sz w:val="24"/>
                <w:szCs w:val="32"/>
              </w:rPr>
              <w:t>平均每天发空车、重载各</w:t>
            </w:r>
            <w:r>
              <w:rPr>
                <w:rFonts w:hint="eastAsia"/>
                <w:color w:val="auto"/>
                <w:sz w:val="24"/>
                <w:szCs w:val="32"/>
              </w:rPr>
              <w:t>192</w:t>
            </w:r>
            <w:r>
              <w:rPr>
                <w:color w:val="auto"/>
                <w:sz w:val="24"/>
                <w:szCs w:val="32"/>
              </w:rPr>
              <w:t>辆·次；</w:t>
            </w:r>
            <w:r>
              <w:rPr>
                <w:rFonts w:hint="eastAsia"/>
                <w:color w:val="auto"/>
                <w:sz w:val="24"/>
                <w:szCs w:val="32"/>
                <w:lang w:val="en-US" w:eastAsia="zh-CN"/>
              </w:rPr>
              <w:t>原辅料运输车辆</w:t>
            </w:r>
            <w:r>
              <w:rPr>
                <w:color w:val="auto"/>
                <w:sz w:val="24"/>
                <w:szCs w:val="32"/>
              </w:rPr>
              <w:t>平均每天发空车、重载各</w:t>
            </w:r>
            <w:r>
              <w:rPr>
                <w:rFonts w:hint="eastAsia"/>
                <w:color w:val="auto"/>
                <w:sz w:val="24"/>
                <w:szCs w:val="32"/>
                <w:lang w:val="en-US" w:eastAsia="zh-CN"/>
              </w:rPr>
              <w:t>约180</w:t>
            </w:r>
            <w:r>
              <w:rPr>
                <w:color w:val="auto"/>
                <w:sz w:val="24"/>
                <w:szCs w:val="32"/>
              </w:rPr>
              <w:t>辆·次</w:t>
            </w:r>
            <w:r>
              <w:rPr>
                <w:rFonts w:hint="eastAsia"/>
                <w:color w:val="auto"/>
                <w:sz w:val="24"/>
                <w:szCs w:val="32"/>
                <w:lang w:eastAsia="zh-CN"/>
              </w:rPr>
              <w:t>，</w:t>
            </w:r>
            <w:r>
              <w:rPr>
                <w:color w:val="auto"/>
                <w:sz w:val="24"/>
                <w:szCs w:val="32"/>
              </w:rPr>
              <w:t>空车车重10t，载重车重约</w:t>
            </w:r>
            <w:r>
              <w:rPr>
                <w:rFonts w:hint="eastAsia"/>
                <w:color w:val="auto"/>
                <w:sz w:val="24"/>
                <w:szCs w:val="32"/>
              </w:rPr>
              <w:t>27</w:t>
            </w:r>
            <w:r>
              <w:rPr>
                <w:color w:val="auto"/>
                <w:sz w:val="24"/>
                <w:szCs w:val="32"/>
              </w:rPr>
              <w:t>t</w:t>
            </w:r>
            <w:r>
              <w:rPr>
                <w:rFonts w:hint="eastAsia"/>
                <w:color w:val="auto"/>
                <w:sz w:val="24"/>
                <w:szCs w:val="32"/>
                <w:lang w:val="en-US" w:eastAsia="zh-CN"/>
              </w:rPr>
              <w:t>计</w:t>
            </w:r>
            <w:r>
              <w:rPr>
                <w:color w:val="auto"/>
                <w:sz w:val="24"/>
                <w:szCs w:val="32"/>
              </w:rPr>
              <w:t>，以速度10km/h，在不同路面清洁度情况下的扬尘见下表。</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w:t>
            </w:r>
            <w:r>
              <w:rPr>
                <w:rFonts w:hint="eastAsia" w:ascii="Times New Roman" w:hAnsi="Times New Roman" w:eastAsia="宋体" w:cs="Times New Roman"/>
                <w:b/>
                <w:color w:val="auto"/>
                <w:szCs w:val="21"/>
                <w:lang w:val="en-US" w:eastAsia="zh-CN"/>
              </w:rPr>
              <w:t>3</w:t>
            </w:r>
            <w:r>
              <w:rPr>
                <w:rFonts w:hint="eastAsia" w:ascii="Times New Roman" w:hAnsi="Times New Roman" w:eastAsia="宋体" w:cs="Times New Roman"/>
                <w:b/>
                <w:color w:val="auto"/>
                <w:szCs w:val="21"/>
              </w:rPr>
              <w:t xml:space="preserve">   车辆行驶扬尘量   单位 kg/d</w:t>
            </w:r>
          </w:p>
          <w:tbl>
            <w:tblPr>
              <w:tblStyle w:val="30"/>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76"/>
              <w:gridCol w:w="1177"/>
              <w:gridCol w:w="1177"/>
              <w:gridCol w:w="1177"/>
              <w:gridCol w:w="1177"/>
              <w:gridCol w:w="1177"/>
              <w:gridCol w:w="11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3" w:type="pct"/>
                  <w:vAlign w:val="center"/>
                </w:tcPr>
                <w:p>
                  <w:pPr>
                    <w:jc w:val="right"/>
                    <w:rPr>
                      <w:color w:val="auto"/>
                      <w:szCs w:val="21"/>
                    </w:rPr>
                  </w:pPr>
                  <w:r>
                    <w:rPr>
                      <w:rFonts w:eastAsia="Times New Roman"/>
                      <w:color w:val="auto"/>
                      <w:szCs w:val="21"/>
                    </w:rPr>
                    <mc:AlternateContent>
                      <mc:Choice Requires="wps">
                        <w:drawing>
                          <wp:anchor distT="0" distB="0" distL="114300" distR="114300" simplePos="0" relativeHeight="251750400" behindDoc="0" locked="0" layoutInCell="1" allowOverlap="1">
                            <wp:simplePos x="0" y="0"/>
                            <wp:positionH relativeFrom="column">
                              <wp:posOffset>-39370</wp:posOffset>
                            </wp:positionH>
                            <wp:positionV relativeFrom="paragraph">
                              <wp:posOffset>8255</wp:posOffset>
                            </wp:positionV>
                            <wp:extent cx="698500" cy="386080"/>
                            <wp:effectExtent l="2540" t="4445" r="3810" b="9525"/>
                            <wp:wrapNone/>
                            <wp:docPr id="137" name="自选图形 2"/>
                            <wp:cNvGraphicFramePr/>
                            <a:graphic xmlns:a="http://schemas.openxmlformats.org/drawingml/2006/main">
                              <a:graphicData uri="http://schemas.microsoft.com/office/word/2010/wordprocessingShape">
                                <wps:wsp>
                                  <wps:cNvCnPr>
                                    <a:cxnSpLocks noChangeShapeType="1"/>
                                  </wps:cNvCnPr>
                                  <wps:spPr bwMode="auto">
                                    <a:xfrm>
                                      <a:off x="0" y="0"/>
                                      <a:ext cx="698500" cy="386080"/>
                                    </a:xfrm>
                                    <a:prstGeom prst="straightConnector1">
                                      <a:avLst/>
                                    </a:prstGeom>
                                    <a:noFill/>
                                    <a:ln w="9525">
                                      <a:solidFill>
                                        <a:srgbClr val="000000"/>
                                      </a:solidFill>
                                      <a:round/>
                                    </a:ln>
                                  </wps:spPr>
                                  <wps:bodyPr/>
                                </wps:wsp>
                              </a:graphicData>
                            </a:graphic>
                          </wp:anchor>
                        </w:drawing>
                      </mc:Choice>
                      <mc:Fallback>
                        <w:pict>
                          <v:shape id="自选图形 2" o:spid="_x0000_s1026" o:spt="32" type="#_x0000_t32" style="position:absolute;left:0pt;margin-left:-3.1pt;margin-top:0.65pt;height:30.4pt;width:55pt;z-index:251750400;mso-width-relative:page;mso-height-relative:page;" filled="f" stroked="t" coordsize="21600,21600" o:gfxdata="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dznNYAAAAHAQAADwAAAAAAAAABACAAAAAiAAAAZHJzL2Rvd25yZXYueG1sUEsBAhQA&#10;FAAAAAgAh07iQOjfKgL0AQAAuwMAAA4AAAAAAAAAAQAgAAAAJQEAAGRycy9lMm9Eb2MueG1sUEsF&#10;BgAAAAAGAAYAWQEAAIsFAAAAAA==&#10;">
                            <v:fill on="f" focussize="0,0"/>
                            <v:stroke color="#000000" joinstyle="round"/>
                            <v:imagedata o:title=""/>
                            <o:lock v:ext="edit" aspectratio="f"/>
                          </v:shape>
                        </w:pict>
                      </mc:Fallback>
                    </mc:AlternateContent>
                  </w:r>
                  <w:r>
                    <w:rPr>
                      <w:color w:val="auto"/>
                      <w:szCs w:val="21"/>
                    </w:rPr>
                    <w:t>路况</w:t>
                  </w:r>
                </w:p>
                <w:p>
                  <w:pPr>
                    <w:rPr>
                      <w:color w:val="auto"/>
                      <w:szCs w:val="21"/>
                    </w:rPr>
                  </w:pPr>
                  <w:r>
                    <w:rPr>
                      <w:color w:val="auto"/>
                      <w:szCs w:val="21"/>
                    </w:rPr>
                    <w:t>车况</w:t>
                  </w:r>
                </w:p>
              </w:tc>
              <w:tc>
                <w:tcPr>
                  <w:tcW w:w="714" w:type="pct"/>
                  <w:vAlign w:val="center"/>
                </w:tcPr>
                <w:p>
                  <w:pPr>
                    <w:jc w:val="center"/>
                    <w:rPr>
                      <w:color w:val="auto"/>
                      <w:szCs w:val="21"/>
                    </w:rPr>
                  </w:pPr>
                  <w:r>
                    <w:rPr>
                      <w:color w:val="auto"/>
                      <w:szCs w:val="21"/>
                    </w:rPr>
                    <w:t>0.1kg/m</w:t>
                  </w:r>
                  <w:r>
                    <w:rPr>
                      <w:color w:val="auto"/>
                      <w:szCs w:val="21"/>
                      <w:vertAlign w:val="superscript"/>
                    </w:rPr>
                    <w:t>2</w:t>
                  </w:r>
                </w:p>
              </w:tc>
              <w:tc>
                <w:tcPr>
                  <w:tcW w:w="714" w:type="pct"/>
                  <w:vAlign w:val="center"/>
                </w:tcPr>
                <w:p>
                  <w:pPr>
                    <w:jc w:val="center"/>
                    <w:rPr>
                      <w:color w:val="auto"/>
                      <w:szCs w:val="21"/>
                    </w:rPr>
                  </w:pPr>
                  <w:r>
                    <w:rPr>
                      <w:color w:val="auto"/>
                      <w:szCs w:val="21"/>
                    </w:rPr>
                    <w:t>0.2kg/m</w:t>
                  </w:r>
                  <w:r>
                    <w:rPr>
                      <w:color w:val="auto"/>
                      <w:szCs w:val="21"/>
                      <w:vertAlign w:val="superscript"/>
                    </w:rPr>
                    <w:t>2</w:t>
                  </w:r>
                </w:p>
              </w:tc>
              <w:tc>
                <w:tcPr>
                  <w:tcW w:w="714" w:type="pct"/>
                  <w:vAlign w:val="center"/>
                </w:tcPr>
                <w:p>
                  <w:pPr>
                    <w:jc w:val="center"/>
                    <w:rPr>
                      <w:color w:val="auto"/>
                      <w:szCs w:val="21"/>
                    </w:rPr>
                  </w:pPr>
                  <w:r>
                    <w:rPr>
                      <w:color w:val="auto"/>
                      <w:szCs w:val="21"/>
                    </w:rPr>
                    <w:t>0.3kg/m</w:t>
                  </w:r>
                  <w:r>
                    <w:rPr>
                      <w:color w:val="auto"/>
                      <w:szCs w:val="21"/>
                      <w:vertAlign w:val="superscript"/>
                    </w:rPr>
                    <w:t>2</w:t>
                  </w:r>
                </w:p>
              </w:tc>
              <w:tc>
                <w:tcPr>
                  <w:tcW w:w="714" w:type="pct"/>
                  <w:vAlign w:val="center"/>
                </w:tcPr>
                <w:p>
                  <w:pPr>
                    <w:jc w:val="center"/>
                    <w:rPr>
                      <w:color w:val="auto"/>
                      <w:szCs w:val="21"/>
                    </w:rPr>
                  </w:pPr>
                  <w:r>
                    <w:rPr>
                      <w:color w:val="auto"/>
                      <w:szCs w:val="21"/>
                    </w:rPr>
                    <w:t>0.4kg/m</w:t>
                  </w:r>
                  <w:r>
                    <w:rPr>
                      <w:color w:val="auto"/>
                      <w:szCs w:val="21"/>
                      <w:vertAlign w:val="superscript"/>
                    </w:rPr>
                    <w:t>2</w:t>
                  </w:r>
                </w:p>
              </w:tc>
              <w:tc>
                <w:tcPr>
                  <w:tcW w:w="714" w:type="pct"/>
                  <w:vAlign w:val="center"/>
                </w:tcPr>
                <w:p>
                  <w:pPr>
                    <w:jc w:val="center"/>
                    <w:rPr>
                      <w:color w:val="auto"/>
                      <w:szCs w:val="21"/>
                    </w:rPr>
                  </w:pPr>
                  <w:r>
                    <w:rPr>
                      <w:color w:val="auto"/>
                      <w:szCs w:val="21"/>
                    </w:rPr>
                    <w:t>0.5kg/m</w:t>
                  </w:r>
                  <w:r>
                    <w:rPr>
                      <w:color w:val="auto"/>
                      <w:szCs w:val="21"/>
                      <w:vertAlign w:val="superscript"/>
                    </w:rPr>
                    <w:t>2</w:t>
                  </w:r>
                </w:p>
              </w:tc>
              <w:tc>
                <w:tcPr>
                  <w:tcW w:w="714" w:type="pct"/>
                  <w:vAlign w:val="center"/>
                </w:tcPr>
                <w:p>
                  <w:pPr>
                    <w:jc w:val="center"/>
                    <w:rPr>
                      <w:color w:val="auto"/>
                      <w:szCs w:val="21"/>
                    </w:rPr>
                  </w:pPr>
                  <w:r>
                    <w:rPr>
                      <w:color w:val="auto"/>
                      <w:szCs w:val="21"/>
                    </w:rPr>
                    <w:t>0.6kg/m</w:t>
                  </w:r>
                  <w:r>
                    <w:rPr>
                      <w:color w:val="auto"/>
                      <w:szCs w:val="21"/>
                      <w:vertAlign w:val="superscript"/>
                    </w:rPr>
                    <w:t>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3" w:type="pct"/>
                  <w:vAlign w:val="center"/>
                </w:tcPr>
                <w:p>
                  <w:pPr>
                    <w:jc w:val="center"/>
                    <w:rPr>
                      <w:color w:val="auto"/>
                      <w:szCs w:val="21"/>
                    </w:rPr>
                  </w:pPr>
                  <w:r>
                    <w:rPr>
                      <w:color w:val="auto"/>
                      <w:szCs w:val="21"/>
                    </w:rPr>
                    <w:t>空车</w:t>
                  </w:r>
                </w:p>
              </w:tc>
              <w:tc>
                <w:tcPr>
                  <w:tcW w:w="714" w:type="pct"/>
                  <w:vAlign w:val="center"/>
                </w:tcPr>
                <w:p>
                  <w:pPr>
                    <w:jc w:val="center"/>
                    <w:rPr>
                      <w:color w:val="auto"/>
                      <w:szCs w:val="21"/>
                    </w:rPr>
                  </w:pPr>
                  <w:r>
                    <w:rPr>
                      <w:color w:val="auto"/>
                      <w:szCs w:val="21"/>
                    </w:rPr>
                    <w:t>0.102</w:t>
                  </w:r>
                </w:p>
              </w:tc>
              <w:tc>
                <w:tcPr>
                  <w:tcW w:w="714" w:type="pct"/>
                  <w:vAlign w:val="center"/>
                </w:tcPr>
                <w:p>
                  <w:pPr>
                    <w:jc w:val="center"/>
                    <w:rPr>
                      <w:color w:val="auto"/>
                      <w:szCs w:val="21"/>
                    </w:rPr>
                  </w:pPr>
                  <w:r>
                    <w:rPr>
                      <w:color w:val="auto"/>
                      <w:szCs w:val="21"/>
                    </w:rPr>
                    <w:t>0.172</w:t>
                  </w:r>
                </w:p>
              </w:tc>
              <w:tc>
                <w:tcPr>
                  <w:tcW w:w="714" w:type="pct"/>
                  <w:vAlign w:val="center"/>
                </w:tcPr>
                <w:p>
                  <w:pPr>
                    <w:jc w:val="center"/>
                    <w:rPr>
                      <w:color w:val="auto"/>
                      <w:szCs w:val="21"/>
                    </w:rPr>
                  </w:pPr>
                  <w:r>
                    <w:rPr>
                      <w:color w:val="auto"/>
                      <w:szCs w:val="21"/>
                    </w:rPr>
                    <w:t>0.233</w:t>
                  </w:r>
                </w:p>
              </w:tc>
              <w:tc>
                <w:tcPr>
                  <w:tcW w:w="714" w:type="pct"/>
                  <w:vAlign w:val="center"/>
                </w:tcPr>
                <w:p>
                  <w:pPr>
                    <w:jc w:val="center"/>
                    <w:rPr>
                      <w:color w:val="auto"/>
                      <w:szCs w:val="21"/>
                    </w:rPr>
                  </w:pPr>
                  <w:r>
                    <w:rPr>
                      <w:color w:val="auto"/>
                      <w:szCs w:val="21"/>
                    </w:rPr>
                    <w:t>0.288</w:t>
                  </w:r>
                </w:p>
              </w:tc>
              <w:tc>
                <w:tcPr>
                  <w:tcW w:w="714" w:type="pct"/>
                  <w:vAlign w:val="center"/>
                </w:tcPr>
                <w:p>
                  <w:pPr>
                    <w:jc w:val="center"/>
                    <w:rPr>
                      <w:color w:val="auto"/>
                      <w:szCs w:val="21"/>
                    </w:rPr>
                  </w:pPr>
                  <w:r>
                    <w:rPr>
                      <w:color w:val="auto"/>
                      <w:szCs w:val="21"/>
                    </w:rPr>
                    <w:t>0.341</w:t>
                  </w:r>
                </w:p>
              </w:tc>
              <w:tc>
                <w:tcPr>
                  <w:tcW w:w="714" w:type="pct"/>
                  <w:vAlign w:val="center"/>
                </w:tcPr>
                <w:p>
                  <w:pPr>
                    <w:jc w:val="center"/>
                    <w:rPr>
                      <w:color w:val="auto"/>
                      <w:szCs w:val="21"/>
                    </w:rPr>
                  </w:pPr>
                  <w:r>
                    <w:rPr>
                      <w:color w:val="auto"/>
                      <w:szCs w:val="21"/>
                    </w:rPr>
                    <w:t>0.391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3" w:type="pct"/>
                  <w:vAlign w:val="center"/>
                </w:tcPr>
                <w:p>
                  <w:pPr>
                    <w:jc w:val="center"/>
                    <w:rPr>
                      <w:color w:val="auto"/>
                      <w:szCs w:val="21"/>
                    </w:rPr>
                  </w:pPr>
                  <w:r>
                    <w:rPr>
                      <w:color w:val="auto"/>
                      <w:szCs w:val="21"/>
                    </w:rPr>
                    <w:t>重车</w:t>
                  </w:r>
                </w:p>
              </w:tc>
              <w:tc>
                <w:tcPr>
                  <w:tcW w:w="714" w:type="pct"/>
                  <w:vAlign w:val="center"/>
                </w:tcPr>
                <w:p>
                  <w:pPr>
                    <w:jc w:val="center"/>
                    <w:rPr>
                      <w:color w:val="auto"/>
                      <w:szCs w:val="21"/>
                    </w:rPr>
                  </w:pPr>
                  <w:r>
                    <w:rPr>
                      <w:color w:val="auto"/>
                      <w:szCs w:val="21"/>
                    </w:rPr>
                    <w:t>0.26</w:t>
                  </w:r>
                </w:p>
              </w:tc>
              <w:tc>
                <w:tcPr>
                  <w:tcW w:w="714" w:type="pct"/>
                  <w:vAlign w:val="center"/>
                </w:tcPr>
                <w:p>
                  <w:pPr>
                    <w:jc w:val="center"/>
                    <w:rPr>
                      <w:color w:val="auto"/>
                      <w:szCs w:val="21"/>
                    </w:rPr>
                  </w:pPr>
                  <w:r>
                    <w:rPr>
                      <w:color w:val="auto"/>
                      <w:szCs w:val="21"/>
                    </w:rPr>
                    <w:t>0.437</w:t>
                  </w:r>
                </w:p>
              </w:tc>
              <w:tc>
                <w:tcPr>
                  <w:tcW w:w="714" w:type="pct"/>
                  <w:vAlign w:val="center"/>
                </w:tcPr>
                <w:p>
                  <w:pPr>
                    <w:jc w:val="center"/>
                    <w:rPr>
                      <w:color w:val="auto"/>
                      <w:szCs w:val="21"/>
                    </w:rPr>
                  </w:pPr>
                  <w:r>
                    <w:rPr>
                      <w:color w:val="auto"/>
                      <w:szCs w:val="21"/>
                    </w:rPr>
                    <w:cr/>
                  </w:r>
                  <w:r>
                    <w:rPr>
                      <w:rFonts w:hint="eastAsia"/>
                      <w:color w:val="auto"/>
                      <w:szCs w:val="21"/>
                    </w:rPr>
                    <w:t>0.595</w:t>
                  </w:r>
                </w:p>
              </w:tc>
              <w:tc>
                <w:tcPr>
                  <w:tcW w:w="714" w:type="pct"/>
                  <w:vAlign w:val="center"/>
                </w:tcPr>
                <w:p>
                  <w:pPr>
                    <w:jc w:val="center"/>
                    <w:rPr>
                      <w:color w:val="auto"/>
                      <w:szCs w:val="21"/>
                    </w:rPr>
                  </w:pPr>
                  <w:r>
                    <w:rPr>
                      <w:rFonts w:hint="eastAsia"/>
                      <w:color w:val="auto"/>
                      <w:szCs w:val="21"/>
                    </w:rPr>
                    <w:t>0.35</w:t>
                  </w:r>
                </w:p>
              </w:tc>
              <w:tc>
                <w:tcPr>
                  <w:tcW w:w="714" w:type="pct"/>
                  <w:vAlign w:val="center"/>
                </w:tcPr>
                <w:p>
                  <w:pPr>
                    <w:jc w:val="center"/>
                    <w:rPr>
                      <w:color w:val="auto"/>
                      <w:szCs w:val="21"/>
                    </w:rPr>
                  </w:pPr>
                  <w:r>
                    <w:rPr>
                      <w:color w:val="auto"/>
                      <w:szCs w:val="21"/>
                    </w:rPr>
                    <w:t>0.87</w:t>
                  </w:r>
                </w:p>
              </w:tc>
              <w:tc>
                <w:tcPr>
                  <w:tcW w:w="714" w:type="pct"/>
                  <w:vAlign w:val="center"/>
                </w:tcPr>
                <w:p>
                  <w:pPr>
                    <w:jc w:val="center"/>
                    <w:rPr>
                      <w:color w:val="auto"/>
                      <w:szCs w:val="21"/>
                    </w:rPr>
                  </w:pPr>
                  <w:r>
                    <w:rPr>
                      <w:color w:val="auto"/>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713" w:type="pct"/>
                  <w:vAlign w:val="center"/>
                </w:tcPr>
                <w:p>
                  <w:pPr>
                    <w:jc w:val="center"/>
                    <w:rPr>
                      <w:color w:val="auto"/>
                      <w:szCs w:val="21"/>
                    </w:rPr>
                  </w:pPr>
                  <w:r>
                    <w:rPr>
                      <w:color w:val="auto"/>
                      <w:szCs w:val="21"/>
                    </w:rPr>
                    <w:t>合计</w:t>
                  </w:r>
                </w:p>
              </w:tc>
              <w:tc>
                <w:tcPr>
                  <w:tcW w:w="714" w:type="pct"/>
                  <w:vAlign w:val="center"/>
                </w:tcPr>
                <w:p>
                  <w:pPr>
                    <w:jc w:val="center"/>
                    <w:rPr>
                      <w:color w:val="auto"/>
                      <w:szCs w:val="21"/>
                    </w:rPr>
                  </w:pPr>
                  <w:r>
                    <w:rPr>
                      <w:rFonts w:hint="eastAsia"/>
                      <w:color w:val="auto"/>
                      <w:szCs w:val="21"/>
                    </w:rPr>
                    <w:t>0.362</w:t>
                  </w:r>
                </w:p>
              </w:tc>
              <w:tc>
                <w:tcPr>
                  <w:tcW w:w="714" w:type="pct"/>
                  <w:vAlign w:val="center"/>
                </w:tcPr>
                <w:p>
                  <w:pPr>
                    <w:jc w:val="center"/>
                    <w:rPr>
                      <w:color w:val="auto"/>
                      <w:szCs w:val="21"/>
                    </w:rPr>
                  </w:pPr>
                  <w:r>
                    <w:rPr>
                      <w:color w:val="auto"/>
                      <w:szCs w:val="21"/>
                    </w:rPr>
                    <w:t>0.609</w:t>
                  </w:r>
                </w:p>
              </w:tc>
              <w:tc>
                <w:tcPr>
                  <w:tcW w:w="714" w:type="pct"/>
                  <w:vAlign w:val="center"/>
                </w:tcPr>
                <w:p>
                  <w:pPr>
                    <w:jc w:val="center"/>
                    <w:rPr>
                      <w:color w:val="auto"/>
                      <w:szCs w:val="21"/>
                    </w:rPr>
                  </w:pPr>
                  <w:r>
                    <w:rPr>
                      <w:color w:val="auto"/>
                      <w:szCs w:val="21"/>
                    </w:rPr>
                    <w:t>0.838</w:t>
                  </w:r>
                </w:p>
              </w:tc>
              <w:tc>
                <w:tcPr>
                  <w:tcW w:w="714" w:type="pct"/>
                  <w:vAlign w:val="center"/>
                </w:tcPr>
                <w:p>
                  <w:pPr>
                    <w:jc w:val="center"/>
                    <w:rPr>
                      <w:color w:val="auto"/>
                      <w:szCs w:val="21"/>
                    </w:rPr>
                  </w:pPr>
                  <w:r>
                    <w:rPr>
                      <w:rFonts w:hint="eastAsia"/>
                      <w:color w:val="auto"/>
                      <w:szCs w:val="21"/>
                    </w:rPr>
                    <w:t>0.638</w:t>
                  </w:r>
                </w:p>
              </w:tc>
              <w:tc>
                <w:tcPr>
                  <w:tcW w:w="714" w:type="pct"/>
                  <w:vAlign w:val="center"/>
                </w:tcPr>
                <w:p>
                  <w:pPr>
                    <w:jc w:val="center"/>
                    <w:rPr>
                      <w:color w:val="auto"/>
                      <w:szCs w:val="21"/>
                    </w:rPr>
                  </w:pPr>
                  <w:r>
                    <w:rPr>
                      <w:color w:val="auto"/>
                      <w:szCs w:val="21"/>
                    </w:rPr>
                    <w:t>1.211</w:t>
                  </w:r>
                </w:p>
              </w:tc>
              <w:tc>
                <w:tcPr>
                  <w:tcW w:w="714" w:type="pct"/>
                  <w:vAlign w:val="center"/>
                </w:tcPr>
                <w:p>
                  <w:pPr>
                    <w:jc w:val="center"/>
                    <w:rPr>
                      <w:color w:val="auto"/>
                      <w:szCs w:val="21"/>
                    </w:rPr>
                  </w:pPr>
                  <w:r>
                    <w:rPr>
                      <w:color w:val="auto"/>
                      <w:szCs w:val="21"/>
                    </w:rPr>
                    <w:t>1.391</w:t>
                  </w:r>
                </w:p>
              </w:tc>
            </w:tr>
          </w:tbl>
          <w:p>
            <w:pPr>
              <w:spacing w:line="520" w:lineRule="exact"/>
              <w:ind w:firstLine="480" w:firstLineChars="200"/>
              <w:rPr>
                <w:color w:val="auto"/>
              </w:rPr>
            </w:pPr>
            <w:r>
              <w:rPr>
                <w:color w:val="auto"/>
                <w:sz w:val="24"/>
                <w:szCs w:val="32"/>
              </w:rPr>
              <w:t>根据本项目的情况，厂区路面为硬化道路，定期洒水。基于这种情况，本环评道路路况以0.1kg/m</w:t>
            </w:r>
            <w:r>
              <w:rPr>
                <w:color w:val="auto"/>
                <w:sz w:val="24"/>
                <w:szCs w:val="32"/>
                <w:vertAlign w:val="superscript"/>
              </w:rPr>
              <w:t>2</w:t>
            </w:r>
            <w:r>
              <w:rPr>
                <w:color w:val="auto"/>
                <w:sz w:val="24"/>
                <w:szCs w:val="32"/>
              </w:rPr>
              <w:t>计，则经计算，本项目运输车辆起尘量为</w:t>
            </w:r>
            <w:r>
              <w:rPr>
                <w:rFonts w:hint="eastAsia"/>
                <w:color w:val="auto"/>
                <w:sz w:val="24"/>
                <w:szCs w:val="32"/>
                <w:lang w:val="en-US" w:eastAsia="zh-CN"/>
              </w:rPr>
              <w:t>13.29</w:t>
            </w:r>
            <w:r>
              <w:rPr>
                <w:color w:val="auto"/>
                <w:sz w:val="24"/>
                <w:szCs w:val="32"/>
              </w:rPr>
              <w:t>t/a，</w:t>
            </w:r>
            <w:r>
              <w:rPr>
                <w:rFonts w:hint="eastAsia"/>
                <w:color w:val="auto"/>
                <w:sz w:val="24"/>
                <w:szCs w:val="32"/>
              </w:rPr>
              <w:t>采用洒水对道路进行充分预湿（控制效率7</w:t>
            </w:r>
            <w:r>
              <w:rPr>
                <w:color w:val="auto"/>
                <w:sz w:val="24"/>
                <w:szCs w:val="32"/>
              </w:rPr>
              <w:t>4</w:t>
            </w:r>
            <w:r>
              <w:rPr>
                <w:rFonts w:hint="eastAsia"/>
                <w:color w:val="auto"/>
                <w:sz w:val="24"/>
                <w:szCs w:val="32"/>
              </w:rPr>
              <w:t>%），</w:t>
            </w:r>
            <w:r>
              <w:rPr>
                <w:color w:val="auto"/>
                <w:sz w:val="24"/>
                <w:szCs w:val="32"/>
              </w:rPr>
              <w:t>运输车辆出厂时，采取苫盖篷布的措施</w:t>
            </w:r>
            <w:r>
              <w:rPr>
                <w:rFonts w:hint="eastAsia"/>
                <w:color w:val="auto"/>
                <w:sz w:val="24"/>
                <w:szCs w:val="32"/>
              </w:rPr>
              <w:t>（控制效率8</w:t>
            </w:r>
            <w:r>
              <w:rPr>
                <w:color w:val="auto"/>
                <w:sz w:val="24"/>
                <w:szCs w:val="32"/>
              </w:rPr>
              <w:t>6</w:t>
            </w:r>
            <w:r>
              <w:rPr>
                <w:rFonts w:hint="eastAsia"/>
                <w:color w:val="auto"/>
                <w:sz w:val="24"/>
                <w:szCs w:val="32"/>
              </w:rPr>
              <w:t>%）</w:t>
            </w:r>
            <w:r>
              <w:rPr>
                <w:color w:val="auto"/>
                <w:sz w:val="24"/>
                <w:szCs w:val="32"/>
              </w:rPr>
              <w:t>，</w:t>
            </w:r>
            <w:r>
              <w:rPr>
                <w:rFonts w:hint="eastAsia"/>
                <w:color w:val="auto"/>
                <w:sz w:val="24"/>
                <w:szCs w:val="32"/>
              </w:rPr>
              <w:t>并对车辆进行冲洗（控制效率</w:t>
            </w:r>
            <w:r>
              <w:rPr>
                <w:color w:val="auto"/>
                <w:sz w:val="24"/>
                <w:szCs w:val="32"/>
              </w:rPr>
              <w:t>78</w:t>
            </w:r>
            <w:r>
              <w:rPr>
                <w:rFonts w:hint="eastAsia"/>
                <w:color w:val="auto"/>
                <w:sz w:val="24"/>
                <w:szCs w:val="32"/>
              </w:rPr>
              <w:t>%），通过采取以上措施粉尘控制</w:t>
            </w:r>
            <w:r>
              <w:rPr>
                <w:color w:val="auto"/>
                <w:sz w:val="24"/>
                <w:szCs w:val="32"/>
              </w:rPr>
              <w:t>效率可达99.2%，则道路运输扬尘约为</w:t>
            </w:r>
            <w:r>
              <w:rPr>
                <w:rFonts w:hint="eastAsia"/>
                <w:color w:val="auto"/>
                <w:sz w:val="24"/>
                <w:szCs w:val="32"/>
                <w:lang w:val="en-US" w:eastAsia="zh-CN"/>
              </w:rPr>
              <w:t>0.106</w:t>
            </w:r>
            <w:r>
              <w:rPr>
                <w:color w:val="auto"/>
                <w:sz w:val="24"/>
                <w:szCs w:val="32"/>
              </w:rPr>
              <w:t>t/a。</w:t>
            </w:r>
          </w:p>
          <w:p>
            <w:pPr>
              <w:spacing w:line="520" w:lineRule="exact"/>
              <w:ind w:firstLine="480" w:firstLineChars="200"/>
              <w:rPr>
                <w:color w:val="auto"/>
                <w:sz w:val="24"/>
              </w:rPr>
            </w:pPr>
            <w:r>
              <w:rPr>
                <w:rFonts w:hint="eastAsia"/>
                <w:color w:val="auto"/>
                <w:sz w:val="24"/>
              </w:rPr>
              <w:t>（5）</w:t>
            </w:r>
            <w:r>
              <w:rPr>
                <w:color w:val="auto"/>
                <w:sz w:val="24"/>
              </w:rPr>
              <w:t>砂石料</w:t>
            </w:r>
            <w:r>
              <w:rPr>
                <w:rFonts w:hint="eastAsia"/>
                <w:color w:val="auto"/>
                <w:sz w:val="24"/>
                <w:lang w:val="en-US" w:eastAsia="zh-CN"/>
              </w:rPr>
              <w:t>储存及</w:t>
            </w:r>
            <w:r>
              <w:rPr>
                <w:rFonts w:hint="eastAsia"/>
                <w:color w:val="auto"/>
                <w:sz w:val="24"/>
              </w:rPr>
              <w:t>卸料</w:t>
            </w:r>
            <w:r>
              <w:rPr>
                <w:color w:val="auto"/>
                <w:sz w:val="24"/>
              </w:rPr>
              <w:t>粉尘</w:t>
            </w:r>
          </w:p>
          <w:p>
            <w:pPr>
              <w:pStyle w:val="69"/>
              <w:rPr>
                <w:rFonts w:cs="Times New Roman"/>
                <w:color w:val="auto"/>
              </w:rPr>
            </w:pPr>
            <w:r>
              <w:rPr>
                <w:rFonts w:cs="Times New Roman"/>
                <w:color w:val="auto"/>
              </w:rPr>
              <w:t>本项目</w:t>
            </w:r>
            <w:r>
              <w:rPr>
                <w:rFonts w:hint="eastAsia" w:cs="Times New Roman"/>
                <w:color w:val="auto"/>
              </w:rPr>
              <w:t>混凝土生产线</w:t>
            </w:r>
            <w:r>
              <w:rPr>
                <w:rFonts w:cs="Times New Roman"/>
                <w:color w:val="auto"/>
              </w:rPr>
              <w:t>设置有1个</w:t>
            </w:r>
            <w:r>
              <w:rPr>
                <w:rFonts w:hint="eastAsia" w:cs="Times New Roman"/>
                <w:color w:val="auto"/>
                <w:lang w:val="en-US" w:eastAsia="zh-CN"/>
              </w:rPr>
              <w:t>半封闭</w:t>
            </w:r>
            <w:r>
              <w:rPr>
                <w:rFonts w:cs="Times New Roman"/>
                <w:color w:val="auto"/>
              </w:rPr>
              <w:t>砂石料堆场，总占地面积</w:t>
            </w:r>
            <w:r>
              <w:rPr>
                <w:rFonts w:hint="eastAsia" w:cs="Times New Roman"/>
                <w:color w:val="auto"/>
              </w:rPr>
              <w:t>3</w:t>
            </w:r>
            <w:r>
              <w:rPr>
                <w:rFonts w:cs="Times New Roman"/>
                <w:color w:val="auto"/>
              </w:rPr>
              <w:t>000m</w:t>
            </w:r>
            <w:r>
              <w:rPr>
                <w:rFonts w:cs="Times New Roman"/>
                <w:color w:val="auto"/>
                <w:vertAlign w:val="superscript"/>
              </w:rPr>
              <w:t>2</w:t>
            </w:r>
            <w:r>
              <w:rPr>
                <w:rFonts w:cs="Times New Roman"/>
                <w:color w:val="auto"/>
              </w:rPr>
              <w:t>（水洗砂堆场</w:t>
            </w:r>
            <w:r>
              <w:rPr>
                <w:rFonts w:hint="eastAsia" w:cs="Times New Roman"/>
                <w:color w:val="auto"/>
              </w:rPr>
              <w:t>1</w:t>
            </w:r>
            <w:r>
              <w:rPr>
                <w:rFonts w:cs="Times New Roman"/>
                <w:color w:val="auto"/>
              </w:rPr>
              <w:t>000m</w:t>
            </w:r>
            <w:r>
              <w:rPr>
                <w:rFonts w:cs="Times New Roman"/>
                <w:color w:val="auto"/>
                <w:vertAlign w:val="superscript"/>
              </w:rPr>
              <w:t>2</w:t>
            </w:r>
            <w:r>
              <w:rPr>
                <w:rFonts w:cs="Times New Roman"/>
                <w:color w:val="auto"/>
              </w:rPr>
              <w:t>，中石子堆场</w:t>
            </w:r>
            <w:r>
              <w:rPr>
                <w:rFonts w:hint="eastAsia" w:cs="Times New Roman"/>
                <w:color w:val="auto"/>
              </w:rPr>
              <w:t>1</w:t>
            </w:r>
            <w:r>
              <w:rPr>
                <w:rFonts w:cs="Times New Roman"/>
                <w:color w:val="auto"/>
              </w:rPr>
              <w:t>000m</w:t>
            </w:r>
            <w:r>
              <w:rPr>
                <w:rFonts w:cs="Times New Roman"/>
                <w:color w:val="auto"/>
                <w:vertAlign w:val="superscript"/>
              </w:rPr>
              <w:t>2</w:t>
            </w:r>
            <w:r>
              <w:rPr>
                <w:rFonts w:cs="Times New Roman"/>
                <w:color w:val="auto"/>
              </w:rPr>
              <w:t>，小石子堆场</w:t>
            </w:r>
            <w:r>
              <w:rPr>
                <w:rFonts w:hint="eastAsia" w:cs="Times New Roman"/>
                <w:color w:val="auto"/>
              </w:rPr>
              <w:t>1</w:t>
            </w:r>
            <w:r>
              <w:rPr>
                <w:rFonts w:cs="Times New Roman"/>
                <w:color w:val="auto"/>
              </w:rPr>
              <w:t>000m</w:t>
            </w:r>
            <w:r>
              <w:rPr>
                <w:rFonts w:cs="Times New Roman"/>
                <w:color w:val="auto"/>
                <w:vertAlign w:val="superscript"/>
              </w:rPr>
              <w:t>2</w:t>
            </w:r>
            <w:r>
              <w:rPr>
                <w:rFonts w:cs="Times New Roman"/>
                <w:color w:val="auto"/>
              </w:rPr>
              <w:t>）。</w:t>
            </w:r>
          </w:p>
          <w:p>
            <w:pPr>
              <w:pStyle w:val="69"/>
              <w:rPr>
                <w:color w:val="auto"/>
              </w:rPr>
            </w:pPr>
            <w:r>
              <w:rPr>
                <w:rFonts w:hint="eastAsia"/>
                <w:color w:val="auto"/>
              </w:rPr>
              <w:t>根据《排放源统计调查产排污核算方法和系数手册（2021年版）》中附表2固体物料堆存颗粒物产排污核算系数手册装卸扬尘和风蚀扬尘产生量核算公式核算本项目的堆场扬尘。</w:t>
            </w:r>
          </w:p>
          <w:p>
            <w:pPr>
              <w:pStyle w:val="69"/>
              <w:spacing w:line="240" w:lineRule="auto"/>
              <w:rPr>
                <w:color w:val="auto"/>
              </w:rPr>
            </w:pPr>
            <w:r>
              <w:rPr>
                <w:color w:val="auto"/>
              </w:rPr>
              <w:object>
                <v:shape id="_x0000_i1027" o:spt="75" type="#_x0000_t75" style="height:36pt;width:248.25pt;" o:ole="t" filled="f" o:preferrelative="t" stroked="f" coordsize="21600,21600">
                  <v:path/>
                  <v:fill on="f" focussize="0,0"/>
                  <v:stroke on="f" joinstyle="miter"/>
                  <v:imagedata r:id="rId14" o:title=""/>
                  <o:lock v:ext="edit" aspectratio="f"/>
                  <w10:wrap type="none"/>
                  <w10:anchorlock/>
                </v:shape>
                <o:OLEObject Type="Embed" ProgID="Equation.DSMT4" ShapeID="_x0000_i1027" DrawAspect="Content" ObjectID="_1468075728" r:id="rId13">
                  <o:LockedField>false</o:LockedField>
                </o:OLEObject>
              </w:object>
            </w:r>
          </w:p>
          <w:p>
            <w:pPr>
              <w:pStyle w:val="69"/>
              <w:rPr>
                <w:color w:val="auto"/>
              </w:rPr>
            </w:pPr>
            <w:r>
              <w:rPr>
                <w:rFonts w:hint="eastAsia"/>
                <w:color w:val="auto"/>
              </w:rPr>
              <w:t>式中：</w:t>
            </w:r>
            <w:r>
              <w:rPr>
                <w:color w:val="auto"/>
              </w:rPr>
              <w:object>
                <v:shape id="_x0000_i1028" o:spt="75" type="#_x0000_t75" style="height:12.75pt;width:12pt;" o:ole="t" filled="f" o:preferrelative="t" stroked="f" coordsize="21600,21600">
                  <v:path/>
                  <v:fill on="f" focussize="0,0"/>
                  <v:stroke on="f" joinstyle="miter"/>
                  <v:imagedata r:id="rId16" o:title=""/>
                  <o:lock v:ext="edit" aspectratio="f"/>
                  <w10:wrap type="none"/>
                  <w10:anchorlock/>
                </v:shape>
                <o:OLEObject Type="Embed" ProgID="Equation.DSMT4" ShapeID="_x0000_i1028" DrawAspect="Content" ObjectID="_1468075729" r:id="rId15">
                  <o:LockedField>false</o:LockedField>
                </o:OLEObject>
              </w:object>
            </w:r>
            <w:r>
              <w:rPr>
                <w:color w:val="auto"/>
              </w:rPr>
              <w:t>指颗粒物产生量（单位：</w:t>
            </w:r>
            <w:r>
              <w:rPr>
                <w:rFonts w:hint="eastAsia"/>
                <w:color w:val="auto"/>
              </w:rPr>
              <w:t>t</w:t>
            </w:r>
            <w:r>
              <w:rPr>
                <w:color w:val="auto"/>
              </w:rPr>
              <w:t>）；</w:t>
            </w:r>
          </w:p>
          <w:p>
            <w:pPr>
              <w:pStyle w:val="69"/>
              <w:rPr>
                <w:color w:val="auto"/>
              </w:rPr>
            </w:pPr>
            <w:r>
              <w:rPr>
                <w:color w:val="auto"/>
              </w:rPr>
              <w:object>
                <v:shape id="_x0000_i1029" o:spt="75" type="#_x0000_t75" style="height:18.75pt;width:23.25pt;" o:ole="t" filled="f" o:preferrelative="t" stroked="f" coordsize="21600,21600">
                  <v:path/>
                  <v:fill on="f" focussize="0,0"/>
                  <v:stroke on="f" joinstyle="miter"/>
                  <v:imagedata r:id="rId18" o:title=""/>
                  <o:lock v:ext="edit" aspectratio="f"/>
                  <w10:wrap type="none"/>
                  <w10:anchorlock/>
                </v:shape>
                <o:OLEObject Type="Embed" ProgID="Equation.DSMT4" ShapeID="_x0000_i1029" DrawAspect="Content" ObjectID="_1468075730" r:id="rId17">
                  <o:LockedField>false</o:LockedField>
                </o:OLEObject>
              </w:object>
            </w:r>
            <w:r>
              <w:rPr>
                <w:color w:val="auto"/>
              </w:rPr>
              <w:t>指装卸扬尘产生量（单位：</w:t>
            </w:r>
            <w:r>
              <w:rPr>
                <w:rFonts w:hint="eastAsia"/>
                <w:color w:val="auto"/>
              </w:rPr>
              <w:t>t</w:t>
            </w:r>
            <w:r>
              <w:rPr>
                <w:color w:val="auto"/>
              </w:rPr>
              <w:t>）；</w:t>
            </w:r>
          </w:p>
          <w:p>
            <w:pPr>
              <w:pStyle w:val="69"/>
              <w:rPr>
                <w:color w:val="auto"/>
              </w:rPr>
            </w:pPr>
            <w:r>
              <w:rPr>
                <w:color w:val="auto"/>
              </w:rPr>
              <w:object>
                <v:shape id="_x0000_i1030" o:spt="75" type="#_x0000_t75" style="height:18.75pt;width:24pt;" o:ole="t" filled="f" o:preferrelative="t" stroked="f" coordsize="21600,21600">
                  <v:path/>
                  <v:fill on="f" focussize="0,0"/>
                  <v:stroke on="f" joinstyle="miter"/>
                  <v:imagedata r:id="rId20" o:title=""/>
                  <o:lock v:ext="edit" aspectratio="f"/>
                  <w10:wrap type="none"/>
                  <w10:anchorlock/>
                </v:shape>
                <o:OLEObject Type="Embed" ProgID="Equation.DSMT4" ShapeID="_x0000_i1030" DrawAspect="Content" ObjectID="_1468075731" r:id="rId19">
                  <o:LockedField>false</o:LockedField>
                </o:OLEObject>
              </w:object>
            </w:r>
            <w:r>
              <w:rPr>
                <w:color w:val="auto"/>
              </w:rPr>
              <w:t>指风蚀扬尘产生量（单位：</w:t>
            </w:r>
            <w:r>
              <w:rPr>
                <w:rFonts w:hint="eastAsia"/>
                <w:color w:val="auto"/>
              </w:rPr>
              <w:t>t</w:t>
            </w:r>
            <w:r>
              <w:rPr>
                <w:color w:val="auto"/>
              </w:rPr>
              <w:t>）；</w:t>
            </w:r>
          </w:p>
          <w:p>
            <w:pPr>
              <w:pStyle w:val="69"/>
              <w:rPr>
                <w:color w:val="auto"/>
              </w:rPr>
            </w:pPr>
            <w:r>
              <w:rPr>
                <w:color w:val="auto"/>
              </w:rPr>
              <w:object>
                <v:shape id="_x0000_i1031" o:spt="75" type="#_x0000_t75" style="height:18pt;width:18pt;" o:ole="t" filled="f" o:preferrelative="t" stroked="f" coordsize="21600,21600">
                  <v:path/>
                  <v:fill on="f" focussize="0,0"/>
                  <v:stroke on="f" joinstyle="miter"/>
                  <v:imagedata r:id="rId22" o:title=""/>
                  <o:lock v:ext="edit" aspectratio="f"/>
                  <w10:wrap type="none"/>
                  <w10:anchorlock/>
                </v:shape>
                <o:OLEObject Type="Embed" ProgID="Equation.DSMT4" ShapeID="_x0000_i1031" DrawAspect="Content" ObjectID="_1468075732" r:id="rId21">
                  <o:LockedField>false</o:LockedField>
                </o:OLEObject>
              </w:object>
            </w:r>
            <w:r>
              <w:rPr>
                <w:color w:val="auto"/>
              </w:rPr>
              <w:t>指年物料运载车次（单位：车）</w:t>
            </w:r>
            <w:r>
              <w:rPr>
                <w:rFonts w:hint="eastAsia"/>
                <w:color w:val="auto"/>
              </w:rPr>
              <w:t>：43718车；</w:t>
            </w:r>
          </w:p>
          <w:p>
            <w:pPr>
              <w:pStyle w:val="69"/>
              <w:rPr>
                <w:color w:val="auto"/>
              </w:rPr>
            </w:pPr>
            <w:r>
              <w:rPr>
                <w:color w:val="auto"/>
              </w:rPr>
              <w:object>
                <v:shape id="_x0000_i1032" o:spt="75" type="#_x0000_t75" style="height:12.75pt;width:12.75pt;" o:ole="t" filled="f" o:preferrelative="t" stroked="f" coordsize="21600,21600">
                  <v:path/>
                  <v:fill on="f" focussize="0,0"/>
                  <v:stroke on="f" joinstyle="miter"/>
                  <v:imagedata r:id="rId24" o:title=""/>
                  <o:lock v:ext="edit" aspectratio="f"/>
                  <w10:wrap type="none"/>
                  <w10:anchorlock/>
                </v:shape>
                <o:OLEObject Type="Embed" ProgID="Equation.DSMT4" ShapeID="_x0000_i1032" DrawAspect="Content" ObjectID="_1468075733" r:id="rId23">
                  <o:LockedField>false</o:LockedField>
                </o:OLEObject>
              </w:object>
            </w:r>
            <w:r>
              <w:rPr>
                <w:color w:val="auto"/>
              </w:rPr>
              <w:t>指单车平均运载量（单位：</w:t>
            </w:r>
            <w:r>
              <w:rPr>
                <w:rFonts w:hint="eastAsia"/>
                <w:color w:val="auto"/>
              </w:rPr>
              <w:t>t</w:t>
            </w:r>
            <w:r>
              <w:rPr>
                <w:color w:val="auto"/>
              </w:rPr>
              <w:t>/车）</w:t>
            </w:r>
            <w:r>
              <w:rPr>
                <w:rFonts w:hint="eastAsia"/>
                <w:color w:val="auto"/>
              </w:rPr>
              <w:t>：</w:t>
            </w:r>
            <w:r>
              <w:rPr>
                <w:color w:val="auto"/>
              </w:rPr>
              <w:t>25</w:t>
            </w:r>
            <w:r>
              <w:rPr>
                <w:rFonts w:hint="eastAsia"/>
                <w:color w:val="auto"/>
              </w:rPr>
              <w:t>t/车；</w:t>
            </w:r>
          </w:p>
          <w:p>
            <w:pPr>
              <w:pStyle w:val="69"/>
              <w:spacing w:line="240" w:lineRule="auto"/>
              <w:rPr>
                <w:color w:val="auto"/>
              </w:rPr>
            </w:pPr>
            <w:r>
              <w:rPr>
                <w:color w:val="auto"/>
              </w:rPr>
              <w:object>
                <v:shape id="_x0000_i1033" o:spt="75" type="#_x0000_t75" style="height:33.75pt;width:24pt;" o:ole="t" filled="f" o:preferrelative="t" stroked="f" coordsize="21600,21600">
                  <v:path/>
                  <v:fill on="f" focussize="0,0"/>
                  <v:stroke on="f" joinstyle="miter"/>
                  <v:imagedata r:id="rId26" o:title=""/>
                  <o:lock v:ext="edit" aspectratio="f"/>
                  <w10:wrap type="none"/>
                  <w10:anchorlock/>
                </v:shape>
                <o:OLEObject Type="Embed" ProgID="Equation.DSMT4" ShapeID="_x0000_i1033" DrawAspect="Content" ObjectID="_1468075734" r:id="rId25">
                  <o:LockedField>false</o:LockedField>
                </o:OLEObject>
              </w:object>
            </w:r>
            <w:r>
              <w:rPr>
                <w:color w:val="auto"/>
              </w:rPr>
              <w:t>指装卸扬尘概化系数（单位：</w:t>
            </w:r>
            <w:r>
              <w:rPr>
                <w:rFonts w:hint="eastAsia"/>
                <w:color w:val="auto"/>
              </w:rPr>
              <w:t>kg/t</w:t>
            </w:r>
            <w:r>
              <w:rPr>
                <w:color w:val="auto"/>
              </w:rPr>
              <w:t>），a指各省风速概化系数</w:t>
            </w:r>
            <w:r>
              <w:rPr>
                <w:rFonts w:hint="eastAsia"/>
                <w:color w:val="auto"/>
              </w:rPr>
              <w:t>：0.0011，</w:t>
            </w:r>
            <w:r>
              <w:rPr>
                <w:color w:val="auto"/>
              </w:rPr>
              <w:t>b指物料含水率概化系数</w:t>
            </w:r>
            <w:r>
              <w:rPr>
                <w:rFonts w:hint="eastAsia"/>
                <w:color w:val="auto"/>
              </w:rPr>
              <w:t>：0.0084；</w:t>
            </w:r>
          </w:p>
          <w:p>
            <w:pPr>
              <w:pStyle w:val="69"/>
              <w:rPr>
                <w:color w:val="auto"/>
              </w:rPr>
            </w:pPr>
            <w:r>
              <w:rPr>
                <w:color w:val="auto"/>
              </w:rPr>
              <w:object>
                <v:shape id="_x0000_i1034" o:spt="75" type="#_x0000_t75" style="height:18.75pt;width:17.25pt;" o:ole="t" filled="f" o:preferrelative="t" stroked="f" coordsize="21600,21600">
                  <v:path/>
                  <v:fill on="f" focussize="0,0"/>
                  <v:stroke on="f" joinstyle="miter"/>
                  <v:imagedata r:id="rId28" o:title=""/>
                  <o:lock v:ext="edit" aspectratio="f"/>
                  <w10:wrap type="none"/>
                  <w10:anchorlock/>
                </v:shape>
                <o:OLEObject Type="Embed" ProgID="Equation.DSMT4" ShapeID="_x0000_i1034" DrawAspect="Content" ObjectID="_1468075735" r:id="rId27">
                  <o:LockedField>false</o:LockedField>
                </o:OLEObject>
              </w:object>
            </w:r>
            <w:r>
              <w:rPr>
                <w:color w:val="auto"/>
              </w:rPr>
              <w:t>指堆场风蚀扬尘概化系数，（单位：kg/m</w:t>
            </w:r>
            <w:r>
              <w:rPr>
                <w:color w:val="auto"/>
                <w:vertAlign w:val="superscript"/>
              </w:rPr>
              <w:t>2</w:t>
            </w:r>
            <w:r>
              <w:rPr>
                <w:color w:val="auto"/>
              </w:rPr>
              <w:t>）</w:t>
            </w:r>
            <w:r>
              <w:rPr>
                <w:rFonts w:hint="eastAsia"/>
                <w:color w:val="auto"/>
              </w:rPr>
              <w:t>：3.6062</w:t>
            </w:r>
            <w:r>
              <w:rPr>
                <w:color w:val="auto"/>
              </w:rPr>
              <w:t>kg/m</w:t>
            </w:r>
            <w:r>
              <w:rPr>
                <w:color w:val="auto"/>
                <w:vertAlign w:val="superscript"/>
              </w:rPr>
              <w:t>2</w:t>
            </w:r>
            <w:r>
              <w:rPr>
                <w:color w:val="auto"/>
              </w:rPr>
              <w:t>；</w:t>
            </w:r>
          </w:p>
          <w:p>
            <w:pPr>
              <w:pStyle w:val="69"/>
              <w:rPr>
                <w:color w:val="auto"/>
              </w:rPr>
            </w:pPr>
            <w:r>
              <w:rPr>
                <w:color w:val="auto"/>
              </w:rPr>
              <w:object>
                <v:shape id="_x0000_i1035" o:spt="75" type="#_x0000_t75" style="height:14.25pt;width:11.25pt;" o:ole="t" filled="f" o:preferrelative="t" stroked="f" coordsize="21600,21600">
                  <v:path/>
                  <v:fill on="f" focussize="0,0"/>
                  <v:stroke on="f" joinstyle="miter"/>
                  <v:imagedata r:id="rId30" o:title=""/>
                  <o:lock v:ext="edit" aspectratio="f"/>
                  <w10:wrap type="none"/>
                  <w10:anchorlock/>
                </v:shape>
                <o:OLEObject Type="Embed" ProgID="Equation.DSMT4" ShapeID="_x0000_i1035" DrawAspect="Content" ObjectID="_1468075736" r:id="rId29">
                  <o:LockedField>false</o:LockedField>
                </o:OLEObject>
              </w:object>
            </w:r>
            <w:r>
              <w:rPr>
                <w:color w:val="auto"/>
              </w:rPr>
              <w:t>指堆场占地面积（单位：平方米）</w:t>
            </w:r>
            <w:r>
              <w:rPr>
                <w:rFonts w:hint="eastAsia"/>
                <w:color w:val="auto"/>
              </w:rPr>
              <w:t>：（本次评价按1</w:t>
            </w:r>
            <w:r>
              <w:rPr>
                <w:color w:val="auto"/>
              </w:rPr>
              <w:t>000</w:t>
            </w:r>
            <w:r>
              <w:rPr>
                <w:rFonts w:hint="eastAsia"/>
                <w:color w:val="auto"/>
              </w:rPr>
              <w:t>m</w:t>
            </w:r>
            <w:r>
              <w:rPr>
                <w:rFonts w:hint="eastAsia"/>
                <w:color w:val="auto"/>
                <w:vertAlign w:val="superscript"/>
              </w:rPr>
              <w:t>2</w:t>
            </w:r>
            <w:r>
              <w:rPr>
                <w:rFonts w:hint="eastAsia"/>
                <w:color w:val="auto"/>
              </w:rPr>
              <w:t>计）</w:t>
            </w:r>
            <w:r>
              <w:rPr>
                <w:color w:val="auto"/>
              </w:rPr>
              <w:t>。</w:t>
            </w:r>
          </w:p>
          <w:p>
            <w:pPr>
              <w:pStyle w:val="69"/>
              <w:rPr>
                <w:color w:val="auto"/>
              </w:rPr>
            </w:pPr>
            <w:r>
              <w:rPr>
                <w:color w:val="auto"/>
              </w:rPr>
              <w:t>根据公式计算得，本项目</w:t>
            </w:r>
            <w:r>
              <w:rPr>
                <w:rFonts w:hint="eastAsia"/>
                <w:color w:val="auto"/>
              </w:rPr>
              <w:t>混凝土生产线砂石料</w:t>
            </w:r>
            <w:r>
              <w:rPr>
                <w:color w:val="auto"/>
              </w:rPr>
              <w:t>装卸起尘量约为</w:t>
            </w:r>
            <w:r>
              <w:rPr>
                <w:rFonts w:hint="eastAsia"/>
                <w:color w:val="auto"/>
              </w:rPr>
              <w:t>164.76</w:t>
            </w:r>
            <w:r>
              <w:rPr>
                <w:color w:val="auto"/>
              </w:rPr>
              <w:t>t/a</w:t>
            </w:r>
            <w:r>
              <w:rPr>
                <w:rFonts w:hint="eastAsia"/>
                <w:color w:val="auto"/>
              </w:rPr>
              <w:t>。</w:t>
            </w:r>
          </w:p>
          <w:p>
            <w:pPr>
              <w:pStyle w:val="69"/>
              <w:rPr>
                <w:color w:val="auto"/>
              </w:rPr>
            </w:pPr>
            <w:r>
              <w:rPr>
                <w:rFonts w:hint="eastAsia"/>
                <w:color w:val="auto"/>
              </w:rPr>
              <w:t>②堆场扬尘污染防治措施</w:t>
            </w:r>
          </w:p>
          <w:p>
            <w:pPr>
              <w:pStyle w:val="69"/>
              <w:rPr>
                <w:color w:val="auto"/>
              </w:rPr>
            </w:pPr>
            <w:r>
              <w:rPr>
                <w:color w:val="auto"/>
              </w:rPr>
              <w:t>根据《工业料堆场扬尘整治规范》（DB65/T 4061-2017）表1工业料堆场类型划分，工业料堆场所在地环境敏感程度、堆场规模、当地年平均风速、物料粒度，将工业料堆场划分为Ⅰ、Ⅱ和Ⅲ三个类型，其分类判据见表4-</w:t>
            </w:r>
            <w:r>
              <w:rPr>
                <w:rFonts w:hint="eastAsia"/>
                <w:color w:val="auto"/>
                <w:lang w:val="en-US" w:eastAsia="zh-CN"/>
              </w:rPr>
              <w:t>4</w:t>
            </w:r>
            <w:r>
              <w:rPr>
                <w:color w:val="auto"/>
              </w:rPr>
              <w:t>。</w:t>
            </w:r>
          </w:p>
          <w:p>
            <w:pPr>
              <w:widowControl/>
              <w:topLinePunct/>
              <w:adjustRightInd w:val="0"/>
              <w:snapToGrid w:val="0"/>
              <w:jc w:val="center"/>
              <w:rPr>
                <w:rFonts w:ascii="Times New Roman" w:hAnsi="Times New Roman" w:eastAsia="宋体" w:cs="Times New Roman"/>
                <w:b/>
                <w:color w:val="auto"/>
                <w:szCs w:val="21"/>
                <w:lang w:val="zh-TW"/>
              </w:rPr>
            </w:pPr>
            <w:r>
              <w:rPr>
                <w:rFonts w:ascii="Times New Roman" w:hAnsi="Times New Roman" w:eastAsia="宋体" w:cs="Times New Roman"/>
                <w:b/>
                <w:color w:val="auto"/>
                <w:szCs w:val="21"/>
                <w:lang w:val="zh-TW"/>
              </w:rPr>
              <w:t>表</w:t>
            </w:r>
            <w:r>
              <w:rPr>
                <w:rFonts w:ascii="Times New Roman" w:hAnsi="Times New Roman" w:eastAsia="宋体" w:cs="Times New Roman"/>
                <w:b/>
                <w:color w:val="auto"/>
                <w:szCs w:val="21"/>
              </w:rPr>
              <w:t>4-</w:t>
            </w:r>
            <w:r>
              <w:rPr>
                <w:rFonts w:hint="eastAsia" w:ascii="Times New Roman" w:hAnsi="Times New Roman" w:eastAsia="宋体" w:cs="Times New Roman"/>
                <w:b/>
                <w:color w:val="auto"/>
                <w:szCs w:val="21"/>
                <w:lang w:val="en-US" w:eastAsia="zh-CN"/>
              </w:rPr>
              <w:t>4</w:t>
            </w:r>
            <w:r>
              <w:rPr>
                <w:rFonts w:ascii="Times New Roman" w:hAnsi="Times New Roman" w:eastAsia="宋体" w:cs="Times New Roman"/>
                <w:b/>
                <w:color w:val="auto"/>
                <w:szCs w:val="21"/>
                <w:lang w:val="zh-TW"/>
              </w:rPr>
              <w:t xml:space="preserve">    工业料堆场类型划分</w:t>
            </w:r>
          </w:p>
          <w:tbl>
            <w:tblPr>
              <w:tblStyle w:val="30"/>
              <w:tblW w:w="5000" w:type="pct"/>
              <w:jc w:val="center"/>
              <w:tblLayout w:type="fixed"/>
              <w:tblCellMar>
                <w:top w:w="0" w:type="dxa"/>
                <w:left w:w="108" w:type="dxa"/>
                <w:bottom w:w="0" w:type="dxa"/>
                <w:right w:w="108" w:type="dxa"/>
              </w:tblCellMar>
            </w:tblPr>
            <w:tblGrid>
              <w:gridCol w:w="1189"/>
              <w:gridCol w:w="1384"/>
              <w:gridCol w:w="1349"/>
              <w:gridCol w:w="1491"/>
              <w:gridCol w:w="1489"/>
              <w:gridCol w:w="1342"/>
            </w:tblGrid>
            <w:tr>
              <w:tblPrEx>
                <w:tblCellMar>
                  <w:top w:w="0" w:type="dxa"/>
                  <w:left w:w="108" w:type="dxa"/>
                  <w:bottom w:w="0" w:type="dxa"/>
                  <w:right w:w="108" w:type="dxa"/>
                </w:tblCellMar>
              </w:tblPrEx>
              <w:trPr>
                <w:jc w:val="center"/>
              </w:trPr>
              <w:tc>
                <w:tcPr>
                  <w:tcW w:w="721" w:type="pct"/>
                  <w:vMerge w:val="restart"/>
                  <w:tcBorders>
                    <w:top w:val="single" w:color="auto" w:sz="12" w:space="0"/>
                    <w:right w:val="single" w:color="auto" w:sz="4" w:space="0"/>
                  </w:tcBorders>
                  <w:vAlign w:val="center"/>
                </w:tcPr>
                <w:p>
                  <w:pPr>
                    <w:pStyle w:val="103"/>
                    <w:ind w:left="-63" w:right="-63"/>
                    <w:rPr>
                      <w:color w:val="auto"/>
                    </w:rPr>
                  </w:pPr>
                  <w:r>
                    <w:rPr>
                      <w:color w:val="auto"/>
                    </w:rPr>
                    <w:t>环境控制区</w:t>
                  </w:r>
                </w:p>
              </w:tc>
              <w:tc>
                <w:tcPr>
                  <w:tcW w:w="839" w:type="pct"/>
                  <w:vMerge w:val="restart"/>
                  <w:tcBorders>
                    <w:top w:val="single" w:color="auto" w:sz="12" w:space="0"/>
                    <w:left w:val="nil"/>
                    <w:right w:val="single" w:color="auto" w:sz="4" w:space="0"/>
                  </w:tcBorders>
                  <w:vAlign w:val="center"/>
                </w:tcPr>
                <w:p>
                  <w:pPr>
                    <w:pStyle w:val="103"/>
                    <w:ind w:left="-63" w:right="-63"/>
                    <w:rPr>
                      <w:color w:val="auto"/>
                    </w:rPr>
                  </w:pPr>
                  <w:r>
                    <w:rPr>
                      <w:color w:val="auto"/>
                    </w:rPr>
                    <w:t>规模（m</w:t>
                  </w:r>
                  <w:r>
                    <w:rPr>
                      <w:color w:val="auto"/>
                      <w:vertAlign w:val="superscript"/>
                    </w:rPr>
                    <w:t>3</w:t>
                  </w:r>
                  <w:r>
                    <w:rPr>
                      <w:color w:val="auto"/>
                    </w:rPr>
                    <w:t>）</w:t>
                  </w:r>
                </w:p>
              </w:tc>
              <w:tc>
                <w:tcPr>
                  <w:tcW w:w="818" w:type="pct"/>
                  <w:vMerge w:val="restart"/>
                  <w:tcBorders>
                    <w:top w:val="single" w:color="auto" w:sz="12" w:space="0"/>
                    <w:left w:val="nil"/>
                    <w:right w:val="single" w:color="auto" w:sz="4" w:space="0"/>
                  </w:tcBorders>
                  <w:vAlign w:val="center"/>
                </w:tcPr>
                <w:p>
                  <w:pPr>
                    <w:pStyle w:val="103"/>
                    <w:ind w:left="-63" w:right="-63"/>
                    <w:rPr>
                      <w:color w:val="auto"/>
                    </w:rPr>
                  </w:pPr>
                  <w:r>
                    <w:rPr>
                      <w:color w:val="auto"/>
                    </w:rPr>
                    <w:t>风速（m/s）</w:t>
                  </w:r>
                </w:p>
              </w:tc>
              <w:tc>
                <w:tcPr>
                  <w:tcW w:w="2621" w:type="pct"/>
                  <w:gridSpan w:val="3"/>
                  <w:tcBorders>
                    <w:top w:val="single" w:color="auto" w:sz="12" w:space="0"/>
                    <w:left w:val="nil"/>
                    <w:bottom w:val="single" w:color="auto" w:sz="4" w:space="0"/>
                  </w:tcBorders>
                  <w:vAlign w:val="center"/>
                </w:tcPr>
                <w:p>
                  <w:pPr>
                    <w:pStyle w:val="103"/>
                    <w:ind w:left="-63" w:right="-63"/>
                    <w:rPr>
                      <w:color w:val="auto"/>
                    </w:rPr>
                  </w:pPr>
                  <w:r>
                    <w:rPr>
                      <w:color w:val="auto"/>
                    </w:rPr>
                    <w:t>粒度（mm）</w:t>
                  </w:r>
                </w:p>
              </w:tc>
            </w:tr>
            <w:tr>
              <w:tblPrEx>
                <w:tblCellMar>
                  <w:top w:w="0" w:type="dxa"/>
                  <w:left w:w="108" w:type="dxa"/>
                  <w:bottom w:w="0" w:type="dxa"/>
                  <w:right w:w="108" w:type="dxa"/>
                </w:tblCellMar>
              </w:tblPrEx>
              <w:trPr>
                <w:jc w:val="center"/>
              </w:trPr>
              <w:tc>
                <w:tcPr>
                  <w:tcW w:w="721" w:type="pct"/>
                  <w:vMerge w:val="continue"/>
                  <w:tcBorders>
                    <w:bottom w:val="single" w:color="auto" w:sz="4" w:space="0"/>
                    <w:right w:val="single" w:color="auto" w:sz="4" w:space="0"/>
                  </w:tcBorders>
                  <w:vAlign w:val="center"/>
                </w:tcPr>
                <w:p>
                  <w:pPr>
                    <w:pStyle w:val="103"/>
                    <w:ind w:left="-63" w:right="-63"/>
                    <w:rPr>
                      <w:color w:val="auto"/>
                    </w:rPr>
                  </w:pPr>
                </w:p>
              </w:tc>
              <w:tc>
                <w:tcPr>
                  <w:tcW w:w="839" w:type="pct"/>
                  <w:vMerge w:val="continue"/>
                  <w:tcBorders>
                    <w:left w:val="nil"/>
                    <w:bottom w:val="single" w:color="auto" w:sz="4" w:space="0"/>
                    <w:right w:val="single" w:color="auto" w:sz="4" w:space="0"/>
                  </w:tcBorders>
                  <w:vAlign w:val="center"/>
                </w:tcPr>
                <w:p>
                  <w:pPr>
                    <w:pStyle w:val="103"/>
                    <w:ind w:left="-63" w:right="-63"/>
                    <w:rPr>
                      <w:color w:val="auto"/>
                    </w:rPr>
                  </w:pPr>
                </w:p>
              </w:tc>
              <w:tc>
                <w:tcPr>
                  <w:tcW w:w="818" w:type="pct"/>
                  <w:vMerge w:val="continue"/>
                  <w:tcBorders>
                    <w:left w:val="nil"/>
                    <w:bottom w:val="single" w:color="auto" w:sz="4" w:space="0"/>
                    <w:right w:val="single" w:color="auto" w:sz="4" w:space="0"/>
                  </w:tcBorders>
                  <w:vAlign w:val="center"/>
                </w:tcPr>
                <w:p>
                  <w:pPr>
                    <w:pStyle w:val="103"/>
                    <w:ind w:left="-63" w:right="-63"/>
                    <w:rPr>
                      <w:color w:val="auto"/>
                    </w:rPr>
                  </w:pPr>
                </w:p>
              </w:tc>
              <w:tc>
                <w:tcPr>
                  <w:tcW w:w="904" w:type="pct"/>
                  <w:tcBorders>
                    <w:top w:val="single" w:color="auto" w:sz="4" w:space="0"/>
                    <w:left w:val="nil"/>
                    <w:bottom w:val="single" w:color="auto" w:sz="4" w:space="0"/>
                    <w:right w:val="single" w:color="auto" w:sz="4" w:space="0"/>
                  </w:tcBorders>
                  <w:vAlign w:val="center"/>
                </w:tcPr>
                <w:p>
                  <w:pPr>
                    <w:pStyle w:val="103"/>
                    <w:ind w:left="-63" w:right="-63"/>
                    <w:rPr>
                      <w:color w:val="auto"/>
                    </w:rPr>
                  </w:pPr>
                  <w:r>
                    <w:rPr>
                      <w:color w:val="auto"/>
                    </w:rPr>
                    <w:t>粉体：≤0.5</w:t>
                  </w:r>
                </w:p>
              </w:tc>
              <w:tc>
                <w:tcPr>
                  <w:tcW w:w="903" w:type="pct"/>
                  <w:tcBorders>
                    <w:top w:val="single" w:color="auto" w:sz="4" w:space="0"/>
                    <w:left w:val="nil"/>
                    <w:bottom w:val="single" w:color="auto" w:sz="4" w:space="0"/>
                    <w:right w:val="single" w:color="auto" w:sz="4" w:space="0"/>
                  </w:tcBorders>
                  <w:vAlign w:val="center"/>
                </w:tcPr>
                <w:p>
                  <w:pPr>
                    <w:pStyle w:val="103"/>
                    <w:ind w:left="-63" w:right="-63"/>
                    <w:rPr>
                      <w:color w:val="auto"/>
                    </w:rPr>
                  </w:pPr>
                  <w:r>
                    <w:rPr>
                      <w:color w:val="auto"/>
                    </w:rPr>
                    <w:t>颗粒：0.5~13</w:t>
                  </w:r>
                </w:p>
              </w:tc>
              <w:tc>
                <w:tcPr>
                  <w:tcW w:w="813" w:type="pct"/>
                  <w:tcBorders>
                    <w:top w:val="single" w:color="auto" w:sz="4" w:space="0"/>
                    <w:left w:val="nil"/>
                    <w:bottom w:val="single" w:color="auto" w:sz="4" w:space="0"/>
                  </w:tcBorders>
                  <w:vAlign w:val="center"/>
                </w:tcPr>
                <w:p>
                  <w:pPr>
                    <w:pStyle w:val="103"/>
                    <w:ind w:left="-63" w:right="-63"/>
                    <w:rPr>
                      <w:color w:val="auto"/>
                    </w:rPr>
                  </w:pPr>
                  <w:r>
                    <w:rPr>
                      <w:color w:val="auto"/>
                    </w:rPr>
                    <w:t>块体：≥13</w:t>
                  </w:r>
                </w:p>
              </w:tc>
            </w:tr>
            <w:tr>
              <w:tblPrEx>
                <w:tblCellMar>
                  <w:top w:w="0" w:type="dxa"/>
                  <w:left w:w="108" w:type="dxa"/>
                  <w:bottom w:w="0" w:type="dxa"/>
                  <w:right w:w="108" w:type="dxa"/>
                </w:tblCellMar>
              </w:tblPrEx>
              <w:trPr>
                <w:jc w:val="center"/>
              </w:trPr>
              <w:tc>
                <w:tcPr>
                  <w:tcW w:w="721" w:type="pct"/>
                  <w:vMerge w:val="restart"/>
                  <w:tcBorders>
                    <w:top w:val="nil"/>
                    <w:bottom w:val="single" w:color="auto" w:sz="4" w:space="0"/>
                    <w:right w:val="single" w:color="auto" w:sz="4" w:space="0"/>
                  </w:tcBorders>
                  <w:vAlign w:val="center"/>
                </w:tcPr>
                <w:p>
                  <w:pPr>
                    <w:pStyle w:val="103"/>
                    <w:ind w:left="-63" w:right="-63"/>
                    <w:rPr>
                      <w:color w:val="auto"/>
                    </w:rPr>
                  </w:pPr>
                  <w:r>
                    <w:rPr>
                      <w:color w:val="auto"/>
                    </w:rPr>
                    <w:t>重点控制区</w:t>
                  </w: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≥10000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 xml:space="preserve">≥4 </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300~10000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≤300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restart"/>
                  <w:tcBorders>
                    <w:top w:val="nil"/>
                    <w:bottom w:val="single" w:color="auto" w:sz="4" w:space="0"/>
                    <w:right w:val="single" w:color="auto" w:sz="4" w:space="0"/>
                  </w:tcBorders>
                  <w:vAlign w:val="center"/>
                </w:tcPr>
                <w:p>
                  <w:pPr>
                    <w:pStyle w:val="103"/>
                    <w:ind w:left="-63" w:right="-63"/>
                    <w:rPr>
                      <w:color w:val="auto"/>
                    </w:rPr>
                  </w:pPr>
                  <w:r>
                    <w:rPr>
                      <w:color w:val="auto"/>
                    </w:rPr>
                    <w:t>一般控制区</w:t>
                  </w: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≥10000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300~10000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813" w:type="pct"/>
                  <w:tcBorders>
                    <w:top w:val="nil"/>
                    <w:left w:val="nil"/>
                    <w:bottom w:val="single" w:color="auto" w:sz="4" w:space="0"/>
                  </w:tcBorders>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trHeight w:val="299" w:hRule="atLeast"/>
                <w:jc w:val="center"/>
              </w:trPr>
              <w:tc>
                <w:tcPr>
                  <w:tcW w:w="721" w:type="pct"/>
                  <w:vMerge w:val="continue"/>
                  <w:tcBorders>
                    <w:top w:val="nil"/>
                    <w:bottom w:val="single" w:color="auto" w:sz="4" w:space="0"/>
                    <w:right w:val="single" w:color="auto" w:sz="4" w:space="0"/>
                  </w:tcBorders>
                  <w:shd w:val="clear" w:color="auto" w:fill="auto"/>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shd w:val="clear" w:color="auto" w:fill="auto"/>
                  <w:vAlign w:val="center"/>
                </w:tcPr>
                <w:p>
                  <w:pPr>
                    <w:pStyle w:val="103"/>
                    <w:ind w:left="-63" w:right="-63"/>
                    <w:rPr>
                      <w:color w:val="auto"/>
                    </w:rPr>
                  </w:pPr>
                </w:p>
              </w:tc>
              <w:tc>
                <w:tcPr>
                  <w:tcW w:w="818" w:type="pct"/>
                  <w:tcBorders>
                    <w:top w:val="nil"/>
                    <w:left w:val="nil"/>
                    <w:bottom w:val="single" w:color="auto" w:sz="4" w:space="0"/>
                    <w:right w:val="single" w:color="auto" w:sz="4" w:space="0"/>
                  </w:tcBorders>
                  <w:shd w:val="clear" w:color="auto" w:fill="auto"/>
                  <w:vAlign w:val="center"/>
                </w:tcPr>
                <w:p>
                  <w:pPr>
                    <w:pStyle w:val="103"/>
                    <w:ind w:left="-63" w:right="-63"/>
                    <w:rPr>
                      <w:color w:val="auto"/>
                    </w:rPr>
                  </w:pPr>
                  <w:r>
                    <w:rPr>
                      <w:color w:val="auto"/>
                    </w:rPr>
                    <w:t>2~4</w:t>
                  </w:r>
                </w:p>
              </w:tc>
              <w:tc>
                <w:tcPr>
                  <w:tcW w:w="904" w:type="pct"/>
                  <w:tcBorders>
                    <w:top w:val="single" w:color="auto" w:sz="4" w:space="0"/>
                    <w:left w:val="nil"/>
                    <w:bottom w:val="single" w:color="auto" w:sz="4" w:space="0"/>
                    <w:right w:val="single" w:color="auto" w:sz="4" w:space="0"/>
                  </w:tcBorders>
                  <w:shd w:val="clear" w:color="auto" w:fill="auto"/>
                  <w:vAlign w:val="center"/>
                </w:tcPr>
                <w:p>
                  <w:pPr>
                    <w:pStyle w:val="103"/>
                    <w:ind w:left="-63" w:right="-63"/>
                    <w:rPr>
                      <w:color w:val="auto"/>
                    </w:rPr>
                  </w:pPr>
                  <w:r>
                    <w:rPr>
                      <w:color w:val="auto"/>
                    </w:rPr>
                    <w:t>Ⅰ</w:t>
                  </w:r>
                </w:p>
              </w:tc>
              <w:tc>
                <w:tcPr>
                  <w:tcW w:w="903" w:type="pct"/>
                  <w:tcBorders>
                    <w:top w:val="single" w:color="auto" w:sz="4" w:space="0"/>
                    <w:left w:val="nil"/>
                    <w:bottom w:val="single" w:color="auto" w:sz="4" w:space="0"/>
                    <w:right w:val="single" w:color="auto" w:sz="4" w:space="0"/>
                  </w:tcBorders>
                  <w:shd w:val="clear" w:color="auto" w:fill="auto"/>
                  <w:vAlign w:val="center"/>
                </w:tcPr>
                <w:p>
                  <w:pPr>
                    <w:pStyle w:val="103"/>
                    <w:ind w:left="-63" w:right="-63"/>
                    <w:rPr>
                      <w:color w:val="auto"/>
                    </w:rPr>
                  </w:pPr>
                  <w:r>
                    <w:rPr>
                      <w:color w:val="auto"/>
                    </w:rPr>
                    <w:t>Ⅱ</w:t>
                  </w:r>
                </w:p>
              </w:tc>
              <w:tc>
                <w:tcPr>
                  <w:tcW w:w="813" w:type="pct"/>
                  <w:tcBorders>
                    <w:top w:val="nil"/>
                    <w:left w:val="nil"/>
                    <w:bottom w:val="single" w:color="auto" w:sz="4" w:space="0"/>
                  </w:tcBorders>
                  <w:shd w:val="clear" w:color="auto" w:fill="auto"/>
                  <w:vAlign w:val="center"/>
                </w:tcPr>
                <w:p>
                  <w:pPr>
                    <w:pStyle w:val="103"/>
                    <w:ind w:left="-63" w:right="-63"/>
                    <w:rPr>
                      <w:color w:val="auto"/>
                    </w:rPr>
                  </w:pPr>
                  <w:r>
                    <w:rPr>
                      <w:color w:val="auto"/>
                    </w:rPr>
                    <w:t>Ⅱ</w:t>
                  </w:r>
                </w:p>
              </w:tc>
            </w:tr>
            <w:tr>
              <w:tblPrEx>
                <w:tblCellMar>
                  <w:top w:w="0" w:type="dxa"/>
                  <w:left w:w="108" w:type="dxa"/>
                  <w:bottom w:w="0" w:type="dxa"/>
                  <w:right w:w="108" w:type="dxa"/>
                </w:tblCellMar>
              </w:tblPrEx>
              <w:trPr>
                <w:trHeight w:val="90" w:hRule="atLeast"/>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w:t>
                  </w:r>
                </w:p>
              </w:tc>
              <w:tc>
                <w:tcPr>
                  <w:tcW w:w="904" w:type="pct"/>
                  <w:tcBorders>
                    <w:top w:val="single" w:color="auto" w:sz="4" w:space="0"/>
                    <w:left w:val="nil"/>
                    <w:bottom w:val="single" w:color="auto" w:sz="4" w:space="0"/>
                    <w:right w:val="single" w:color="auto" w:sz="4" w:space="0"/>
                  </w:tcBorders>
                  <w:shd w:val="clear" w:color="auto" w:fill="auto"/>
                  <w:vAlign w:val="center"/>
                </w:tcPr>
                <w:p>
                  <w:pPr>
                    <w:pStyle w:val="103"/>
                    <w:ind w:left="-63" w:right="-63"/>
                    <w:rPr>
                      <w:color w:val="auto"/>
                    </w:rPr>
                  </w:pPr>
                  <w:r>
                    <w:rPr>
                      <w:color w:val="auto"/>
                    </w:rPr>
                    <w:t>Ⅰ</w:t>
                  </w:r>
                </w:p>
              </w:tc>
              <w:tc>
                <w:tcPr>
                  <w:tcW w:w="903" w:type="pct"/>
                  <w:tcBorders>
                    <w:top w:val="single" w:color="auto" w:sz="4" w:space="0"/>
                    <w:left w:val="nil"/>
                    <w:bottom w:val="single" w:color="auto" w:sz="4" w:space="0"/>
                    <w:right w:val="single" w:color="auto" w:sz="4" w:space="0"/>
                  </w:tcBorders>
                  <w:shd w:val="clear" w:color="auto" w:fill="F79646" w:themeFill="accent6"/>
                  <w:vAlign w:val="center"/>
                </w:tcPr>
                <w:p>
                  <w:pPr>
                    <w:pStyle w:val="103"/>
                    <w:ind w:left="-63" w:right="-63"/>
                    <w:rPr>
                      <w:color w:val="auto"/>
                    </w:rPr>
                  </w:pPr>
                  <w:r>
                    <w:rPr>
                      <w:color w:val="auto"/>
                    </w:rPr>
                    <w:t>Ⅱ</w:t>
                  </w:r>
                </w:p>
              </w:tc>
              <w:tc>
                <w:tcPr>
                  <w:tcW w:w="813" w:type="pct"/>
                  <w:tcBorders>
                    <w:top w:val="single" w:color="auto" w:sz="4" w:space="0"/>
                    <w:left w:val="nil"/>
                    <w:bottom w:val="single" w:color="auto" w:sz="4" w:space="0"/>
                  </w:tcBorders>
                  <w:shd w:val="clear" w:color="auto" w:fill="auto"/>
                  <w:vAlign w:val="center"/>
                </w:tcPr>
                <w:p>
                  <w:pPr>
                    <w:pStyle w:val="103"/>
                    <w:ind w:left="-63" w:right="-63"/>
                    <w:rPr>
                      <w:color w:val="auto"/>
                    </w:rPr>
                  </w:pPr>
                  <w:r>
                    <w:rPr>
                      <w:color w:val="auto"/>
                    </w:rPr>
                    <w:t>Ⅲ</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restart"/>
                  <w:tcBorders>
                    <w:top w:val="nil"/>
                    <w:left w:val="single" w:color="auto" w:sz="4" w:space="0"/>
                    <w:bottom w:val="single" w:color="auto" w:sz="4" w:space="0"/>
                    <w:right w:val="single" w:color="auto" w:sz="4" w:space="0"/>
                  </w:tcBorders>
                  <w:vAlign w:val="center"/>
                </w:tcPr>
                <w:p>
                  <w:pPr>
                    <w:pStyle w:val="103"/>
                    <w:ind w:left="-63" w:right="-63"/>
                    <w:rPr>
                      <w:color w:val="auto"/>
                    </w:rPr>
                  </w:pPr>
                  <w:r>
                    <w:rPr>
                      <w:color w:val="auto"/>
                    </w:rPr>
                    <w:t>≤300</w:t>
                  </w: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4" w:space="0"/>
                  </w:tcBorders>
                  <w:vAlign w:val="center"/>
                </w:tcPr>
                <w:p>
                  <w:pPr>
                    <w:pStyle w:val="103"/>
                    <w:ind w:left="-63" w:right="-63"/>
                    <w:rPr>
                      <w:color w:val="auto"/>
                    </w:rPr>
                  </w:pPr>
                  <w:r>
                    <w:rPr>
                      <w:color w:val="auto"/>
                    </w:rPr>
                    <w:t>Ⅲ</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4"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4" w:space="0"/>
                    <w:right w:val="single" w:color="auto" w:sz="4" w:space="0"/>
                  </w:tcBorders>
                  <w:vAlign w:val="center"/>
                </w:tcPr>
                <w:p>
                  <w:pPr>
                    <w:pStyle w:val="103"/>
                    <w:ind w:left="-63" w:right="-63"/>
                    <w:rPr>
                      <w:color w:val="auto"/>
                    </w:rPr>
                  </w:pPr>
                </w:p>
              </w:tc>
              <w:tc>
                <w:tcPr>
                  <w:tcW w:w="818" w:type="pct"/>
                  <w:tcBorders>
                    <w:top w:val="nil"/>
                    <w:left w:val="nil"/>
                    <w:bottom w:val="single" w:color="auto" w:sz="4" w:space="0"/>
                    <w:right w:val="single" w:color="auto" w:sz="4" w:space="0"/>
                  </w:tcBorders>
                  <w:vAlign w:val="center"/>
                </w:tcPr>
                <w:p>
                  <w:pPr>
                    <w:pStyle w:val="103"/>
                    <w:ind w:left="-63" w:right="-63"/>
                    <w:rPr>
                      <w:color w:val="auto"/>
                    </w:rPr>
                  </w:pPr>
                  <w:r>
                    <w:rPr>
                      <w:color w:val="auto"/>
                    </w:rPr>
                    <w:t>2~4</w:t>
                  </w:r>
                </w:p>
              </w:tc>
              <w:tc>
                <w:tcPr>
                  <w:tcW w:w="904" w:type="pct"/>
                  <w:tcBorders>
                    <w:top w:val="nil"/>
                    <w:left w:val="nil"/>
                    <w:bottom w:val="single" w:color="auto" w:sz="4"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4"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4" w:space="0"/>
                  </w:tcBorders>
                  <w:vAlign w:val="center"/>
                </w:tcPr>
                <w:p>
                  <w:pPr>
                    <w:pStyle w:val="103"/>
                    <w:ind w:left="-63" w:right="-63"/>
                    <w:rPr>
                      <w:color w:val="auto"/>
                    </w:rPr>
                  </w:pPr>
                  <w:r>
                    <w:rPr>
                      <w:color w:val="auto"/>
                    </w:rPr>
                    <w:t>Ⅲ</w:t>
                  </w:r>
                </w:p>
              </w:tc>
            </w:tr>
            <w:tr>
              <w:tblPrEx>
                <w:tblCellMar>
                  <w:top w:w="0" w:type="dxa"/>
                  <w:left w:w="108" w:type="dxa"/>
                  <w:bottom w:w="0" w:type="dxa"/>
                  <w:right w:w="108" w:type="dxa"/>
                </w:tblCellMar>
              </w:tblPrEx>
              <w:trPr>
                <w:jc w:val="center"/>
              </w:trPr>
              <w:tc>
                <w:tcPr>
                  <w:tcW w:w="721" w:type="pct"/>
                  <w:vMerge w:val="continue"/>
                  <w:tcBorders>
                    <w:top w:val="nil"/>
                    <w:bottom w:val="single" w:color="auto" w:sz="12" w:space="0"/>
                    <w:right w:val="single" w:color="auto" w:sz="4" w:space="0"/>
                  </w:tcBorders>
                  <w:vAlign w:val="center"/>
                </w:tcPr>
                <w:p>
                  <w:pPr>
                    <w:pStyle w:val="103"/>
                    <w:ind w:left="-63" w:right="-63"/>
                    <w:rPr>
                      <w:color w:val="auto"/>
                    </w:rPr>
                  </w:pPr>
                </w:p>
              </w:tc>
              <w:tc>
                <w:tcPr>
                  <w:tcW w:w="839" w:type="pct"/>
                  <w:vMerge w:val="continue"/>
                  <w:tcBorders>
                    <w:top w:val="nil"/>
                    <w:left w:val="single" w:color="auto" w:sz="4" w:space="0"/>
                    <w:bottom w:val="single" w:color="auto" w:sz="12" w:space="0"/>
                    <w:right w:val="single" w:color="auto" w:sz="4" w:space="0"/>
                  </w:tcBorders>
                  <w:vAlign w:val="center"/>
                </w:tcPr>
                <w:p>
                  <w:pPr>
                    <w:pStyle w:val="103"/>
                    <w:ind w:left="-63" w:right="-63"/>
                    <w:rPr>
                      <w:color w:val="auto"/>
                    </w:rPr>
                  </w:pPr>
                </w:p>
              </w:tc>
              <w:tc>
                <w:tcPr>
                  <w:tcW w:w="818" w:type="pct"/>
                  <w:tcBorders>
                    <w:top w:val="nil"/>
                    <w:left w:val="nil"/>
                    <w:bottom w:val="single" w:color="auto" w:sz="12" w:space="0"/>
                    <w:right w:val="single" w:color="auto" w:sz="4" w:space="0"/>
                  </w:tcBorders>
                  <w:vAlign w:val="center"/>
                </w:tcPr>
                <w:p>
                  <w:pPr>
                    <w:pStyle w:val="103"/>
                    <w:ind w:left="-63" w:right="-63"/>
                    <w:rPr>
                      <w:color w:val="auto"/>
                    </w:rPr>
                  </w:pPr>
                  <w:r>
                    <w:rPr>
                      <w:color w:val="auto"/>
                    </w:rPr>
                    <w:t>≤2</w:t>
                  </w:r>
                </w:p>
              </w:tc>
              <w:tc>
                <w:tcPr>
                  <w:tcW w:w="904" w:type="pct"/>
                  <w:tcBorders>
                    <w:top w:val="nil"/>
                    <w:left w:val="nil"/>
                    <w:bottom w:val="single" w:color="auto" w:sz="12" w:space="0"/>
                    <w:right w:val="single" w:color="auto" w:sz="4" w:space="0"/>
                  </w:tcBorders>
                  <w:vAlign w:val="center"/>
                </w:tcPr>
                <w:p>
                  <w:pPr>
                    <w:pStyle w:val="103"/>
                    <w:ind w:left="-63" w:right="-63"/>
                    <w:rPr>
                      <w:color w:val="auto"/>
                    </w:rPr>
                  </w:pPr>
                  <w:r>
                    <w:rPr>
                      <w:color w:val="auto"/>
                    </w:rPr>
                    <w:t>Ⅰ</w:t>
                  </w:r>
                </w:p>
              </w:tc>
              <w:tc>
                <w:tcPr>
                  <w:tcW w:w="903" w:type="pct"/>
                  <w:tcBorders>
                    <w:top w:val="nil"/>
                    <w:left w:val="nil"/>
                    <w:bottom w:val="single" w:color="auto" w:sz="12" w:space="0"/>
                    <w:right w:val="single" w:color="auto" w:sz="4" w:space="0"/>
                  </w:tcBorders>
                  <w:vAlign w:val="center"/>
                </w:tcPr>
                <w:p>
                  <w:pPr>
                    <w:pStyle w:val="103"/>
                    <w:ind w:left="-63" w:right="-63"/>
                    <w:rPr>
                      <w:color w:val="auto"/>
                    </w:rPr>
                  </w:pPr>
                  <w:r>
                    <w:rPr>
                      <w:color w:val="auto"/>
                    </w:rPr>
                    <w:t>Ⅱ</w:t>
                  </w:r>
                </w:p>
              </w:tc>
              <w:tc>
                <w:tcPr>
                  <w:tcW w:w="813" w:type="pct"/>
                  <w:tcBorders>
                    <w:top w:val="nil"/>
                    <w:left w:val="nil"/>
                    <w:bottom w:val="single" w:color="auto" w:sz="12" w:space="0"/>
                  </w:tcBorders>
                  <w:vAlign w:val="center"/>
                </w:tcPr>
                <w:p>
                  <w:pPr>
                    <w:pStyle w:val="103"/>
                    <w:ind w:left="-63" w:right="-63"/>
                    <w:rPr>
                      <w:color w:val="auto"/>
                    </w:rPr>
                  </w:pPr>
                  <w:r>
                    <w:rPr>
                      <w:color w:val="auto"/>
                    </w:rPr>
                    <w:t>Ⅲ</w:t>
                  </w:r>
                </w:p>
              </w:tc>
            </w:tr>
          </w:tbl>
          <w:p>
            <w:pPr>
              <w:pStyle w:val="69"/>
              <w:rPr>
                <w:color w:val="auto"/>
              </w:rPr>
            </w:pPr>
            <w:r>
              <w:rPr>
                <w:color w:val="auto"/>
              </w:rPr>
              <w:t>由上表可知，本项目</w:t>
            </w:r>
            <w:r>
              <w:rPr>
                <w:rFonts w:hint="eastAsia"/>
                <w:color w:val="auto"/>
              </w:rPr>
              <w:t>砂石料堆场</w:t>
            </w:r>
            <w:r>
              <w:rPr>
                <w:color w:val="auto"/>
              </w:rPr>
              <w:t>所在地为一般控制区，</w:t>
            </w:r>
            <w:r>
              <w:rPr>
                <w:rFonts w:hint="eastAsia"/>
                <w:color w:val="auto"/>
              </w:rPr>
              <w:t>堆场堆存规模在300-10000m</w:t>
            </w:r>
            <w:r>
              <w:rPr>
                <w:rFonts w:hint="eastAsia"/>
                <w:color w:val="auto"/>
                <w:vertAlign w:val="superscript"/>
              </w:rPr>
              <w:t>3</w:t>
            </w:r>
            <w:r>
              <w:rPr>
                <w:rFonts w:hint="eastAsia"/>
                <w:color w:val="auto"/>
              </w:rPr>
              <w:t>之间，项目区多年</w:t>
            </w:r>
            <w:r>
              <w:rPr>
                <w:color w:val="auto"/>
              </w:rPr>
              <w:t>平均风速</w:t>
            </w:r>
            <w:r>
              <w:rPr>
                <w:rFonts w:hint="eastAsia"/>
                <w:color w:val="auto"/>
              </w:rPr>
              <w:t>1.3</w:t>
            </w:r>
            <w:r>
              <w:rPr>
                <w:color w:val="auto"/>
              </w:rPr>
              <w:t>m/s，本项目</w:t>
            </w:r>
            <w:r>
              <w:rPr>
                <w:rFonts w:hint="eastAsia"/>
                <w:color w:val="auto"/>
              </w:rPr>
              <w:t>细料为水洗砂，起尘量有限，中石子及小石子粒径0</w:t>
            </w:r>
            <w:r>
              <w:rPr>
                <w:color w:val="auto"/>
              </w:rPr>
              <w:t>.5</w:t>
            </w:r>
            <w:r>
              <w:rPr>
                <w:rFonts w:hint="eastAsia"/>
                <w:color w:val="auto"/>
              </w:rPr>
              <w:t>~</w:t>
            </w:r>
            <w:r>
              <w:rPr>
                <w:color w:val="auto"/>
              </w:rPr>
              <w:t>1.3</w:t>
            </w:r>
            <w:r>
              <w:rPr>
                <w:rFonts w:hint="eastAsia"/>
                <w:color w:val="auto"/>
              </w:rPr>
              <w:t>mm。因此本项目砂石料堆场均为</w:t>
            </w:r>
            <w:r>
              <w:rPr>
                <w:color w:val="auto"/>
              </w:rPr>
              <w:t>Ⅱ</w:t>
            </w:r>
            <w:r>
              <w:rPr>
                <w:rFonts w:hint="eastAsia"/>
                <w:color w:val="auto"/>
              </w:rPr>
              <w:t>类料堆场。</w:t>
            </w:r>
          </w:p>
          <w:p>
            <w:pPr>
              <w:pStyle w:val="69"/>
              <w:rPr>
                <w:color w:val="auto"/>
              </w:rPr>
            </w:pPr>
            <w:r>
              <w:rPr>
                <w:rFonts w:hint="eastAsia"/>
                <w:color w:val="auto"/>
                <w:lang w:val="en-US" w:eastAsia="zh-CN"/>
              </w:rPr>
              <w:t>本项目建设半封闭原料库房，并定期洒水，满足</w:t>
            </w:r>
            <w:r>
              <w:rPr>
                <w:color w:val="auto"/>
              </w:rPr>
              <w:t>《工业料堆场扬尘整治规范》（DB65/T 4061-2017）</w:t>
            </w:r>
            <w:r>
              <w:rPr>
                <w:rFonts w:hint="eastAsia"/>
                <w:color w:val="auto"/>
              </w:rPr>
              <w:t>中</w:t>
            </w:r>
            <w:r>
              <w:rPr>
                <w:rFonts w:hint="eastAsia"/>
                <w:color w:val="auto"/>
                <w:lang w:val="en-US" w:eastAsia="zh-CN"/>
              </w:rPr>
              <w:t>的相关</w:t>
            </w:r>
            <w:r>
              <w:rPr>
                <w:rFonts w:hint="eastAsia"/>
                <w:color w:val="auto"/>
              </w:rPr>
              <w:t>要求。</w:t>
            </w:r>
          </w:p>
          <w:p>
            <w:pPr>
              <w:pStyle w:val="69"/>
              <w:rPr>
                <w:color w:val="auto"/>
              </w:rPr>
            </w:pPr>
            <w:r>
              <w:rPr>
                <w:rFonts w:hint="eastAsia"/>
                <w:color w:val="auto"/>
              </w:rPr>
              <w:t>综上所述，</w:t>
            </w:r>
            <w:r>
              <w:rPr>
                <w:rFonts w:hint="eastAsia"/>
                <w:color w:val="auto"/>
                <w:lang w:val="en-US" w:eastAsia="zh-CN"/>
              </w:rPr>
              <w:t>本项目建设半封闭原料库房</w:t>
            </w:r>
            <w:r>
              <w:rPr>
                <w:rFonts w:hint="eastAsia"/>
                <w:color w:val="auto"/>
              </w:rPr>
              <w:t>（控制效率</w:t>
            </w:r>
            <w:r>
              <w:rPr>
                <w:color w:val="auto"/>
              </w:rPr>
              <w:t>86</w:t>
            </w:r>
            <w:r>
              <w:rPr>
                <w:rFonts w:hint="eastAsia"/>
                <w:color w:val="auto"/>
              </w:rPr>
              <w:t>%）并定期洒水（控制效率</w:t>
            </w:r>
            <w:r>
              <w:rPr>
                <w:color w:val="auto"/>
              </w:rPr>
              <w:t>74</w:t>
            </w:r>
            <w:r>
              <w:rPr>
                <w:rFonts w:hint="eastAsia"/>
                <w:color w:val="auto"/>
              </w:rPr>
              <w:t>%）等措施，</w:t>
            </w:r>
            <w:r>
              <w:rPr>
                <w:color w:val="auto"/>
              </w:rPr>
              <w:t>可使起尘量减少93.36%以上，经计算，本项目</w:t>
            </w:r>
            <w:r>
              <w:rPr>
                <w:rFonts w:hint="eastAsia"/>
                <w:color w:val="auto"/>
              </w:rPr>
              <w:t>砂石料装卸及堆场扬尘源中颗粒物总排放量为10.94t/a。无组织粉尘排放浓度能够达到《水泥工业大气污染物排放标准》（GB4915-2013）中表3无组织排放限值0.5mg/m</w:t>
            </w:r>
            <w:r>
              <w:rPr>
                <w:rFonts w:hint="eastAsia"/>
                <w:color w:val="auto"/>
                <w:vertAlign w:val="superscript"/>
              </w:rPr>
              <w:t>3</w:t>
            </w:r>
            <w:r>
              <w:rPr>
                <w:rFonts w:hint="eastAsia"/>
                <w:color w:val="auto"/>
              </w:rPr>
              <w:t>，对区域空气环境质量影响不大。</w:t>
            </w:r>
          </w:p>
          <w:p>
            <w:pPr>
              <w:pStyle w:val="69"/>
              <w:rPr>
                <w:color w:val="auto"/>
              </w:rPr>
            </w:pPr>
            <w:r>
              <w:rPr>
                <w:rFonts w:hint="eastAsia"/>
                <w:color w:val="auto"/>
              </w:rPr>
              <w:t>（6）食堂油烟</w:t>
            </w:r>
          </w:p>
          <w:p>
            <w:pPr>
              <w:pStyle w:val="69"/>
              <w:rPr>
                <w:color w:val="auto"/>
              </w:rPr>
            </w:pPr>
            <w:r>
              <w:rPr>
                <w:rFonts w:hint="eastAsia"/>
                <w:color w:val="auto"/>
              </w:rPr>
              <w:t>食堂油烟本项目设置</w:t>
            </w:r>
            <w:r>
              <w:rPr>
                <w:color w:val="auto"/>
              </w:rPr>
              <w:t>1</w:t>
            </w:r>
            <w:r>
              <w:rPr>
                <w:rFonts w:hint="eastAsia"/>
                <w:color w:val="auto"/>
              </w:rPr>
              <w:t>个食堂，采用液化天然气为燃料，安装</w:t>
            </w:r>
            <w:r>
              <w:rPr>
                <w:color w:val="auto"/>
              </w:rPr>
              <w:t>1</w:t>
            </w:r>
            <w:r>
              <w:rPr>
                <w:rFonts w:hint="eastAsia"/>
                <w:color w:val="auto"/>
              </w:rPr>
              <w:t>台油烟净化器对食堂油烟进行处理。</w:t>
            </w:r>
          </w:p>
          <w:p>
            <w:pPr>
              <w:pStyle w:val="69"/>
              <w:rPr>
                <w:color w:val="auto"/>
              </w:rPr>
            </w:pPr>
            <w:r>
              <w:rPr>
                <w:rFonts w:hint="eastAsia"/>
                <w:color w:val="auto"/>
              </w:rPr>
              <w:t>项目食堂设置2个灶头，食物在烹煮、加工过程中将挥发出油脂、有机质及热分解或裂解产物，从而产生油烟废气。根据有关统计资料分析，人均食用油用量约</w:t>
            </w:r>
            <w:r>
              <w:rPr>
                <w:color w:val="auto"/>
              </w:rPr>
              <w:t>30g/</w:t>
            </w:r>
            <w:r>
              <w:rPr>
                <w:rFonts w:hint="eastAsia"/>
                <w:color w:val="auto"/>
              </w:rPr>
              <w:t>人</w:t>
            </w:r>
            <w:r>
              <w:rPr>
                <w:color w:val="auto"/>
              </w:rPr>
              <w:t>.d</w:t>
            </w:r>
            <w:r>
              <w:rPr>
                <w:rFonts w:hint="eastAsia"/>
                <w:color w:val="auto"/>
              </w:rPr>
              <w:t>，本项目每天就餐人数为50人，则食用油消耗量为0.39</w:t>
            </w:r>
            <w:r>
              <w:rPr>
                <w:color w:val="auto"/>
              </w:rPr>
              <w:t>t/a</w:t>
            </w:r>
            <w:r>
              <w:rPr>
                <w:rFonts w:hint="eastAsia"/>
                <w:color w:val="auto"/>
              </w:rPr>
              <w:t>。一般所排油烟气中油烟含量约占耗油量的</w:t>
            </w:r>
            <w:r>
              <w:rPr>
                <w:color w:val="auto"/>
              </w:rPr>
              <w:t>1~1.2%</w:t>
            </w:r>
            <w:r>
              <w:rPr>
                <w:rFonts w:hint="eastAsia"/>
                <w:color w:val="auto"/>
              </w:rPr>
              <w:t>（本环评按</w:t>
            </w:r>
            <w:r>
              <w:rPr>
                <w:color w:val="auto"/>
              </w:rPr>
              <w:t>1.2%</w:t>
            </w:r>
            <w:r>
              <w:rPr>
                <w:rFonts w:hint="eastAsia"/>
                <w:color w:val="auto"/>
              </w:rPr>
              <w:t>计），则油烟产生量4.68</w:t>
            </w:r>
            <w:r>
              <w:rPr>
                <w:color w:val="auto"/>
              </w:rPr>
              <w:t>kg/a</w:t>
            </w:r>
            <w:r>
              <w:rPr>
                <w:rFonts w:hint="eastAsia"/>
                <w:color w:val="auto"/>
              </w:rPr>
              <w:t>。食堂配套一台风量为5000</w:t>
            </w:r>
            <w:r>
              <w:rPr>
                <w:color w:val="auto"/>
              </w:rPr>
              <w:t>m</w:t>
            </w:r>
            <w:r>
              <w:rPr>
                <w:color w:val="auto"/>
                <w:vertAlign w:val="superscript"/>
              </w:rPr>
              <w:t>3</w:t>
            </w:r>
            <w:r>
              <w:rPr>
                <w:color w:val="auto"/>
              </w:rPr>
              <w:t>/h</w:t>
            </w:r>
            <w:r>
              <w:rPr>
                <w:rFonts w:hint="eastAsia"/>
                <w:color w:val="auto"/>
              </w:rPr>
              <w:t>的油烟净化器，每天工作</w:t>
            </w:r>
            <w:r>
              <w:rPr>
                <w:color w:val="auto"/>
              </w:rPr>
              <w:t>3.0h</w:t>
            </w:r>
            <w:r>
              <w:rPr>
                <w:rFonts w:hint="eastAsia"/>
                <w:color w:val="auto"/>
              </w:rPr>
              <w:t>，净化效率为60</w:t>
            </w:r>
            <w:r>
              <w:rPr>
                <w:color w:val="auto"/>
              </w:rPr>
              <w:t>%</w:t>
            </w:r>
            <w:r>
              <w:rPr>
                <w:rFonts w:hint="eastAsia"/>
                <w:color w:val="auto"/>
              </w:rPr>
              <w:t>，因此，食堂油烟的排放量为1.87</w:t>
            </w:r>
            <w:r>
              <w:rPr>
                <w:color w:val="auto"/>
              </w:rPr>
              <w:t>kg/a</w:t>
            </w:r>
            <w:r>
              <w:rPr>
                <w:rFonts w:hint="eastAsia"/>
                <w:color w:val="auto"/>
              </w:rPr>
              <w:t>，排放浓度为</w:t>
            </w:r>
            <w:r>
              <w:rPr>
                <w:color w:val="auto"/>
              </w:rPr>
              <w:t>1.</w:t>
            </w:r>
            <w:r>
              <w:rPr>
                <w:rFonts w:hint="eastAsia"/>
                <w:color w:val="auto"/>
              </w:rPr>
              <w:t>2</w:t>
            </w:r>
            <w:r>
              <w:rPr>
                <w:color w:val="auto"/>
              </w:rPr>
              <w:t>mg/m</w:t>
            </w:r>
            <w:r>
              <w:rPr>
                <w:color w:val="auto"/>
                <w:vertAlign w:val="superscript"/>
              </w:rPr>
              <w:t>3</w:t>
            </w:r>
            <w:r>
              <w:rPr>
                <w:rFonts w:hint="eastAsia"/>
                <w:color w:val="auto"/>
              </w:rPr>
              <w:t>。</w:t>
            </w:r>
          </w:p>
          <w:p>
            <w:pPr>
              <w:pStyle w:val="69"/>
              <w:rPr>
                <w:color w:val="auto"/>
              </w:rPr>
            </w:pPr>
            <w:r>
              <w:rPr>
                <w:rFonts w:hint="eastAsia"/>
                <w:color w:val="auto"/>
              </w:rPr>
              <w:t>（7）汽车尾气</w:t>
            </w:r>
          </w:p>
          <w:p>
            <w:pPr>
              <w:pStyle w:val="69"/>
              <w:rPr>
                <w:color w:val="auto"/>
              </w:rPr>
            </w:pPr>
            <w:r>
              <w:rPr>
                <w:rFonts w:hint="eastAsia"/>
                <w:color w:val="auto"/>
              </w:rPr>
              <w:t>进出厂区的车辆主要为原材料、产品运输车辆。汽车尾气中主要含有</w:t>
            </w:r>
            <w:r>
              <w:rPr>
                <w:color w:val="auto"/>
              </w:rPr>
              <w:t>CO</w:t>
            </w:r>
            <w:r>
              <w:rPr>
                <w:rFonts w:hint="eastAsia"/>
                <w:color w:val="auto"/>
              </w:rPr>
              <w:t>、</w:t>
            </w:r>
            <w:r>
              <w:rPr>
                <w:color w:val="auto"/>
              </w:rPr>
              <w:t>N0x</w:t>
            </w:r>
            <w:r>
              <w:rPr>
                <w:rFonts w:hint="eastAsia"/>
                <w:color w:val="auto"/>
              </w:rPr>
              <w:t>、未完全燃烧的碳氢化合物</w:t>
            </w:r>
            <w:r>
              <w:rPr>
                <w:color w:val="auto"/>
              </w:rPr>
              <w:t>THC</w:t>
            </w:r>
            <w:r>
              <w:rPr>
                <w:rFonts w:hint="eastAsia"/>
                <w:color w:val="auto"/>
              </w:rPr>
              <w:t>，为间断、分散排放，污染物排放量很小，对环境影响较小。</w:t>
            </w:r>
          </w:p>
          <w:p>
            <w:pPr>
              <w:autoSpaceDE w:val="0"/>
              <w:autoSpaceDN w:val="0"/>
              <w:adjustRightInd w:val="0"/>
              <w:spacing w:line="560" w:lineRule="exact"/>
              <w:ind w:firstLine="468" w:firstLineChars="195"/>
              <w:jc w:val="left"/>
              <w:rPr>
                <w:color w:val="auto"/>
                <w:sz w:val="24"/>
              </w:rPr>
            </w:pPr>
            <w:r>
              <w:rPr>
                <w:rFonts w:hint="eastAsia"/>
                <w:color w:val="auto"/>
                <w:sz w:val="24"/>
              </w:rPr>
              <w:t>项目大气</w:t>
            </w:r>
            <w:r>
              <w:rPr>
                <w:color w:val="auto"/>
                <w:sz w:val="24"/>
              </w:rPr>
              <w:t>污染物排放源强</w:t>
            </w:r>
            <w:r>
              <w:rPr>
                <w:rFonts w:hint="eastAsia"/>
                <w:color w:val="auto"/>
                <w:sz w:val="24"/>
              </w:rPr>
              <w:t>汇总</w:t>
            </w:r>
            <w:r>
              <w:rPr>
                <w:color w:val="auto"/>
                <w:sz w:val="24"/>
              </w:rPr>
              <w:t>见表</w:t>
            </w:r>
            <w:r>
              <w:rPr>
                <w:rFonts w:hint="eastAsia"/>
                <w:color w:val="auto"/>
                <w:sz w:val="24"/>
              </w:rPr>
              <w:t>4-</w:t>
            </w:r>
            <w:r>
              <w:rPr>
                <w:rFonts w:hint="eastAsia"/>
                <w:color w:val="auto"/>
                <w:sz w:val="24"/>
                <w:lang w:val="en-US" w:eastAsia="zh-CN"/>
              </w:rPr>
              <w:t>5</w:t>
            </w:r>
            <w:r>
              <w:rPr>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4-</w:t>
            </w:r>
            <w:r>
              <w:rPr>
                <w:rFonts w:hint="eastAsia" w:ascii="Times New Roman" w:hAnsi="Times New Roman" w:eastAsia="宋体" w:cs="Times New Roman"/>
                <w:b/>
                <w:color w:val="auto"/>
                <w:szCs w:val="21"/>
                <w:lang w:val="en-US" w:eastAsia="zh-CN"/>
              </w:rPr>
              <w:t>5</w:t>
            </w:r>
            <w:r>
              <w:rPr>
                <w:rFonts w:ascii="Times New Roman" w:hAnsi="Times New Roman" w:eastAsia="宋体" w:cs="Times New Roman"/>
                <w:b/>
                <w:color w:val="auto"/>
                <w:szCs w:val="21"/>
              </w:rPr>
              <w:t xml:space="preserve">   大气污染物排放量</w:t>
            </w:r>
            <w:r>
              <w:rPr>
                <w:rFonts w:hint="eastAsia" w:ascii="Times New Roman" w:hAnsi="Times New Roman" w:eastAsia="宋体" w:cs="Times New Roman"/>
                <w:b/>
                <w:color w:val="auto"/>
                <w:szCs w:val="21"/>
              </w:rPr>
              <w:t>汇总</w:t>
            </w:r>
          </w:p>
          <w:tbl>
            <w:tblPr>
              <w:tblStyle w:val="30"/>
              <w:tblW w:w="4992"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6"/>
              <w:gridCol w:w="425"/>
              <w:gridCol w:w="519"/>
              <w:gridCol w:w="425"/>
              <w:gridCol w:w="425"/>
              <w:gridCol w:w="794"/>
              <w:gridCol w:w="689"/>
              <w:gridCol w:w="689"/>
              <w:gridCol w:w="774"/>
              <w:gridCol w:w="704"/>
              <w:gridCol w:w="1682"/>
              <w:gridCol w:w="4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47" w:type="pct"/>
                  <w:gridSpan w:val="3"/>
                  <w:vMerge w:val="restart"/>
                  <w:tcBorders>
                    <w:tl2br w:val="nil"/>
                    <w:tr2bl w:val="nil"/>
                  </w:tcBorders>
                  <w:vAlign w:val="center"/>
                </w:tcPr>
                <w:p>
                  <w:pPr>
                    <w:jc w:val="center"/>
                    <w:rPr>
                      <w:color w:val="auto"/>
                      <w:szCs w:val="21"/>
                    </w:rPr>
                  </w:pPr>
                  <w:r>
                    <w:rPr>
                      <w:rFonts w:hint="eastAsia"/>
                      <w:color w:val="auto"/>
                      <w:szCs w:val="21"/>
                    </w:rPr>
                    <w:t>产物环节</w:t>
                  </w:r>
                </w:p>
              </w:tc>
              <w:tc>
                <w:tcPr>
                  <w:tcW w:w="258" w:type="pct"/>
                  <w:vMerge w:val="restart"/>
                  <w:tcBorders>
                    <w:tl2br w:val="nil"/>
                    <w:tr2bl w:val="nil"/>
                  </w:tcBorders>
                  <w:vAlign w:val="center"/>
                </w:tcPr>
                <w:p>
                  <w:pPr>
                    <w:jc w:val="center"/>
                    <w:rPr>
                      <w:color w:val="auto"/>
                      <w:szCs w:val="21"/>
                    </w:rPr>
                  </w:pPr>
                  <w:r>
                    <w:rPr>
                      <w:color w:val="auto"/>
                      <w:szCs w:val="21"/>
                    </w:rPr>
                    <w:t>排放方式</w:t>
                  </w:r>
                </w:p>
              </w:tc>
              <w:tc>
                <w:tcPr>
                  <w:tcW w:w="258" w:type="pct"/>
                  <w:vMerge w:val="restart"/>
                  <w:tcBorders>
                    <w:tl2br w:val="nil"/>
                    <w:tr2bl w:val="nil"/>
                  </w:tcBorders>
                  <w:vAlign w:val="center"/>
                </w:tcPr>
                <w:p>
                  <w:pPr>
                    <w:jc w:val="center"/>
                    <w:rPr>
                      <w:color w:val="auto"/>
                      <w:szCs w:val="21"/>
                    </w:rPr>
                  </w:pPr>
                  <w:r>
                    <w:rPr>
                      <w:color w:val="auto"/>
                      <w:szCs w:val="21"/>
                    </w:rPr>
                    <w:t>污染物</w:t>
                  </w:r>
                </w:p>
              </w:tc>
              <w:tc>
                <w:tcPr>
                  <w:tcW w:w="482" w:type="pct"/>
                  <w:vMerge w:val="restart"/>
                  <w:tcBorders>
                    <w:tl2br w:val="nil"/>
                    <w:tr2bl w:val="nil"/>
                  </w:tcBorders>
                  <w:vAlign w:val="center"/>
                </w:tcPr>
                <w:p>
                  <w:pPr>
                    <w:jc w:val="center"/>
                    <w:rPr>
                      <w:color w:val="auto"/>
                      <w:szCs w:val="21"/>
                    </w:rPr>
                  </w:pPr>
                  <w:r>
                    <w:rPr>
                      <w:color w:val="auto"/>
                      <w:szCs w:val="21"/>
                    </w:rPr>
                    <w:t>产生量</w:t>
                  </w:r>
                  <w:r>
                    <w:rPr>
                      <w:rFonts w:hint="eastAsia"/>
                      <w:color w:val="auto"/>
                      <w:szCs w:val="21"/>
                    </w:rPr>
                    <w:t>t/a</w:t>
                  </w:r>
                </w:p>
              </w:tc>
              <w:tc>
                <w:tcPr>
                  <w:tcW w:w="418" w:type="pct"/>
                  <w:vMerge w:val="restart"/>
                  <w:tcBorders>
                    <w:tl2br w:val="nil"/>
                    <w:tr2bl w:val="nil"/>
                  </w:tcBorders>
                  <w:vAlign w:val="center"/>
                </w:tcPr>
                <w:p>
                  <w:pPr>
                    <w:jc w:val="center"/>
                    <w:rPr>
                      <w:color w:val="auto"/>
                      <w:szCs w:val="21"/>
                    </w:rPr>
                  </w:pPr>
                  <w:r>
                    <w:rPr>
                      <w:rFonts w:hint="eastAsia"/>
                      <w:color w:val="auto"/>
                      <w:szCs w:val="21"/>
                    </w:rPr>
                    <w:t>去除效率%</w:t>
                  </w:r>
                </w:p>
              </w:tc>
              <w:tc>
                <w:tcPr>
                  <w:tcW w:w="418" w:type="pct"/>
                  <w:vMerge w:val="restart"/>
                  <w:tcBorders>
                    <w:tl2br w:val="nil"/>
                    <w:tr2bl w:val="nil"/>
                  </w:tcBorders>
                  <w:vAlign w:val="center"/>
                </w:tcPr>
                <w:p>
                  <w:pPr>
                    <w:jc w:val="center"/>
                    <w:rPr>
                      <w:color w:val="auto"/>
                      <w:szCs w:val="21"/>
                    </w:rPr>
                  </w:pPr>
                  <w:r>
                    <w:rPr>
                      <w:color w:val="auto"/>
                      <w:szCs w:val="21"/>
                    </w:rPr>
                    <w:t>排放量</w:t>
                  </w:r>
                  <w:r>
                    <w:rPr>
                      <w:rFonts w:hint="eastAsia"/>
                      <w:color w:val="auto"/>
                      <w:szCs w:val="21"/>
                    </w:rPr>
                    <w:t>t/a</w:t>
                  </w:r>
                </w:p>
              </w:tc>
              <w:tc>
                <w:tcPr>
                  <w:tcW w:w="470" w:type="pct"/>
                  <w:vMerge w:val="restart"/>
                  <w:tcBorders>
                    <w:tl2br w:val="nil"/>
                    <w:tr2bl w:val="nil"/>
                  </w:tcBorders>
                  <w:vAlign w:val="center"/>
                </w:tcPr>
                <w:p>
                  <w:pPr>
                    <w:jc w:val="center"/>
                    <w:rPr>
                      <w:color w:val="auto"/>
                      <w:szCs w:val="21"/>
                    </w:rPr>
                  </w:pPr>
                  <w:r>
                    <w:rPr>
                      <w:rFonts w:hint="eastAsia"/>
                      <w:color w:val="auto"/>
                      <w:szCs w:val="21"/>
                    </w:rPr>
                    <w:t>排放浓度mg/m</w:t>
                  </w:r>
                  <w:r>
                    <w:rPr>
                      <w:rFonts w:hint="eastAsia"/>
                      <w:color w:val="auto"/>
                      <w:szCs w:val="21"/>
                      <w:vertAlign w:val="superscript"/>
                    </w:rPr>
                    <w:t>3</w:t>
                  </w:r>
                </w:p>
              </w:tc>
              <w:tc>
                <w:tcPr>
                  <w:tcW w:w="427" w:type="pct"/>
                  <w:vMerge w:val="restart"/>
                  <w:tcBorders>
                    <w:tl2br w:val="nil"/>
                    <w:tr2bl w:val="nil"/>
                  </w:tcBorders>
                  <w:vAlign w:val="center"/>
                </w:tcPr>
                <w:p>
                  <w:pPr>
                    <w:jc w:val="center"/>
                    <w:rPr>
                      <w:color w:val="auto"/>
                      <w:szCs w:val="21"/>
                    </w:rPr>
                  </w:pPr>
                  <w:r>
                    <w:rPr>
                      <w:rFonts w:hint="eastAsia"/>
                      <w:color w:val="auto"/>
                      <w:szCs w:val="21"/>
                    </w:rPr>
                    <w:t>排放速率kg/h</w:t>
                  </w:r>
                </w:p>
              </w:tc>
              <w:tc>
                <w:tcPr>
                  <w:tcW w:w="1318" w:type="pct"/>
                  <w:gridSpan w:val="2"/>
                  <w:tcBorders>
                    <w:tl2br w:val="nil"/>
                    <w:tr2bl w:val="nil"/>
                  </w:tcBorders>
                  <w:vAlign w:val="center"/>
                </w:tcPr>
                <w:p>
                  <w:pPr>
                    <w:jc w:val="center"/>
                    <w:rPr>
                      <w:color w:val="auto"/>
                      <w:szCs w:val="21"/>
                    </w:rPr>
                  </w:pPr>
                  <w:r>
                    <w:rPr>
                      <w:color w:val="auto"/>
                      <w:szCs w:val="21"/>
                    </w:rPr>
                    <w:t>国家或地方污染物排放标准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47" w:type="pct"/>
                  <w:gridSpan w:val="3"/>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482" w:type="pct"/>
                  <w:vMerge w:val="continue"/>
                  <w:tcBorders>
                    <w:tl2br w:val="nil"/>
                    <w:tr2bl w:val="nil"/>
                  </w:tcBorders>
                  <w:vAlign w:val="center"/>
                </w:tcPr>
                <w:p>
                  <w:pPr>
                    <w:jc w:val="center"/>
                    <w:rPr>
                      <w:color w:val="auto"/>
                      <w:szCs w:val="21"/>
                    </w:rPr>
                  </w:pPr>
                </w:p>
              </w:tc>
              <w:tc>
                <w:tcPr>
                  <w:tcW w:w="418" w:type="pct"/>
                  <w:vMerge w:val="continue"/>
                  <w:tcBorders>
                    <w:tl2br w:val="nil"/>
                    <w:tr2bl w:val="nil"/>
                  </w:tcBorders>
                  <w:vAlign w:val="center"/>
                </w:tcPr>
                <w:p>
                  <w:pPr>
                    <w:jc w:val="center"/>
                    <w:rPr>
                      <w:color w:val="auto"/>
                      <w:szCs w:val="21"/>
                    </w:rPr>
                  </w:pPr>
                </w:p>
              </w:tc>
              <w:tc>
                <w:tcPr>
                  <w:tcW w:w="418" w:type="pct"/>
                  <w:vMerge w:val="continue"/>
                  <w:tcBorders>
                    <w:tl2br w:val="nil"/>
                    <w:tr2bl w:val="nil"/>
                  </w:tcBorders>
                  <w:vAlign w:val="center"/>
                </w:tcPr>
                <w:p>
                  <w:pPr>
                    <w:jc w:val="center"/>
                    <w:rPr>
                      <w:color w:val="auto"/>
                      <w:szCs w:val="21"/>
                    </w:rPr>
                  </w:pPr>
                </w:p>
              </w:tc>
              <w:tc>
                <w:tcPr>
                  <w:tcW w:w="470" w:type="pct"/>
                  <w:vMerge w:val="continue"/>
                  <w:tcBorders>
                    <w:tl2br w:val="nil"/>
                    <w:tr2bl w:val="nil"/>
                  </w:tcBorders>
                  <w:vAlign w:val="center"/>
                </w:tcPr>
                <w:p>
                  <w:pPr>
                    <w:jc w:val="center"/>
                    <w:rPr>
                      <w:color w:val="auto"/>
                      <w:szCs w:val="21"/>
                    </w:rPr>
                  </w:pPr>
                </w:p>
              </w:tc>
              <w:tc>
                <w:tcPr>
                  <w:tcW w:w="427" w:type="pct"/>
                  <w:vMerge w:val="continue"/>
                  <w:tcBorders>
                    <w:tl2br w:val="nil"/>
                    <w:tr2bl w:val="nil"/>
                  </w:tcBorders>
                  <w:vAlign w:val="center"/>
                </w:tcPr>
                <w:p>
                  <w:pPr>
                    <w:jc w:val="center"/>
                    <w:rPr>
                      <w:color w:val="auto"/>
                      <w:szCs w:val="21"/>
                    </w:rPr>
                  </w:pPr>
                </w:p>
              </w:tc>
              <w:tc>
                <w:tcPr>
                  <w:tcW w:w="1318" w:type="pct"/>
                  <w:gridSpan w:val="2"/>
                  <w:tcBorders>
                    <w:top w:val="single" w:color="auto" w:sz="4" w:space="0"/>
                    <w:tl2br w:val="nil"/>
                    <w:tr2bl w:val="nil"/>
                  </w:tcBorders>
                  <w:vAlign w:val="center"/>
                </w:tcPr>
                <w:p>
                  <w:pPr>
                    <w:rPr>
                      <w:color w:val="auto"/>
                      <w:szCs w:val="21"/>
                    </w:rPr>
                  </w:pPr>
                </w:p>
                <w:p>
                  <w:pPr>
                    <w:rPr>
                      <w:color w:val="auto"/>
                      <w:szCs w:val="21"/>
                    </w:rPr>
                  </w:pPr>
                </w:p>
                <w:p>
                  <w:pPr>
                    <w:rPr>
                      <w:color w:val="auto"/>
                      <w:szCs w:val="21"/>
                    </w:rPr>
                  </w:pPr>
                  <w:r>
                    <w:rPr>
                      <w:color w:val="auto"/>
                      <w:szCs w:val="21"/>
                    </w:rPr>
                    <w:t>标准名称</w:t>
                  </w:r>
                </w:p>
                <w:p>
                  <w:pPr>
                    <w:jc w:val="center"/>
                    <w:rPr>
                      <w:color w:val="auto"/>
                      <w:szCs w:val="21"/>
                    </w:rPr>
                  </w:pPr>
                  <w:r>
                    <w:rPr>
                      <w:color w:val="auto"/>
                      <w:szCs w:val="21"/>
                    </w:rPr>
                    <w:t>浓度限值mg/m</w:t>
                  </w:r>
                  <w:r>
                    <w:rPr>
                      <w:rFonts w:hint="eastAsia"/>
                      <w:color w:val="auto"/>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4" w:type="pct"/>
                  <w:vMerge w:val="restart"/>
                  <w:tcBorders>
                    <w:tl2br w:val="nil"/>
                    <w:tr2bl w:val="nil"/>
                  </w:tcBorders>
                  <w:vAlign w:val="center"/>
                </w:tcPr>
                <w:p>
                  <w:pPr>
                    <w:jc w:val="center"/>
                    <w:rPr>
                      <w:color w:val="auto"/>
                      <w:szCs w:val="21"/>
                    </w:rPr>
                  </w:pPr>
                  <w:r>
                    <w:rPr>
                      <w:rFonts w:hint="eastAsia"/>
                      <w:color w:val="auto"/>
                      <w:szCs w:val="21"/>
                    </w:rPr>
                    <w:t>筒仓呼吸粉尘</w:t>
                  </w:r>
                </w:p>
              </w:tc>
              <w:tc>
                <w:tcPr>
                  <w:tcW w:w="258" w:type="pct"/>
                  <w:vMerge w:val="restart"/>
                  <w:tcBorders>
                    <w:tl2br w:val="nil"/>
                    <w:tr2bl w:val="nil"/>
                  </w:tcBorders>
                  <w:vAlign w:val="center"/>
                </w:tcPr>
                <w:p>
                  <w:pPr>
                    <w:jc w:val="center"/>
                    <w:rPr>
                      <w:color w:val="auto"/>
                      <w:szCs w:val="21"/>
                    </w:rPr>
                  </w:pPr>
                  <w:r>
                    <w:rPr>
                      <w:rFonts w:hint="eastAsia"/>
                      <w:color w:val="auto"/>
                      <w:szCs w:val="21"/>
                    </w:rPr>
                    <w:t>混凝土生产线1#</w:t>
                  </w:r>
                </w:p>
              </w:tc>
              <w:tc>
                <w:tcPr>
                  <w:tcW w:w="313" w:type="pct"/>
                  <w:tcBorders>
                    <w:tl2br w:val="nil"/>
                    <w:tr2bl w:val="nil"/>
                  </w:tcBorders>
                  <w:vAlign w:val="center"/>
                </w:tcPr>
                <w:p>
                  <w:pPr>
                    <w:jc w:val="center"/>
                    <w:rPr>
                      <w:color w:val="auto"/>
                      <w:szCs w:val="21"/>
                    </w:rPr>
                  </w:pPr>
                  <w:r>
                    <w:rPr>
                      <w:rFonts w:hint="eastAsia"/>
                      <w:color w:val="auto"/>
                      <w:szCs w:val="21"/>
                    </w:rPr>
                    <w:t>水泥</w:t>
                  </w:r>
                </w:p>
              </w:tc>
              <w:tc>
                <w:tcPr>
                  <w:tcW w:w="258" w:type="pct"/>
                  <w:vMerge w:val="restart"/>
                  <w:tcBorders>
                    <w:tl2br w:val="nil"/>
                    <w:tr2bl w:val="nil"/>
                  </w:tcBorders>
                  <w:vAlign w:val="center"/>
                </w:tcPr>
                <w:p>
                  <w:pPr>
                    <w:jc w:val="center"/>
                    <w:rPr>
                      <w:color w:val="auto"/>
                      <w:szCs w:val="21"/>
                    </w:rPr>
                  </w:pPr>
                  <w:r>
                    <w:rPr>
                      <w:rFonts w:hint="eastAsia"/>
                      <w:color w:val="auto"/>
                      <w:szCs w:val="21"/>
                    </w:rPr>
                    <w:t>有组织</w:t>
                  </w:r>
                </w:p>
              </w:tc>
              <w:tc>
                <w:tcPr>
                  <w:tcW w:w="258" w:type="pct"/>
                  <w:vMerge w:val="restart"/>
                  <w:tcBorders>
                    <w:tl2br w:val="nil"/>
                    <w:tr2bl w:val="nil"/>
                  </w:tcBorders>
                  <w:vAlign w:val="center"/>
                </w:tcPr>
                <w:p>
                  <w:pPr>
                    <w:jc w:val="center"/>
                    <w:rPr>
                      <w:color w:val="auto"/>
                      <w:szCs w:val="21"/>
                    </w:rPr>
                  </w:pPr>
                  <w:r>
                    <w:rPr>
                      <w:color w:val="auto"/>
                      <w:szCs w:val="21"/>
                    </w:rPr>
                    <w:t>颗粒物</w:t>
                  </w:r>
                </w:p>
              </w:tc>
              <w:tc>
                <w:tcPr>
                  <w:tcW w:w="482"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14.16 </w:t>
                  </w:r>
                </w:p>
              </w:tc>
              <w:tc>
                <w:tcPr>
                  <w:tcW w:w="418" w:type="pct"/>
                  <w:vMerge w:val="restart"/>
                  <w:tcBorders>
                    <w:tl2br w:val="nil"/>
                    <w:tr2bl w:val="nil"/>
                  </w:tcBorders>
                  <w:vAlign w:val="center"/>
                </w:tcPr>
                <w:p>
                  <w:pPr>
                    <w:jc w:val="center"/>
                    <w:rPr>
                      <w:color w:val="auto"/>
                      <w:szCs w:val="21"/>
                    </w:rPr>
                  </w:pPr>
                  <w:r>
                    <w:rPr>
                      <w:rFonts w:hint="eastAsia"/>
                      <w:color w:val="auto"/>
                      <w:szCs w:val="21"/>
                    </w:rPr>
                    <w:t>99.7</w:t>
                  </w:r>
                </w:p>
              </w:tc>
              <w:tc>
                <w:tcPr>
                  <w:tcW w:w="418" w:type="pct"/>
                  <w:tcBorders>
                    <w:tl2br w:val="nil"/>
                    <w:tr2bl w:val="nil"/>
                  </w:tcBorders>
                  <w:vAlign w:val="center"/>
                </w:tcPr>
                <w:p>
                  <w:pPr>
                    <w:pStyle w:val="38"/>
                    <w:jc w:val="center"/>
                    <w:rPr>
                      <w:color w:val="auto"/>
                    </w:rPr>
                  </w:pPr>
                  <w:r>
                    <w:rPr>
                      <w:color w:val="auto"/>
                    </w:rPr>
                    <w:t>0.042</w:t>
                  </w:r>
                </w:p>
              </w:tc>
              <w:tc>
                <w:tcPr>
                  <w:tcW w:w="470" w:type="pct"/>
                  <w:tcBorders>
                    <w:tl2br w:val="nil"/>
                    <w:tr2bl w:val="nil"/>
                  </w:tcBorders>
                  <w:vAlign w:val="center"/>
                </w:tcPr>
                <w:p>
                  <w:pPr>
                    <w:pStyle w:val="38"/>
                    <w:jc w:val="center"/>
                    <w:rPr>
                      <w:color w:val="auto"/>
                    </w:rPr>
                  </w:pPr>
                  <w:r>
                    <w:rPr>
                      <w:color w:val="auto"/>
                    </w:rPr>
                    <w:t>13.64</w:t>
                  </w:r>
                </w:p>
              </w:tc>
              <w:tc>
                <w:tcPr>
                  <w:tcW w:w="427" w:type="pct"/>
                  <w:tcBorders>
                    <w:tl2br w:val="nil"/>
                    <w:tr2bl w:val="nil"/>
                  </w:tcBorders>
                  <w:vAlign w:val="center"/>
                </w:tcPr>
                <w:p>
                  <w:pPr>
                    <w:pStyle w:val="38"/>
                    <w:jc w:val="center"/>
                    <w:rPr>
                      <w:color w:val="auto"/>
                    </w:rPr>
                  </w:pPr>
                  <w:r>
                    <w:rPr>
                      <w:color w:val="auto"/>
                    </w:rPr>
                    <w:t>0.020</w:t>
                  </w:r>
                </w:p>
              </w:tc>
              <w:tc>
                <w:tcPr>
                  <w:tcW w:w="1021" w:type="pct"/>
                  <w:vMerge w:val="restart"/>
                  <w:tcBorders>
                    <w:right w:val="single" w:color="000000" w:sz="4" w:space="0"/>
                    <w:tl2br w:val="nil"/>
                    <w:tr2bl w:val="nil"/>
                  </w:tcBorders>
                  <w:vAlign w:val="center"/>
                </w:tcPr>
                <w:p>
                  <w:pPr>
                    <w:jc w:val="center"/>
                    <w:rPr>
                      <w:color w:val="auto"/>
                      <w:szCs w:val="21"/>
                    </w:rPr>
                  </w:pPr>
                  <w:r>
                    <w:rPr>
                      <w:color w:val="auto"/>
                      <w:szCs w:val="21"/>
                    </w:rPr>
                    <w:t>《水泥工业大气污染物排放标准》GB4915-2013</w:t>
                  </w:r>
                  <w:r>
                    <w:rPr>
                      <w:rFonts w:hint="eastAsia"/>
                      <w:color w:val="auto"/>
                      <w:szCs w:val="21"/>
                    </w:rPr>
                    <w:t>表1中散装水泥中转站及水泥制品生产限值</w:t>
                  </w:r>
                </w:p>
              </w:tc>
              <w:tc>
                <w:tcPr>
                  <w:tcW w:w="297" w:type="pct"/>
                  <w:vMerge w:val="restart"/>
                  <w:tcBorders>
                    <w:left w:val="single" w:color="000000" w:sz="4" w:space="0"/>
                    <w:tl2br w:val="nil"/>
                    <w:tr2bl w:val="nil"/>
                  </w:tcBorders>
                  <w:vAlign w:val="center"/>
                </w:tcPr>
                <w:p>
                  <w:pPr>
                    <w:jc w:val="center"/>
                    <w:rPr>
                      <w:color w:val="auto"/>
                      <w:szCs w:val="21"/>
                    </w:rPr>
                  </w:pPr>
                  <w:r>
                    <w:rPr>
                      <w:rFonts w:hint="eastAsia"/>
                      <w:color w:val="auto"/>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4"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313" w:type="pct"/>
                  <w:tcBorders>
                    <w:tl2br w:val="nil"/>
                    <w:tr2bl w:val="nil"/>
                  </w:tcBorders>
                  <w:vAlign w:val="center"/>
                </w:tcPr>
                <w:p>
                  <w:pPr>
                    <w:jc w:val="center"/>
                    <w:rPr>
                      <w:color w:val="auto"/>
                      <w:szCs w:val="21"/>
                    </w:rPr>
                  </w:pPr>
                  <w:r>
                    <w:rPr>
                      <w:rFonts w:hint="eastAsia"/>
                      <w:color w:val="auto"/>
                      <w:szCs w:val="21"/>
                    </w:rPr>
                    <w:t>粉煤灰</w:t>
                  </w:r>
                </w:p>
              </w:tc>
              <w:tc>
                <w:tcPr>
                  <w:tcW w:w="258"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482"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4.98 </w:t>
                  </w:r>
                </w:p>
              </w:tc>
              <w:tc>
                <w:tcPr>
                  <w:tcW w:w="418" w:type="pct"/>
                  <w:vMerge w:val="continue"/>
                  <w:tcBorders>
                    <w:tl2br w:val="nil"/>
                    <w:tr2bl w:val="nil"/>
                  </w:tcBorders>
                  <w:vAlign w:val="center"/>
                </w:tcPr>
                <w:p>
                  <w:pPr>
                    <w:jc w:val="center"/>
                    <w:rPr>
                      <w:color w:val="auto"/>
                      <w:szCs w:val="21"/>
                    </w:rPr>
                  </w:pPr>
                </w:p>
              </w:tc>
              <w:tc>
                <w:tcPr>
                  <w:tcW w:w="418" w:type="pct"/>
                  <w:tcBorders>
                    <w:tl2br w:val="nil"/>
                    <w:tr2bl w:val="nil"/>
                  </w:tcBorders>
                  <w:vAlign w:val="center"/>
                </w:tcPr>
                <w:p>
                  <w:pPr>
                    <w:pStyle w:val="38"/>
                    <w:jc w:val="center"/>
                    <w:rPr>
                      <w:color w:val="auto"/>
                    </w:rPr>
                  </w:pPr>
                  <w:r>
                    <w:rPr>
                      <w:color w:val="auto"/>
                    </w:rPr>
                    <w:t>0.015</w:t>
                  </w:r>
                </w:p>
              </w:tc>
              <w:tc>
                <w:tcPr>
                  <w:tcW w:w="470" w:type="pct"/>
                  <w:tcBorders>
                    <w:tl2br w:val="nil"/>
                    <w:tr2bl w:val="nil"/>
                  </w:tcBorders>
                  <w:vAlign w:val="center"/>
                </w:tcPr>
                <w:p>
                  <w:pPr>
                    <w:pStyle w:val="38"/>
                    <w:jc w:val="center"/>
                    <w:rPr>
                      <w:color w:val="auto"/>
                    </w:rPr>
                  </w:pPr>
                  <w:r>
                    <w:rPr>
                      <w:color w:val="auto"/>
                    </w:rPr>
                    <w:t>13.63</w:t>
                  </w:r>
                </w:p>
              </w:tc>
              <w:tc>
                <w:tcPr>
                  <w:tcW w:w="427" w:type="pct"/>
                  <w:tcBorders>
                    <w:tl2br w:val="nil"/>
                    <w:tr2bl w:val="nil"/>
                  </w:tcBorders>
                  <w:vAlign w:val="center"/>
                </w:tcPr>
                <w:p>
                  <w:pPr>
                    <w:pStyle w:val="38"/>
                    <w:jc w:val="center"/>
                    <w:rPr>
                      <w:color w:val="auto"/>
                    </w:rPr>
                  </w:pPr>
                  <w:r>
                    <w:rPr>
                      <w:color w:val="auto"/>
                    </w:rPr>
                    <w:t>0.007</w:t>
                  </w:r>
                </w:p>
              </w:tc>
              <w:tc>
                <w:tcPr>
                  <w:tcW w:w="1021" w:type="pct"/>
                  <w:vMerge w:val="continue"/>
                  <w:tcBorders>
                    <w:right w:val="single" w:color="000000" w:sz="4" w:space="0"/>
                    <w:tl2br w:val="nil"/>
                    <w:tr2bl w:val="nil"/>
                  </w:tcBorders>
                  <w:vAlign w:val="center"/>
                </w:tcPr>
                <w:p>
                  <w:pPr>
                    <w:jc w:val="center"/>
                    <w:rPr>
                      <w:color w:val="auto"/>
                      <w:szCs w:val="21"/>
                    </w:rPr>
                  </w:pPr>
                </w:p>
              </w:tc>
              <w:tc>
                <w:tcPr>
                  <w:tcW w:w="297" w:type="pct"/>
                  <w:vMerge w:val="continue"/>
                  <w:tcBorders>
                    <w:left w:val="single" w:color="000000" w:sz="4" w:space="0"/>
                    <w:tl2br w:val="nil"/>
                    <w:tr2bl w:val="nil"/>
                  </w:tcBorders>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4"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313" w:type="pct"/>
                  <w:tcBorders>
                    <w:tl2br w:val="nil"/>
                    <w:tr2bl w:val="nil"/>
                  </w:tcBorders>
                  <w:vAlign w:val="center"/>
                </w:tcPr>
                <w:p>
                  <w:pPr>
                    <w:jc w:val="center"/>
                    <w:rPr>
                      <w:color w:val="auto"/>
                      <w:szCs w:val="21"/>
                    </w:rPr>
                  </w:pPr>
                  <w:r>
                    <w:rPr>
                      <w:rFonts w:hint="eastAsia"/>
                      <w:color w:val="auto"/>
                      <w:szCs w:val="21"/>
                    </w:rPr>
                    <w:t>矿粉</w:t>
                  </w:r>
                </w:p>
              </w:tc>
              <w:tc>
                <w:tcPr>
                  <w:tcW w:w="258"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482"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1.57 </w:t>
                  </w:r>
                </w:p>
              </w:tc>
              <w:tc>
                <w:tcPr>
                  <w:tcW w:w="418" w:type="pct"/>
                  <w:vMerge w:val="continue"/>
                  <w:tcBorders>
                    <w:tl2br w:val="nil"/>
                    <w:tr2bl w:val="nil"/>
                  </w:tcBorders>
                  <w:vAlign w:val="center"/>
                </w:tcPr>
                <w:p>
                  <w:pPr>
                    <w:jc w:val="center"/>
                    <w:rPr>
                      <w:color w:val="auto"/>
                      <w:szCs w:val="21"/>
                    </w:rPr>
                  </w:pPr>
                </w:p>
              </w:tc>
              <w:tc>
                <w:tcPr>
                  <w:tcW w:w="418" w:type="pct"/>
                  <w:tcBorders>
                    <w:tl2br w:val="nil"/>
                    <w:tr2bl w:val="nil"/>
                  </w:tcBorders>
                  <w:vAlign w:val="center"/>
                </w:tcPr>
                <w:p>
                  <w:pPr>
                    <w:pStyle w:val="38"/>
                    <w:jc w:val="center"/>
                    <w:rPr>
                      <w:color w:val="auto"/>
                    </w:rPr>
                  </w:pPr>
                  <w:r>
                    <w:rPr>
                      <w:color w:val="auto"/>
                    </w:rPr>
                    <w:t>0.005</w:t>
                  </w:r>
                </w:p>
              </w:tc>
              <w:tc>
                <w:tcPr>
                  <w:tcW w:w="470" w:type="pct"/>
                  <w:tcBorders>
                    <w:tl2br w:val="nil"/>
                    <w:tr2bl w:val="nil"/>
                  </w:tcBorders>
                  <w:vAlign w:val="center"/>
                </w:tcPr>
                <w:p>
                  <w:pPr>
                    <w:pStyle w:val="38"/>
                    <w:jc w:val="center"/>
                    <w:rPr>
                      <w:color w:val="auto"/>
                    </w:rPr>
                  </w:pPr>
                  <w:r>
                    <w:rPr>
                      <w:color w:val="auto"/>
                    </w:rPr>
                    <w:t>13.61</w:t>
                  </w:r>
                </w:p>
              </w:tc>
              <w:tc>
                <w:tcPr>
                  <w:tcW w:w="427" w:type="pct"/>
                  <w:tcBorders>
                    <w:tl2br w:val="nil"/>
                    <w:tr2bl w:val="nil"/>
                  </w:tcBorders>
                  <w:vAlign w:val="center"/>
                </w:tcPr>
                <w:p>
                  <w:pPr>
                    <w:pStyle w:val="38"/>
                    <w:jc w:val="center"/>
                    <w:rPr>
                      <w:color w:val="auto"/>
                    </w:rPr>
                  </w:pPr>
                  <w:r>
                    <w:rPr>
                      <w:color w:val="auto"/>
                    </w:rPr>
                    <w:t>0.002</w:t>
                  </w:r>
                </w:p>
              </w:tc>
              <w:tc>
                <w:tcPr>
                  <w:tcW w:w="1021" w:type="pct"/>
                  <w:vMerge w:val="continue"/>
                  <w:tcBorders>
                    <w:right w:val="single" w:color="000000" w:sz="4" w:space="0"/>
                    <w:tl2br w:val="nil"/>
                    <w:tr2bl w:val="nil"/>
                  </w:tcBorders>
                  <w:vAlign w:val="center"/>
                </w:tcPr>
                <w:p>
                  <w:pPr>
                    <w:jc w:val="center"/>
                    <w:rPr>
                      <w:color w:val="auto"/>
                      <w:szCs w:val="21"/>
                    </w:rPr>
                  </w:pPr>
                </w:p>
              </w:tc>
              <w:tc>
                <w:tcPr>
                  <w:tcW w:w="297" w:type="pct"/>
                  <w:vMerge w:val="continue"/>
                  <w:tcBorders>
                    <w:left w:val="single" w:color="000000" w:sz="4" w:space="0"/>
                    <w:tl2br w:val="nil"/>
                    <w:tr2bl w:val="nil"/>
                  </w:tcBorders>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4" w:type="pct"/>
                  <w:vMerge w:val="continue"/>
                  <w:tcBorders>
                    <w:tl2br w:val="nil"/>
                    <w:tr2bl w:val="nil"/>
                  </w:tcBorders>
                  <w:vAlign w:val="center"/>
                </w:tcPr>
                <w:p>
                  <w:pPr>
                    <w:jc w:val="center"/>
                    <w:rPr>
                      <w:color w:val="auto"/>
                      <w:szCs w:val="21"/>
                    </w:rPr>
                  </w:pPr>
                </w:p>
              </w:tc>
              <w:tc>
                <w:tcPr>
                  <w:tcW w:w="258" w:type="pct"/>
                  <w:vMerge w:val="restart"/>
                  <w:tcBorders>
                    <w:tl2br w:val="nil"/>
                    <w:tr2bl w:val="nil"/>
                  </w:tcBorders>
                  <w:vAlign w:val="center"/>
                </w:tcPr>
                <w:p>
                  <w:pPr>
                    <w:jc w:val="center"/>
                    <w:rPr>
                      <w:rFonts w:hint="eastAsia"/>
                      <w:color w:val="auto"/>
                      <w:szCs w:val="21"/>
                    </w:rPr>
                  </w:pPr>
                  <w:r>
                    <w:rPr>
                      <w:rFonts w:hint="eastAsia"/>
                      <w:color w:val="auto"/>
                      <w:szCs w:val="21"/>
                    </w:rPr>
                    <w:t>混凝土生产线2#</w:t>
                  </w:r>
                </w:p>
                <w:p>
                  <w:pPr>
                    <w:jc w:val="center"/>
                    <w:rPr>
                      <w:color w:val="auto"/>
                      <w:szCs w:val="21"/>
                    </w:rPr>
                  </w:pPr>
                </w:p>
              </w:tc>
              <w:tc>
                <w:tcPr>
                  <w:tcW w:w="313" w:type="pct"/>
                  <w:tcBorders>
                    <w:tl2br w:val="nil"/>
                    <w:tr2bl w:val="nil"/>
                  </w:tcBorders>
                  <w:vAlign w:val="center"/>
                </w:tcPr>
                <w:p>
                  <w:pPr>
                    <w:jc w:val="center"/>
                    <w:rPr>
                      <w:color w:val="auto"/>
                      <w:szCs w:val="21"/>
                    </w:rPr>
                  </w:pPr>
                  <w:r>
                    <w:rPr>
                      <w:rFonts w:hint="eastAsia"/>
                      <w:color w:val="auto"/>
                      <w:szCs w:val="21"/>
                    </w:rPr>
                    <w:t>水泥</w:t>
                  </w:r>
                </w:p>
              </w:tc>
              <w:tc>
                <w:tcPr>
                  <w:tcW w:w="258"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482"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14.16 </w:t>
                  </w:r>
                </w:p>
              </w:tc>
              <w:tc>
                <w:tcPr>
                  <w:tcW w:w="418" w:type="pct"/>
                  <w:vMerge w:val="continue"/>
                  <w:tcBorders>
                    <w:tl2br w:val="nil"/>
                    <w:tr2bl w:val="nil"/>
                  </w:tcBorders>
                  <w:vAlign w:val="center"/>
                </w:tcPr>
                <w:p>
                  <w:pPr>
                    <w:jc w:val="center"/>
                    <w:rPr>
                      <w:color w:val="auto"/>
                      <w:szCs w:val="21"/>
                    </w:rPr>
                  </w:pPr>
                </w:p>
              </w:tc>
              <w:tc>
                <w:tcPr>
                  <w:tcW w:w="418" w:type="pct"/>
                  <w:tcBorders>
                    <w:tl2br w:val="nil"/>
                    <w:tr2bl w:val="nil"/>
                  </w:tcBorders>
                  <w:vAlign w:val="center"/>
                </w:tcPr>
                <w:p>
                  <w:pPr>
                    <w:pStyle w:val="38"/>
                    <w:jc w:val="center"/>
                    <w:rPr>
                      <w:color w:val="auto"/>
                    </w:rPr>
                  </w:pPr>
                  <w:r>
                    <w:rPr>
                      <w:color w:val="auto"/>
                    </w:rPr>
                    <w:t>0.042</w:t>
                  </w:r>
                </w:p>
              </w:tc>
              <w:tc>
                <w:tcPr>
                  <w:tcW w:w="470" w:type="pct"/>
                  <w:tcBorders>
                    <w:tl2br w:val="nil"/>
                    <w:tr2bl w:val="nil"/>
                  </w:tcBorders>
                  <w:vAlign w:val="center"/>
                </w:tcPr>
                <w:p>
                  <w:pPr>
                    <w:pStyle w:val="38"/>
                    <w:jc w:val="center"/>
                    <w:rPr>
                      <w:color w:val="auto"/>
                    </w:rPr>
                  </w:pPr>
                  <w:r>
                    <w:rPr>
                      <w:color w:val="auto"/>
                    </w:rPr>
                    <w:t>13.64</w:t>
                  </w:r>
                </w:p>
              </w:tc>
              <w:tc>
                <w:tcPr>
                  <w:tcW w:w="427" w:type="pct"/>
                  <w:tcBorders>
                    <w:tl2br w:val="nil"/>
                    <w:tr2bl w:val="nil"/>
                  </w:tcBorders>
                  <w:vAlign w:val="center"/>
                </w:tcPr>
                <w:p>
                  <w:pPr>
                    <w:pStyle w:val="38"/>
                    <w:jc w:val="center"/>
                    <w:rPr>
                      <w:color w:val="auto"/>
                    </w:rPr>
                  </w:pPr>
                  <w:r>
                    <w:rPr>
                      <w:color w:val="auto"/>
                    </w:rPr>
                    <w:t>0.020</w:t>
                  </w:r>
                </w:p>
              </w:tc>
              <w:tc>
                <w:tcPr>
                  <w:tcW w:w="1021" w:type="pct"/>
                  <w:vMerge w:val="continue"/>
                  <w:tcBorders>
                    <w:right w:val="single" w:color="000000" w:sz="4" w:space="0"/>
                    <w:tl2br w:val="nil"/>
                    <w:tr2bl w:val="nil"/>
                  </w:tcBorders>
                  <w:vAlign w:val="center"/>
                </w:tcPr>
                <w:p>
                  <w:pPr>
                    <w:jc w:val="center"/>
                    <w:rPr>
                      <w:color w:val="auto"/>
                      <w:szCs w:val="21"/>
                    </w:rPr>
                  </w:pPr>
                </w:p>
              </w:tc>
              <w:tc>
                <w:tcPr>
                  <w:tcW w:w="297" w:type="pct"/>
                  <w:vMerge w:val="continue"/>
                  <w:tcBorders>
                    <w:left w:val="single" w:color="000000" w:sz="4" w:space="0"/>
                    <w:tl2br w:val="nil"/>
                    <w:tr2bl w:val="nil"/>
                  </w:tcBorders>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74"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313" w:type="pct"/>
                  <w:tcBorders>
                    <w:tl2br w:val="nil"/>
                    <w:tr2bl w:val="nil"/>
                  </w:tcBorders>
                  <w:vAlign w:val="center"/>
                </w:tcPr>
                <w:p>
                  <w:pPr>
                    <w:jc w:val="center"/>
                    <w:rPr>
                      <w:color w:val="auto"/>
                      <w:szCs w:val="21"/>
                    </w:rPr>
                  </w:pPr>
                  <w:r>
                    <w:rPr>
                      <w:rFonts w:hint="eastAsia"/>
                      <w:color w:val="auto"/>
                      <w:szCs w:val="21"/>
                    </w:rPr>
                    <w:t>粉煤灰</w:t>
                  </w:r>
                </w:p>
              </w:tc>
              <w:tc>
                <w:tcPr>
                  <w:tcW w:w="258"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482"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4.98 </w:t>
                  </w:r>
                </w:p>
              </w:tc>
              <w:tc>
                <w:tcPr>
                  <w:tcW w:w="418" w:type="pct"/>
                  <w:vMerge w:val="continue"/>
                  <w:tcBorders>
                    <w:tl2br w:val="nil"/>
                    <w:tr2bl w:val="nil"/>
                  </w:tcBorders>
                  <w:vAlign w:val="center"/>
                </w:tcPr>
                <w:p>
                  <w:pPr>
                    <w:jc w:val="center"/>
                    <w:rPr>
                      <w:color w:val="auto"/>
                      <w:szCs w:val="21"/>
                    </w:rPr>
                  </w:pPr>
                </w:p>
              </w:tc>
              <w:tc>
                <w:tcPr>
                  <w:tcW w:w="418" w:type="pct"/>
                  <w:tcBorders>
                    <w:tl2br w:val="nil"/>
                    <w:tr2bl w:val="nil"/>
                  </w:tcBorders>
                  <w:vAlign w:val="center"/>
                </w:tcPr>
                <w:p>
                  <w:pPr>
                    <w:pStyle w:val="38"/>
                    <w:jc w:val="center"/>
                    <w:rPr>
                      <w:color w:val="auto"/>
                    </w:rPr>
                  </w:pPr>
                  <w:r>
                    <w:rPr>
                      <w:color w:val="auto"/>
                    </w:rPr>
                    <w:t>0.015</w:t>
                  </w:r>
                </w:p>
              </w:tc>
              <w:tc>
                <w:tcPr>
                  <w:tcW w:w="470" w:type="pct"/>
                  <w:tcBorders>
                    <w:tl2br w:val="nil"/>
                    <w:tr2bl w:val="nil"/>
                  </w:tcBorders>
                  <w:vAlign w:val="center"/>
                </w:tcPr>
                <w:p>
                  <w:pPr>
                    <w:pStyle w:val="38"/>
                    <w:jc w:val="center"/>
                    <w:rPr>
                      <w:color w:val="auto"/>
                    </w:rPr>
                  </w:pPr>
                  <w:r>
                    <w:rPr>
                      <w:color w:val="auto"/>
                    </w:rPr>
                    <w:t>13.63</w:t>
                  </w:r>
                </w:p>
              </w:tc>
              <w:tc>
                <w:tcPr>
                  <w:tcW w:w="427" w:type="pct"/>
                  <w:tcBorders>
                    <w:tl2br w:val="nil"/>
                    <w:tr2bl w:val="nil"/>
                  </w:tcBorders>
                  <w:vAlign w:val="center"/>
                </w:tcPr>
                <w:p>
                  <w:pPr>
                    <w:pStyle w:val="38"/>
                    <w:jc w:val="center"/>
                    <w:rPr>
                      <w:color w:val="auto"/>
                    </w:rPr>
                  </w:pPr>
                  <w:r>
                    <w:rPr>
                      <w:color w:val="auto"/>
                    </w:rPr>
                    <w:t>0.007</w:t>
                  </w:r>
                </w:p>
              </w:tc>
              <w:tc>
                <w:tcPr>
                  <w:tcW w:w="1021" w:type="pct"/>
                  <w:vMerge w:val="continue"/>
                  <w:tcBorders>
                    <w:right w:val="single" w:color="000000" w:sz="4" w:space="0"/>
                    <w:tl2br w:val="nil"/>
                    <w:tr2bl w:val="nil"/>
                  </w:tcBorders>
                  <w:vAlign w:val="center"/>
                </w:tcPr>
                <w:p>
                  <w:pPr>
                    <w:jc w:val="center"/>
                    <w:rPr>
                      <w:color w:val="auto"/>
                      <w:szCs w:val="21"/>
                    </w:rPr>
                  </w:pPr>
                </w:p>
              </w:tc>
              <w:tc>
                <w:tcPr>
                  <w:tcW w:w="297" w:type="pct"/>
                  <w:vMerge w:val="continue"/>
                  <w:tcBorders>
                    <w:left w:val="single" w:color="000000" w:sz="4" w:space="0"/>
                    <w:tl2br w:val="nil"/>
                    <w:tr2bl w:val="nil"/>
                  </w:tcBorders>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74"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313" w:type="pct"/>
                  <w:tcBorders>
                    <w:tl2br w:val="nil"/>
                    <w:tr2bl w:val="nil"/>
                  </w:tcBorders>
                  <w:vAlign w:val="center"/>
                </w:tcPr>
                <w:p>
                  <w:pPr>
                    <w:jc w:val="center"/>
                    <w:rPr>
                      <w:color w:val="auto"/>
                      <w:szCs w:val="21"/>
                    </w:rPr>
                  </w:pPr>
                  <w:r>
                    <w:rPr>
                      <w:rFonts w:hint="eastAsia"/>
                      <w:color w:val="auto"/>
                      <w:szCs w:val="21"/>
                    </w:rPr>
                    <w:t>矿粉</w:t>
                  </w:r>
                </w:p>
              </w:tc>
              <w:tc>
                <w:tcPr>
                  <w:tcW w:w="258"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482" w:type="pct"/>
                  <w:tcBorders>
                    <w:tl2br w:val="nil"/>
                    <w:tr2bl w:val="nil"/>
                  </w:tcBorders>
                  <w:vAlign w:val="center"/>
                </w:tcPr>
                <w:p>
                  <w:pPr>
                    <w:widowControl/>
                    <w:jc w:val="center"/>
                    <w:textAlignment w:val="center"/>
                    <w:rPr>
                      <w:color w:val="auto"/>
                      <w:szCs w:val="21"/>
                    </w:rPr>
                  </w:pPr>
                  <w:r>
                    <w:rPr>
                      <w:color w:val="auto"/>
                      <w:kern w:val="0"/>
                      <w:szCs w:val="21"/>
                      <w:lang w:bidi="ar"/>
                    </w:rPr>
                    <w:t xml:space="preserve">1.57 </w:t>
                  </w:r>
                </w:p>
              </w:tc>
              <w:tc>
                <w:tcPr>
                  <w:tcW w:w="418" w:type="pct"/>
                  <w:vMerge w:val="continue"/>
                  <w:tcBorders>
                    <w:tl2br w:val="nil"/>
                    <w:tr2bl w:val="nil"/>
                  </w:tcBorders>
                  <w:vAlign w:val="center"/>
                </w:tcPr>
                <w:p>
                  <w:pPr>
                    <w:jc w:val="center"/>
                    <w:rPr>
                      <w:color w:val="auto"/>
                      <w:szCs w:val="21"/>
                    </w:rPr>
                  </w:pPr>
                </w:p>
              </w:tc>
              <w:tc>
                <w:tcPr>
                  <w:tcW w:w="418" w:type="pct"/>
                  <w:tcBorders>
                    <w:tl2br w:val="nil"/>
                    <w:tr2bl w:val="nil"/>
                  </w:tcBorders>
                  <w:vAlign w:val="center"/>
                </w:tcPr>
                <w:p>
                  <w:pPr>
                    <w:pStyle w:val="38"/>
                    <w:jc w:val="center"/>
                    <w:rPr>
                      <w:color w:val="auto"/>
                    </w:rPr>
                  </w:pPr>
                  <w:r>
                    <w:rPr>
                      <w:color w:val="auto"/>
                    </w:rPr>
                    <w:t>0.005</w:t>
                  </w:r>
                </w:p>
              </w:tc>
              <w:tc>
                <w:tcPr>
                  <w:tcW w:w="470" w:type="pct"/>
                  <w:tcBorders>
                    <w:tl2br w:val="nil"/>
                    <w:tr2bl w:val="nil"/>
                  </w:tcBorders>
                  <w:vAlign w:val="center"/>
                </w:tcPr>
                <w:p>
                  <w:pPr>
                    <w:pStyle w:val="38"/>
                    <w:jc w:val="center"/>
                    <w:rPr>
                      <w:color w:val="auto"/>
                    </w:rPr>
                  </w:pPr>
                  <w:r>
                    <w:rPr>
                      <w:color w:val="auto"/>
                    </w:rPr>
                    <w:t>13.61</w:t>
                  </w:r>
                </w:p>
              </w:tc>
              <w:tc>
                <w:tcPr>
                  <w:tcW w:w="427" w:type="pct"/>
                  <w:tcBorders>
                    <w:tl2br w:val="nil"/>
                    <w:tr2bl w:val="nil"/>
                  </w:tcBorders>
                  <w:vAlign w:val="center"/>
                </w:tcPr>
                <w:p>
                  <w:pPr>
                    <w:pStyle w:val="38"/>
                    <w:jc w:val="center"/>
                    <w:rPr>
                      <w:color w:val="auto"/>
                    </w:rPr>
                  </w:pPr>
                  <w:r>
                    <w:rPr>
                      <w:color w:val="auto"/>
                    </w:rPr>
                    <w:t>0.002</w:t>
                  </w:r>
                </w:p>
              </w:tc>
              <w:tc>
                <w:tcPr>
                  <w:tcW w:w="1021" w:type="pct"/>
                  <w:vMerge w:val="continue"/>
                  <w:tcBorders>
                    <w:right w:val="single" w:color="000000" w:sz="4" w:space="0"/>
                    <w:tl2br w:val="nil"/>
                    <w:tr2bl w:val="nil"/>
                  </w:tcBorders>
                  <w:vAlign w:val="center"/>
                </w:tcPr>
                <w:p>
                  <w:pPr>
                    <w:jc w:val="center"/>
                    <w:rPr>
                      <w:color w:val="auto"/>
                      <w:szCs w:val="21"/>
                    </w:rPr>
                  </w:pPr>
                </w:p>
              </w:tc>
              <w:tc>
                <w:tcPr>
                  <w:tcW w:w="297" w:type="pct"/>
                  <w:vMerge w:val="continue"/>
                  <w:tcBorders>
                    <w:left w:val="single" w:color="000000" w:sz="4" w:space="0"/>
                    <w:tl2br w:val="nil"/>
                    <w:tr2bl w:val="nil"/>
                  </w:tcBorders>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47" w:type="pct"/>
                  <w:gridSpan w:val="3"/>
                  <w:tcBorders>
                    <w:tl2br w:val="nil"/>
                    <w:tr2bl w:val="nil"/>
                  </w:tcBorders>
                  <w:vAlign w:val="center"/>
                </w:tcPr>
                <w:p>
                  <w:pPr>
                    <w:jc w:val="center"/>
                    <w:rPr>
                      <w:color w:val="auto"/>
                      <w:szCs w:val="21"/>
                    </w:rPr>
                  </w:pPr>
                  <w:r>
                    <w:rPr>
                      <w:rFonts w:hint="eastAsia"/>
                      <w:color w:val="auto"/>
                      <w:szCs w:val="21"/>
                    </w:rPr>
                    <w:t>物料</w:t>
                  </w:r>
                  <w:r>
                    <w:rPr>
                      <w:color w:val="auto"/>
                      <w:szCs w:val="21"/>
                    </w:rPr>
                    <w:t>运输</w:t>
                  </w:r>
                </w:p>
              </w:tc>
              <w:tc>
                <w:tcPr>
                  <w:tcW w:w="258" w:type="pct"/>
                  <w:vMerge w:val="restart"/>
                  <w:tcBorders>
                    <w:tl2br w:val="nil"/>
                    <w:tr2bl w:val="nil"/>
                  </w:tcBorders>
                  <w:vAlign w:val="center"/>
                </w:tcPr>
                <w:p>
                  <w:pPr>
                    <w:jc w:val="center"/>
                    <w:rPr>
                      <w:color w:val="auto"/>
                      <w:szCs w:val="21"/>
                    </w:rPr>
                  </w:pPr>
                  <w:r>
                    <w:rPr>
                      <w:color w:val="auto"/>
                      <w:szCs w:val="21"/>
                    </w:rPr>
                    <w:t>无组织</w:t>
                  </w:r>
                </w:p>
              </w:tc>
              <w:tc>
                <w:tcPr>
                  <w:tcW w:w="258" w:type="pct"/>
                  <w:vMerge w:val="continue"/>
                  <w:tcBorders>
                    <w:tl2br w:val="nil"/>
                    <w:tr2bl w:val="nil"/>
                  </w:tcBorders>
                  <w:vAlign w:val="center"/>
                </w:tcPr>
                <w:p>
                  <w:pPr>
                    <w:jc w:val="center"/>
                    <w:rPr>
                      <w:color w:val="auto"/>
                      <w:szCs w:val="21"/>
                    </w:rPr>
                  </w:pPr>
                </w:p>
              </w:tc>
              <w:tc>
                <w:tcPr>
                  <w:tcW w:w="482"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13.29</w:t>
                  </w:r>
                </w:p>
              </w:tc>
              <w:tc>
                <w:tcPr>
                  <w:tcW w:w="418" w:type="pct"/>
                  <w:tcBorders>
                    <w:tl2br w:val="nil"/>
                    <w:tr2bl w:val="nil"/>
                  </w:tcBorders>
                  <w:vAlign w:val="center"/>
                </w:tcPr>
                <w:p>
                  <w:pPr>
                    <w:jc w:val="center"/>
                    <w:rPr>
                      <w:color w:val="auto"/>
                      <w:szCs w:val="21"/>
                    </w:rPr>
                  </w:pPr>
                  <w:r>
                    <w:rPr>
                      <w:rFonts w:hint="eastAsia"/>
                      <w:color w:val="auto"/>
                      <w:szCs w:val="21"/>
                    </w:rPr>
                    <w:t>99.2</w:t>
                  </w:r>
                </w:p>
              </w:tc>
              <w:tc>
                <w:tcPr>
                  <w:tcW w:w="418" w:type="pct"/>
                  <w:tcBorders>
                    <w:tl2br w:val="nil"/>
                    <w:tr2bl w:val="nil"/>
                  </w:tcBorders>
                  <w:vAlign w:val="center"/>
                </w:tcPr>
                <w:p>
                  <w:pPr>
                    <w:jc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106</w:t>
                  </w:r>
                </w:p>
              </w:tc>
              <w:tc>
                <w:tcPr>
                  <w:tcW w:w="470" w:type="pct"/>
                  <w:tcBorders>
                    <w:tl2br w:val="nil"/>
                    <w:tr2bl w:val="nil"/>
                  </w:tcBorders>
                  <w:vAlign w:val="center"/>
                </w:tcPr>
                <w:p>
                  <w:pPr>
                    <w:jc w:val="center"/>
                    <w:rPr>
                      <w:color w:val="auto"/>
                      <w:szCs w:val="21"/>
                    </w:rPr>
                  </w:pPr>
                  <w:r>
                    <w:rPr>
                      <w:rFonts w:hint="eastAsia"/>
                      <w:color w:val="auto"/>
                      <w:szCs w:val="21"/>
                    </w:rPr>
                    <w:t>/</w:t>
                  </w:r>
                </w:p>
              </w:tc>
              <w:tc>
                <w:tcPr>
                  <w:tcW w:w="427" w:type="pct"/>
                  <w:tcBorders>
                    <w:tl2br w:val="nil"/>
                    <w:tr2bl w:val="nil"/>
                  </w:tcBorders>
                  <w:vAlign w:val="center"/>
                </w:tcPr>
                <w:p>
                  <w:pPr>
                    <w:jc w:val="center"/>
                    <w:rPr>
                      <w:color w:val="auto"/>
                      <w:szCs w:val="21"/>
                    </w:rPr>
                  </w:pPr>
                  <w:r>
                    <w:rPr>
                      <w:rFonts w:hint="eastAsia"/>
                      <w:color w:val="auto"/>
                      <w:szCs w:val="21"/>
                    </w:rPr>
                    <w:t>/</w:t>
                  </w:r>
                </w:p>
              </w:tc>
              <w:tc>
                <w:tcPr>
                  <w:tcW w:w="1021" w:type="pct"/>
                  <w:vMerge w:val="restart"/>
                  <w:tcBorders>
                    <w:right w:val="single" w:color="000000" w:sz="4" w:space="0"/>
                    <w:tl2br w:val="nil"/>
                    <w:tr2bl w:val="nil"/>
                  </w:tcBorders>
                  <w:vAlign w:val="center"/>
                </w:tcPr>
                <w:p>
                  <w:pPr>
                    <w:jc w:val="center"/>
                    <w:rPr>
                      <w:color w:val="auto"/>
                      <w:szCs w:val="21"/>
                    </w:rPr>
                  </w:pPr>
                  <w:r>
                    <w:rPr>
                      <w:color w:val="auto"/>
                      <w:szCs w:val="21"/>
                    </w:rPr>
                    <w:t>《水泥工业大气污染物排放标准》GB4915-2013</w:t>
                  </w:r>
                  <w:r>
                    <w:rPr>
                      <w:rFonts w:hint="eastAsia"/>
                      <w:color w:val="auto"/>
                      <w:szCs w:val="21"/>
                    </w:rPr>
                    <w:t>表3限值</w:t>
                  </w:r>
                </w:p>
              </w:tc>
              <w:tc>
                <w:tcPr>
                  <w:tcW w:w="297" w:type="pct"/>
                  <w:vMerge w:val="restart"/>
                  <w:tcBorders>
                    <w:left w:val="single" w:color="000000" w:sz="4" w:space="0"/>
                    <w:tl2br w:val="nil"/>
                    <w:tr2bl w:val="nil"/>
                  </w:tcBorders>
                  <w:vAlign w:val="center"/>
                </w:tcPr>
                <w:p>
                  <w:pPr>
                    <w:jc w:val="center"/>
                    <w:rPr>
                      <w:color w:val="auto"/>
                      <w:szCs w:val="21"/>
                    </w:rPr>
                  </w:pPr>
                  <w:r>
                    <w:rPr>
                      <w:color w:val="auto"/>
                      <w:szCs w:val="21"/>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47" w:type="pct"/>
                  <w:gridSpan w:val="3"/>
                  <w:tcBorders>
                    <w:tl2br w:val="nil"/>
                    <w:tr2bl w:val="nil"/>
                  </w:tcBorders>
                  <w:vAlign w:val="center"/>
                </w:tcPr>
                <w:p>
                  <w:pPr>
                    <w:jc w:val="center"/>
                    <w:rPr>
                      <w:color w:val="auto"/>
                      <w:szCs w:val="21"/>
                    </w:rPr>
                  </w:pPr>
                  <w:r>
                    <w:rPr>
                      <w:rFonts w:hint="eastAsia"/>
                      <w:color w:val="auto"/>
                    </w:rPr>
                    <w:t>砂石料装卸、储存粉尘</w:t>
                  </w:r>
                </w:p>
              </w:tc>
              <w:tc>
                <w:tcPr>
                  <w:tcW w:w="258"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482" w:type="pct"/>
                  <w:tcBorders>
                    <w:tl2br w:val="nil"/>
                    <w:tr2bl w:val="nil"/>
                  </w:tcBorders>
                  <w:vAlign w:val="center"/>
                </w:tcPr>
                <w:p>
                  <w:pPr>
                    <w:jc w:val="center"/>
                    <w:rPr>
                      <w:color w:val="auto"/>
                      <w:szCs w:val="21"/>
                    </w:rPr>
                  </w:pPr>
                  <w:r>
                    <w:rPr>
                      <w:rFonts w:hint="eastAsia"/>
                      <w:color w:val="auto"/>
                      <w:szCs w:val="21"/>
                    </w:rPr>
                    <w:t>164.76</w:t>
                  </w:r>
                </w:p>
              </w:tc>
              <w:tc>
                <w:tcPr>
                  <w:tcW w:w="418" w:type="pct"/>
                  <w:tcBorders>
                    <w:tl2br w:val="nil"/>
                    <w:tr2bl w:val="nil"/>
                  </w:tcBorders>
                  <w:vAlign w:val="center"/>
                </w:tcPr>
                <w:p>
                  <w:pPr>
                    <w:jc w:val="center"/>
                    <w:rPr>
                      <w:color w:val="auto"/>
                      <w:szCs w:val="21"/>
                    </w:rPr>
                  </w:pPr>
                  <w:r>
                    <w:rPr>
                      <w:rFonts w:hint="eastAsia"/>
                      <w:color w:val="auto"/>
                      <w:szCs w:val="21"/>
                    </w:rPr>
                    <w:t>93.36</w:t>
                  </w:r>
                </w:p>
              </w:tc>
              <w:tc>
                <w:tcPr>
                  <w:tcW w:w="418" w:type="pct"/>
                  <w:tcBorders>
                    <w:tl2br w:val="nil"/>
                    <w:tr2bl w:val="nil"/>
                  </w:tcBorders>
                  <w:vAlign w:val="center"/>
                </w:tcPr>
                <w:p>
                  <w:pPr>
                    <w:jc w:val="center"/>
                    <w:rPr>
                      <w:color w:val="auto"/>
                      <w:szCs w:val="21"/>
                    </w:rPr>
                  </w:pPr>
                  <w:r>
                    <w:rPr>
                      <w:rFonts w:hint="eastAsia"/>
                      <w:color w:val="auto"/>
                      <w:szCs w:val="21"/>
                    </w:rPr>
                    <w:t>10.94</w:t>
                  </w:r>
                </w:p>
              </w:tc>
              <w:tc>
                <w:tcPr>
                  <w:tcW w:w="470" w:type="pct"/>
                  <w:tcBorders>
                    <w:tl2br w:val="nil"/>
                    <w:tr2bl w:val="nil"/>
                  </w:tcBorders>
                  <w:vAlign w:val="center"/>
                </w:tcPr>
                <w:p>
                  <w:pPr>
                    <w:jc w:val="center"/>
                    <w:rPr>
                      <w:color w:val="auto"/>
                      <w:szCs w:val="21"/>
                    </w:rPr>
                  </w:pPr>
                  <w:r>
                    <w:rPr>
                      <w:rFonts w:hint="eastAsia"/>
                      <w:color w:val="auto"/>
                      <w:szCs w:val="21"/>
                    </w:rPr>
                    <w:t>/</w:t>
                  </w:r>
                </w:p>
              </w:tc>
              <w:tc>
                <w:tcPr>
                  <w:tcW w:w="427" w:type="pct"/>
                  <w:tcBorders>
                    <w:tl2br w:val="nil"/>
                    <w:tr2bl w:val="nil"/>
                  </w:tcBorders>
                  <w:vAlign w:val="center"/>
                </w:tcPr>
                <w:p>
                  <w:pPr>
                    <w:jc w:val="center"/>
                    <w:rPr>
                      <w:color w:val="auto"/>
                      <w:szCs w:val="21"/>
                    </w:rPr>
                  </w:pPr>
                  <w:r>
                    <w:rPr>
                      <w:rFonts w:hint="eastAsia"/>
                      <w:color w:val="auto"/>
                      <w:szCs w:val="21"/>
                    </w:rPr>
                    <w:t>/</w:t>
                  </w:r>
                </w:p>
              </w:tc>
              <w:tc>
                <w:tcPr>
                  <w:tcW w:w="1021" w:type="pct"/>
                  <w:vMerge w:val="continue"/>
                  <w:tcBorders>
                    <w:right w:val="single" w:color="000000" w:sz="4" w:space="0"/>
                    <w:tl2br w:val="nil"/>
                    <w:tr2bl w:val="nil"/>
                  </w:tcBorders>
                  <w:vAlign w:val="center"/>
                </w:tcPr>
                <w:p>
                  <w:pPr>
                    <w:jc w:val="center"/>
                    <w:rPr>
                      <w:color w:val="auto"/>
                      <w:szCs w:val="21"/>
                    </w:rPr>
                  </w:pPr>
                </w:p>
              </w:tc>
              <w:tc>
                <w:tcPr>
                  <w:tcW w:w="297" w:type="pct"/>
                  <w:vMerge w:val="continue"/>
                  <w:tcBorders>
                    <w:left w:val="single" w:color="000000" w:sz="4" w:space="0"/>
                    <w:tl2br w:val="nil"/>
                    <w:tr2bl w:val="nil"/>
                  </w:tcBorders>
                  <w:vAlign w:val="center"/>
                </w:tcPr>
                <w:p>
                  <w:pPr>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47" w:type="pct"/>
                  <w:gridSpan w:val="3"/>
                  <w:tcBorders>
                    <w:tl2br w:val="nil"/>
                    <w:tr2bl w:val="nil"/>
                  </w:tcBorders>
                  <w:vAlign w:val="center"/>
                </w:tcPr>
                <w:p>
                  <w:pPr>
                    <w:jc w:val="center"/>
                    <w:rPr>
                      <w:color w:val="auto"/>
                    </w:rPr>
                  </w:pPr>
                  <w:r>
                    <w:rPr>
                      <w:rFonts w:hint="eastAsia"/>
                      <w:color w:val="auto"/>
                      <w:szCs w:val="21"/>
                    </w:rPr>
                    <w:t>搅拌粉尘</w:t>
                  </w:r>
                </w:p>
              </w:tc>
              <w:tc>
                <w:tcPr>
                  <w:tcW w:w="258" w:type="pct"/>
                  <w:vMerge w:val="continue"/>
                  <w:tcBorders>
                    <w:tl2br w:val="nil"/>
                    <w:tr2bl w:val="nil"/>
                  </w:tcBorders>
                  <w:vAlign w:val="center"/>
                </w:tcPr>
                <w:p>
                  <w:pPr>
                    <w:jc w:val="center"/>
                    <w:rPr>
                      <w:color w:val="auto"/>
                      <w:szCs w:val="21"/>
                    </w:rPr>
                  </w:pPr>
                </w:p>
              </w:tc>
              <w:tc>
                <w:tcPr>
                  <w:tcW w:w="258" w:type="pct"/>
                  <w:vMerge w:val="continue"/>
                  <w:tcBorders>
                    <w:tl2br w:val="nil"/>
                    <w:tr2bl w:val="nil"/>
                  </w:tcBorders>
                  <w:vAlign w:val="center"/>
                </w:tcPr>
                <w:p>
                  <w:pPr>
                    <w:jc w:val="center"/>
                    <w:rPr>
                      <w:color w:val="auto"/>
                      <w:szCs w:val="21"/>
                    </w:rPr>
                  </w:pPr>
                </w:p>
              </w:tc>
              <w:tc>
                <w:tcPr>
                  <w:tcW w:w="482" w:type="pct"/>
                  <w:tcBorders>
                    <w:tl2br w:val="nil"/>
                    <w:tr2bl w:val="nil"/>
                  </w:tcBorders>
                  <w:vAlign w:val="center"/>
                </w:tcPr>
                <w:p>
                  <w:pPr>
                    <w:jc w:val="center"/>
                    <w:rPr>
                      <w:color w:val="auto"/>
                      <w:szCs w:val="21"/>
                    </w:rPr>
                  </w:pPr>
                  <w:r>
                    <w:rPr>
                      <w:rFonts w:hint="eastAsia"/>
                      <w:color w:val="auto"/>
                      <w:szCs w:val="21"/>
                    </w:rPr>
                    <w:t>1.794</w:t>
                  </w:r>
                </w:p>
              </w:tc>
              <w:tc>
                <w:tcPr>
                  <w:tcW w:w="418" w:type="pct"/>
                  <w:tcBorders>
                    <w:tl2br w:val="nil"/>
                    <w:tr2bl w:val="nil"/>
                  </w:tcBorders>
                  <w:vAlign w:val="center"/>
                </w:tcPr>
                <w:p>
                  <w:pPr>
                    <w:jc w:val="center"/>
                    <w:rPr>
                      <w:color w:val="auto"/>
                      <w:szCs w:val="21"/>
                    </w:rPr>
                  </w:pPr>
                  <w:r>
                    <w:rPr>
                      <w:rFonts w:hint="eastAsia"/>
                      <w:color w:val="auto"/>
                      <w:szCs w:val="21"/>
                    </w:rPr>
                    <w:t>90%</w:t>
                  </w:r>
                </w:p>
              </w:tc>
              <w:tc>
                <w:tcPr>
                  <w:tcW w:w="418" w:type="pct"/>
                  <w:tcBorders>
                    <w:tl2br w:val="nil"/>
                    <w:tr2bl w:val="nil"/>
                  </w:tcBorders>
                  <w:vAlign w:val="center"/>
                </w:tcPr>
                <w:p>
                  <w:pPr>
                    <w:jc w:val="center"/>
                    <w:rPr>
                      <w:color w:val="auto"/>
                      <w:szCs w:val="21"/>
                    </w:rPr>
                  </w:pPr>
                  <w:r>
                    <w:rPr>
                      <w:rFonts w:hint="eastAsia"/>
                      <w:color w:val="auto"/>
                      <w:szCs w:val="21"/>
                    </w:rPr>
                    <w:t>0.179</w:t>
                  </w:r>
                </w:p>
              </w:tc>
              <w:tc>
                <w:tcPr>
                  <w:tcW w:w="470" w:type="pct"/>
                  <w:tcBorders>
                    <w:tl2br w:val="nil"/>
                    <w:tr2bl w:val="nil"/>
                  </w:tcBorders>
                  <w:vAlign w:val="center"/>
                </w:tcPr>
                <w:p>
                  <w:pPr>
                    <w:jc w:val="center"/>
                    <w:rPr>
                      <w:color w:val="auto"/>
                      <w:szCs w:val="21"/>
                    </w:rPr>
                  </w:pPr>
                  <w:r>
                    <w:rPr>
                      <w:rFonts w:hint="eastAsia"/>
                      <w:color w:val="auto"/>
                      <w:szCs w:val="21"/>
                    </w:rPr>
                    <w:t>/</w:t>
                  </w:r>
                </w:p>
              </w:tc>
              <w:tc>
                <w:tcPr>
                  <w:tcW w:w="427" w:type="pct"/>
                  <w:tcBorders>
                    <w:tl2br w:val="nil"/>
                    <w:tr2bl w:val="nil"/>
                  </w:tcBorders>
                  <w:vAlign w:val="center"/>
                </w:tcPr>
                <w:p>
                  <w:pPr>
                    <w:jc w:val="center"/>
                    <w:rPr>
                      <w:color w:val="auto"/>
                      <w:szCs w:val="21"/>
                    </w:rPr>
                  </w:pPr>
                  <w:r>
                    <w:rPr>
                      <w:rFonts w:hint="eastAsia"/>
                      <w:color w:val="auto"/>
                      <w:szCs w:val="21"/>
                    </w:rPr>
                    <w:t>/</w:t>
                  </w:r>
                </w:p>
              </w:tc>
              <w:tc>
                <w:tcPr>
                  <w:tcW w:w="1021" w:type="pct"/>
                  <w:vMerge w:val="continue"/>
                  <w:tcBorders>
                    <w:right w:val="single" w:color="000000" w:sz="4" w:space="0"/>
                    <w:tl2br w:val="nil"/>
                    <w:tr2bl w:val="nil"/>
                  </w:tcBorders>
                  <w:vAlign w:val="center"/>
                </w:tcPr>
                <w:p>
                  <w:pPr>
                    <w:jc w:val="center"/>
                    <w:rPr>
                      <w:color w:val="auto"/>
                      <w:szCs w:val="21"/>
                    </w:rPr>
                  </w:pPr>
                </w:p>
              </w:tc>
              <w:tc>
                <w:tcPr>
                  <w:tcW w:w="297" w:type="pct"/>
                  <w:vMerge w:val="continue"/>
                  <w:tcBorders>
                    <w:left w:val="single" w:color="000000" w:sz="4" w:space="0"/>
                    <w:tl2br w:val="nil"/>
                    <w:tr2bl w:val="nil"/>
                  </w:tcBorders>
                  <w:vAlign w:val="center"/>
                </w:tcPr>
                <w:p>
                  <w:pPr>
                    <w:jc w:val="center"/>
                    <w:rPr>
                      <w:color w:val="auto"/>
                      <w:szCs w:val="21"/>
                    </w:rPr>
                  </w:pPr>
                </w:p>
              </w:tc>
            </w:tr>
          </w:tbl>
          <w:p>
            <w:pPr>
              <w:widowControl/>
              <w:spacing w:line="520" w:lineRule="exact"/>
              <w:ind w:firstLine="482" w:firstLineChars="200"/>
              <w:rPr>
                <w:b/>
                <w:bCs/>
                <w:color w:val="auto"/>
                <w:sz w:val="24"/>
              </w:rPr>
            </w:pPr>
            <w:r>
              <w:rPr>
                <w:rFonts w:hint="eastAsia"/>
                <w:b/>
                <w:bCs/>
                <w:color w:val="auto"/>
                <w:sz w:val="24"/>
              </w:rPr>
              <w:t>1.2排放口基本情况</w:t>
            </w:r>
          </w:p>
          <w:p>
            <w:pPr>
              <w:tabs>
                <w:tab w:val="left" w:pos="1440"/>
              </w:tabs>
              <w:spacing w:line="360" w:lineRule="auto"/>
              <w:ind w:firstLine="420" w:firstLineChars="200"/>
              <w:rPr>
                <w:color w:val="auto"/>
              </w:rPr>
            </w:pPr>
            <w:r>
              <w:rPr>
                <w:rFonts w:hint="eastAsia"/>
                <w:color w:val="auto"/>
              </w:rPr>
              <w:t>本次项目排放口基本情况见表4-</w:t>
            </w:r>
            <w:r>
              <w:rPr>
                <w:rFonts w:hint="eastAsia"/>
                <w:color w:val="auto"/>
                <w:lang w:val="en-US" w:eastAsia="zh-CN"/>
              </w:rPr>
              <w:t>6</w:t>
            </w:r>
            <w:r>
              <w:rPr>
                <w:rFonts w:hint="eastAsia"/>
                <w:color w:val="auto"/>
              </w:rPr>
              <w:t>。</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w:t>
            </w:r>
            <w:r>
              <w:rPr>
                <w:rFonts w:hint="eastAsia" w:ascii="Times New Roman" w:hAnsi="Times New Roman" w:eastAsia="宋体" w:cs="Times New Roman"/>
                <w:b/>
                <w:color w:val="auto"/>
                <w:szCs w:val="21"/>
                <w:lang w:val="en-US" w:eastAsia="zh-CN"/>
              </w:rPr>
              <w:t>6</w:t>
            </w:r>
            <w:r>
              <w:rPr>
                <w:rFonts w:hint="eastAsia" w:ascii="Times New Roman" w:hAnsi="Times New Roman" w:eastAsia="宋体" w:cs="Times New Roman"/>
                <w:b/>
                <w:color w:val="auto"/>
                <w:szCs w:val="21"/>
              </w:rPr>
              <w:t xml:space="preserve">    大气污染物排放口设置一览表</w:t>
            </w:r>
          </w:p>
          <w:tbl>
            <w:tblPr>
              <w:tblStyle w:val="31"/>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fixed"/>
              <w:tblCellMar>
                <w:top w:w="0" w:type="dxa"/>
                <w:left w:w="108" w:type="dxa"/>
                <w:bottom w:w="0" w:type="dxa"/>
                <w:right w:w="108" w:type="dxa"/>
              </w:tblCellMar>
            </w:tblPr>
            <w:tblGrid>
              <w:gridCol w:w="991"/>
              <w:gridCol w:w="1059"/>
              <w:gridCol w:w="2866"/>
              <w:gridCol w:w="592"/>
              <w:gridCol w:w="907"/>
              <w:gridCol w:w="928"/>
              <w:gridCol w:w="898"/>
            </w:tblGrid>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429" w:hRule="atLeast"/>
                <w:jc w:val="center"/>
              </w:trPr>
              <w:tc>
                <w:tcPr>
                  <w:tcW w:w="601" w:type="pct"/>
                  <w:tcBorders>
                    <w:tl2br w:val="nil"/>
                    <w:tr2bl w:val="nil"/>
                  </w:tcBorders>
                  <w:vAlign w:val="center"/>
                </w:tcPr>
                <w:p>
                  <w:pPr>
                    <w:jc w:val="center"/>
                    <w:rPr>
                      <w:b/>
                      <w:bCs/>
                      <w:color w:val="auto"/>
                      <w:szCs w:val="21"/>
                    </w:rPr>
                  </w:pPr>
                  <w:r>
                    <w:rPr>
                      <w:b/>
                      <w:bCs/>
                      <w:color w:val="auto"/>
                      <w:szCs w:val="21"/>
                    </w:rPr>
                    <w:t>编号</w:t>
                  </w:r>
                </w:p>
              </w:tc>
              <w:tc>
                <w:tcPr>
                  <w:tcW w:w="642" w:type="pct"/>
                  <w:tcBorders>
                    <w:tl2br w:val="nil"/>
                    <w:tr2bl w:val="nil"/>
                  </w:tcBorders>
                  <w:vAlign w:val="center"/>
                </w:tcPr>
                <w:p>
                  <w:pPr>
                    <w:jc w:val="center"/>
                    <w:rPr>
                      <w:b/>
                      <w:bCs/>
                      <w:color w:val="auto"/>
                      <w:szCs w:val="21"/>
                    </w:rPr>
                  </w:pPr>
                  <w:r>
                    <w:rPr>
                      <w:b/>
                      <w:bCs/>
                      <w:color w:val="auto"/>
                      <w:szCs w:val="21"/>
                    </w:rPr>
                    <w:t>排放口名称</w:t>
                  </w:r>
                </w:p>
              </w:tc>
              <w:tc>
                <w:tcPr>
                  <w:tcW w:w="1738" w:type="pct"/>
                  <w:tcBorders>
                    <w:tl2br w:val="nil"/>
                    <w:tr2bl w:val="nil"/>
                  </w:tcBorders>
                  <w:vAlign w:val="center"/>
                </w:tcPr>
                <w:p>
                  <w:pPr>
                    <w:jc w:val="center"/>
                    <w:rPr>
                      <w:b/>
                      <w:bCs/>
                      <w:color w:val="auto"/>
                      <w:szCs w:val="21"/>
                    </w:rPr>
                  </w:pPr>
                  <w:r>
                    <w:rPr>
                      <w:b/>
                      <w:bCs/>
                      <w:color w:val="auto"/>
                      <w:szCs w:val="21"/>
                    </w:rPr>
                    <w:t>坐标</w:t>
                  </w:r>
                </w:p>
              </w:tc>
              <w:tc>
                <w:tcPr>
                  <w:tcW w:w="359" w:type="pct"/>
                  <w:tcBorders>
                    <w:tl2br w:val="nil"/>
                    <w:tr2bl w:val="nil"/>
                  </w:tcBorders>
                  <w:vAlign w:val="center"/>
                </w:tcPr>
                <w:p>
                  <w:pPr>
                    <w:jc w:val="center"/>
                    <w:rPr>
                      <w:b/>
                      <w:bCs/>
                      <w:color w:val="auto"/>
                      <w:szCs w:val="21"/>
                    </w:rPr>
                  </w:pPr>
                  <w:r>
                    <w:rPr>
                      <w:b/>
                      <w:bCs/>
                      <w:color w:val="auto"/>
                      <w:szCs w:val="21"/>
                    </w:rPr>
                    <w:t>高度</w:t>
                  </w:r>
                </w:p>
              </w:tc>
              <w:tc>
                <w:tcPr>
                  <w:tcW w:w="550" w:type="pct"/>
                  <w:tcBorders>
                    <w:tl2br w:val="nil"/>
                    <w:tr2bl w:val="nil"/>
                  </w:tcBorders>
                  <w:vAlign w:val="center"/>
                </w:tcPr>
                <w:p>
                  <w:pPr>
                    <w:jc w:val="center"/>
                    <w:rPr>
                      <w:b/>
                      <w:bCs/>
                      <w:color w:val="auto"/>
                      <w:szCs w:val="21"/>
                    </w:rPr>
                  </w:pPr>
                  <w:r>
                    <w:rPr>
                      <w:b/>
                      <w:bCs/>
                      <w:color w:val="auto"/>
                      <w:szCs w:val="21"/>
                    </w:rPr>
                    <w:t>出口内径</w:t>
                  </w:r>
                </w:p>
              </w:tc>
              <w:tc>
                <w:tcPr>
                  <w:tcW w:w="563" w:type="pct"/>
                  <w:tcBorders>
                    <w:tl2br w:val="nil"/>
                    <w:tr2bl w:val="nil"/>
                  </w:tcBorders>
                  <w:vAlign w:val="center"/>
                </w:tcPr>
                <w:p>
                  <w:pPr>
                    <w:jc w:val="center"/>
                    <w:rPr>
                      <w:b/>
                      <w:bCs/>
                      <w:color w:val="auto"/>
                      <w:szCs w:val="21"/>
                    </w:rPr>
                  </w:pPr>
                  <w:r>
                    <w:rPr>
                      <w:b/>
                      <w:bCs/>
                      <w:color w:val="auto"/>
                      <w:szCs w:val="21"/>
                    </w:rPr>
                    <w:t>排烟温度</w:t>
                  </w:r>
                </w:p>
              </w:tc>
              <w:tc>
                <w:tcPr>
                  <w:tcW w:w="544" w:type="pct"/>
                  <w:tcBorders>
                    <w:tl2br w:val="nil"/>
                    <w:tr2bl w:val="nil"/>
                  </w:tcBorders>
                  <w:vAlign w:val="center"/>
                </w:tcPr>
                <w:p>
                  <w:pPr>
                    <w:jc w:val="center"/>
                    <w:rPr>
                      <w:b/>
                      <w:bCs/>
                      <w:color w:val="auto"/>
                      <w:szCs w:val="21"/>
                    </w:rPr>
                  </w:pPr>
                  <w:r>
                    <w:rPr>
                      <w:b/>
                      <w:bCs/>
                      <w:color w:val="auto"/>
                      <w:szCs w:val="21"/>
                    </w:rPr>
                    <w:t>类型</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601" w:type="pct"/>
                  <w:tcBorders>
                    <w:tl2br w:val="nil"/>
                    <w:tr2bl w:val="nil"/>
                  </w:tcBorders>
                  <w:vAlign w:val="center"/>
                </w:tcPr>
                <w:p>
                  <w:pPr>
                    <w:jc w:val="center"/>
                    <w:rPr>
                      <w:color w:val="auto"/>
                      <w:szCs w:val="21"/>
                    </w:rPr>
                  </w:pPr>
                  <w:r>
                    <w:rPr>
                      <w:color w:val="auto"/>
                      <w:szCs w:val="21"/>
                    </w:rPr>
                    <w:t>DA00</w:t>
                  </w:r>
                  <w:r>
                    <w:rPr>
                      <w:rFonts w:hint="eastAsia"/>
                      <w:color w:val="auto"/>
                      <w:szCs w:val="21"/>
                    </w:rPr>
                    <w:t>1</w:t>
                  </w:r>
                </w:p>
              </w:tc>
              <w:tc>
                <w:tcPr>
                  <w:tcW w:w="642" w:type="pct"/>
                  <w:tcBorders>
                    <w:tl2br w:val="nil"/>
                    <w:tr2bl w:val="nil"/>
                  </w:tcBorders>
                  <w:vAlign w:val="center"/>
                </w:tcPr>
                <w:p>
                  <w:pPr>
                    <w:pStyle w:val="38"/>
                    <w:jc w:val="center"/>
                    <w:rPr>
                      <w:color w:val="auto"/>
                    </w:rPr>
                  </w:pPr>
                  <w:r>
                    <w:rPr>
                      <w:rFonts w:hint="eastAsia"/>
                      <w:color w:val="auto"/>
                    </w:rPr>
                    <w:t>水泥筒仓DA001</w:t>
                  </w:r>
                </w:p>
              </w:tc>
              <w:tc>
                <w:tcPr>
                  <w:tcW w:w="1738" w:type="pct"/>
                  <w:tcBorders>
                    <w:tl2br w:val="nil"/>
                    <w:tr2bl w:val="nil"/>
                  </w:tcBorders>
                  <w:vAlign w:val="center"/>
                </w:tcPr>
                <w:p>
                  <w:pPr>
                    <w:jc w:val="center"/>
                    <w:rPr>
                      <w:color w:val="auto"/>
                      <w:szCs w:val="21"/>
                    </w:rPr>
                  </w:pPr>
                  <w:r>
                    <w:rPr>
                      <w:rFonts w:hint="eastAsia"/>
                      <w:color w:val="auto"/>
                      <w:szCs w:val="21"/>
                    </w:rPr>
                    <w:t>E</w:t>
                  </w:r>
                  <w:r>
                    <w:rPr>
                      <w:color w:val="auto"/>
                      <w:szCs w:val="21"/>
                    </w:rPr>
                    <w:t>84°49′37.72″</w:t>
                  </w:r>
                  <w:r>
                    <w:rPr>
                      <w:rFonts w:hint="eastAsia"/>
                      <w:color w:val="auto"/>
                      <w:szCs w:val="21"/>
                    </w:rPr>
                    <w:t>，N</w:t>
                  </w:r>
                  <w:r>
                    <w:rPr>
                      <w:color w:val="auto"/>
                      <w:szCs w:val="21"/>
                    </w:rPr>
                    <w:t>44°27′30.01″</w:t>
                  </w:r>
                </w:p>
              </w:tc>
              <w:tc>
                <w:tcPr>
                  <w:tcW w:w="359" w:type="pct"/>
                  <w:tcBorders>
                    <w:tl2br w:val="nil"/>
                    <w:tr2bl w:val="nil"/>
                  </w:tcBorders>
                  <w:vAlign w:val="center"/>
                </w:tcPr>
                <w:p>
                  <w:pPr>
                    <w:jc w:val="center"/>
                    <w:rPr>
                      <w:color w:val="auto"/>
                      <w:szCs w:val="21"/>
                    </w:rPr>
                  </w:pPr>
                  <w:r>
                    <w:rPr>
                      <w:rFonts w:hint="eastAsia"/>
                      <w:color w:val="auto"/>
                      <w:szCs w:val="21"/>
                    </w:rPr>
                    <w:t>15</w:t>
                  </w:r>
                </w:p>
              </w:tc>
              <w:tc>
                <w:tcPr>
                  <w:tcW w:w="550" w:type="pct"/>
                  <w:tcBorders>
                    <w:tl2br w:val="nil"/>
                    <w:tr2bl w:val="nil"/>
                  </w:tcBorders>
                  <w:vAlign w:val="center"/>
                </w:tcPr>
                <w:p>
                  <w:pPr>
                    <w:jc w:val="center"/>
                    <w:rPr>
                      <w:color w:val="auto"/>
                      <w:szCs w:val="21"/>
                    </w:rPr>
                  </w:pPr>
                  <w:r>
                    <w:rPr>
                      <w:rFonts w:hint="eastAsia"/>
                      <w:color w:val="auto"/>
                      <w:szCs w:val="21"/>
                    </w:rPr>
                    <w:t>0.6</w:t>
                  </w:r>
                  <w:r>
                    <w:rPr>
                      <w:color w:val="auto"/>
                      <w:szCs w:val="21"/>
                    </w:rPr>
                    <w:t>m</w:t>
                  </w:r>
                </w:p>
              </w:tc>
              <w:tc>
                <w:tcPr>
                  <w:tcW w:w="563" w:type="pct"/>
                  <w:tcBorders>
                    <w:tl2br w:val="nil"/>
                    <w:tr2bl w:val="nil"/>
                  </w:tcBorders>
                  <w:vAlign w:val="center"/>
                </w:tcPr>
                <w:p>
                  <w:pPr>
                    <w:jc w:val="center"/>
                    <w:rPr>
                      <w:color w:val="auto"/>
                      <w:szCs w:val="21"/>
                    </w:rPr>
                  </w:pPr>
                  <w:r>
                    <w:rPr>
                      <w:rFonts w:hint="eastAsia"/>
                      <w:color w:val="auto"/>
                      <w:szCs w:val="21"/>
                    </w:rPr>
                    <w:t>25</w:t>
                  </w:r>
                  <w:r>
                    <w:rPr>
                      <w:color w:val="auto"/>
                      <w:szCs w:val="21"/>
                    </w:rPr>
                    <w:t>℃</w:t>
                  </w:r>
                </w:p>
              </w:tc>
              <w:tc>
                <w:tcPr>
                  <w:tcW w:w="544" w:type="pct"/>
                  <w:tcBorders>
                    <w:tl2br w:val="nil"/>
                    <w:tr2bl w:val="nil"/>
                  </w:tcBorders>
                  <w:vAlign w:val="center"/>
                </w:tcPr>
                <w:p>
                  <w:pPr>
                    <w:jc w:val="center"/>
                    <w:rPr>
                      <w:color w:val="auto"/>
                      <w:szCs w:val="21"/>
                    </w:rPr>
                  </w:pPr>
                  <w:r>
                    <w:rPr>
                      <w:color w:val="auto"/>
                      <w:szCs w:val="21"/>
                    </w:rPr>
                    <w:t>一般排放口</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601" w:type="pct"/>
                  <w:tcBorders>
                    <w:tl2br w:val="nil"/>
                    <w:tr2bl w:val="nil"/>
                  </w:tcBorders>
                  <w:vAlign w:val="center"/>
                </w:tcPr>
                <w:p>
                  <w:pPr>
                    <w:jc w:val="center"/>
                    <w:rPr>
                      <w:color w:val="auto"/>
                      <w:szCs w:val="21"/>
                    </w:rPr>
                  </w:pPr>
                  <w:r>
                    <w:rPr>
                      <w:color w:val="auto"/>
                      <w:szCs w:val="21"/>
                    </w:rPr>
                    <w:t>DA00</w:t>
                  </w:r>
                  <w:r>
                    <w:rPr>
                      <w:rFonts w:hint="eastAsia"/>
                      <w:color w:val="auto"/>
                      <w:szCs w:val="21"/>
                    </w:rPr>
                    <w:t>2</w:t>
                  </w:r>
                </w:p>
              </w:tc>
              <w:tc>
                <w:tcPr>
                  <w:tcW w:w="642" w:type="pct"/>
                  <w:tcBorders>
                    <w:tl2br w:val="nil"/>
                    <w:tr2bl w:val="nil"/>
                  </w:tcBorders>
                  <w:vAlign w:val="center"/>
                </w:tcPr>
                <w:p>
                  <w:pPr>
                    <w:pStyle w:val="38"/>
                    <w:jc w:val="center"/>
                    <w:rPr>
                      <w:color w:val="auto"/>
                    </w:rPr>
                  </w:pPr>
                  <w:r>
                    <w:rPr>
                      <w:rFonts w:hint="eastAsia"/>
                      <w:color w:val="auto"/>
                    </w:rPr>
                    <w:t>粉煤灰筒仓DA002</w:t>
                  </w:r>
                </w:p>
              </w:tc>
              <w:tc>
                <w:tcPr>
                  <w:tcW w:w="1738" w:type="pct"/>
                  <w:tcBorders>
                    <w:tl2br w:val="nil"/>
                    <w:tr2bl w:val="nil"/>
                  </w:tcBorders>
                  <w:vAlign w:val="center"/>
                </w:tcPr>
                <w:p>
                  <w:pPr>
                    <w:jc w:val="center"/>
                    <w:rPr>
                      <w:color w:val="auto"/>
                      <w:szCs w:val="21"/>
                    </w:rPr>
                  </w:pPr>
                  <w:r>
                    <w:rPr>
                      <w:rFonts w:hint="eastAsia"/>
                      <w:color w:val="auto"/>
                      <w:szCs w:val="21"/>
                    </w:rPr>
                    <w:t>E</w:t>
                  </w:r>
                  <w:r>
                    <w:rPr>
                      <w:color w:val="auto"/>
                      <w:szCs w:val="21"/>
                    </w:rPr>
                    <w:t>84°49′38.38″</w:t>
                  </w:r>
                  <w:r>
                    <w:rPr>
                      <w:rFonts w:hint="eastAsia"/>
                      <w:color w:val="auto"/>
                      <w:szCs w:val="21"/>
                    </w:rPr>
                    <w:t>，N</w:t>
                  </w:r>
                  <w:r>
                    <w:rPr>
                      <w:color w:val="auto"/>
                      <w:szCs w:val="21"/>
                    </w:rPr>
                    <w:t>44°27′29.93″</w:t>
                  </w:r>
                </w:p>
              </w:tc>
              <w:tc>
                <w:tcPr>
                  <w:tcW w:w="359" w:type="pct"/>
                  <w:tcBorders>
                    <w:tl2br w:val="nil"/>
                    <w:tr2bl w:val="nil"/>
                  </w:tcBorders>
                  <w:vAlign w:val="center"/>
                </w:tcPr>
                <w:p>
                  <w:pPr>
                    <w:jc w:val="center"/>
                    <w:rPr>
                      <w:color w:val="auto"/>
                      <w:szCs w:val="21"/>
                    </w:rPr>
                  </w:pPr>
                  <w:r>
                    <w:rPr>
                      <w:rFonts w:hint="eastAsia"/>
                      <w:color w:val="auto"/>
                      <w:szCs w:val="21"/>
                    </w:rPr>
                    <w:t>15</w:t>
                  </w:r>
                </w:p>
              </w:tc>
              <w:tc>
                <w:tcPr>
                  <w:tcW w:w="550" w:type="pct"/>
                  <w:tcBorders>
                    <w:tl2br w:val="nil"/>
                    <w:tr2bl w:val="nil"/>
                  </w:tcBorders>
                  <w:vAlign w:val="center"/>
                </w:tcPr>
                <w:p>
                  <w:pPr>
                    <w:jc w:val="center"/>
                    <w:rPr>
                      <w:color w:val="auto"/>
                      <w:szCs w:val="21"/>
                    </w:rPr>
                  </w:pPr>
                  <w:r>
                    <w:rPr>
                      <w:rFonts w:hint="eastAsia"/>
                      <w:color w:val="auto"/>
                      <w:szCs w:val="21"/>
                    </w:rPr>
                    <w:t>0.6</w:t>
                  </w:r>
                  <w:r>
                    <w:rPr>
                      <w:color w:val="auto"/>
                      <w:szCs w:val="21"/>
                    </w:rPr>
                    <w:t>m</w:t>
                  </w:r>
                </w:p>
              </w:tc>
              <w:tc>
                <w:tcPr>
                  <w:tcW w:w="563" w:type="pct"/>
                  <w:tcBorders>
                    <w:tl2br w:val="nil"/>
                    <w:tr2bl w:val="nil"/>
                  </w:tcBorders>
                  <w:vAlign w:val="center"/>
                </w:tcPr>
                <w:p>
                  <w:pPr>
                    <w:jc w:val="center"/>
                    <w:rPr>
                      <w:color w:val="auto"/>
                      <w:szCs w:val="21"/>
                    </w:rPr>
                  </w:pPr>
                  <w:r>
                    <w:rPr>
                      <w:rFonts w:hint="eastAsia"/>
                      <w:color w:val="auto"/>
                      <w:szCs w:val="21"/>
                    </w:rPr>
                    <w:t>25</w:t>
                  </w:r>
                  <w:r>
                    <w:rPr>
                      <w:color w:val="auto"/>
                      <w:szCs w:val="21"/>
                    </w:rPr>
                    <w:t>℃</w:t>
                  </w:r>
                </w:p>
              </w:tc>
              <w:tc>
                <w:tcPr>
                  <w:tcW w:w="544" w:type="pct"/>
                  <w:tcBorders>
                    <w:tl2br w:val="nil"/>
                    <w:tr2bl w:val="nil"/>
                  </w:tcBorders>
                  <w:vAlign w:val="center"/>
                </w:tcPr>
                <w:p>
                  <w:pPr>
                    <w:jc w:val="center"/>
                    <w:rPr>
                      <w:color w:val="auto"/>
                      <w:szCs w:val="21"/>
                    </w:rPr>
                  </w:pPr>
                  <w:r>
                    <w:rPr>
                      <w:color w:val="auto"/>
                      <w:szCs w:val="21"/>
                    </w:rPr>
                    <w:t>一般排放口</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601" w:type="pct"/>
                  <w:tcBorders>
                    <w:tl2br w:val="nil"/>
                    <w:tr2bl w:val="nil"/>
                  </w:tcBorders>
                  <w:vAlign w:val="center"/>
                </w:tcPr>
                <w:p>
                  <w:pPr>
                    <w:jc w:val="center"/>
                    <w:rPr>
                      <w:color w:val="auto"/>
                      <w:szCs w:val="21"/>
                    </w:rPr>
                  </w:pPr>
                  <w:r>
                    <w:rPr>
                      <w:color w:val="auto"/>
                      <w:szCs w:val="21"/>
                    </w:rPr>
                    <w:t>DA00</w:t>
                  </w:r>
                  <w:r>
                    <w:rPr>
                      <w:rFonts w:hint="eastAsia"/>
                      <w:color w:val="auto"/>
                      <w:szCs w:val="21"/>
                    </w:rPr>
                    <w:t>3</w:t>
                  </w:r>
                </w:p>
              </w:tc>
              <w:tc>
                <w:tcPr>
                  <w:tcW w:w="642" w:type="pct"/>
                  <w:tcBorders>
                    <w:tl2br w:val="nil"/>
                    <w:tr2bl w:val="nil"/>
                  </w:tcBorders>
                  <w:vAlign w:val="center"/>
                </w:tcPr>
                <w:p>
                  <w:pPr>
                    <w:pStyle w:val="38"/>
                    <w:jc w:val="center"/>
                    <w:rPr>
                      <w:color w:val="auto"/>
                    </w:rPr>
                  </w:pPr>
                  <w:r>
                    <w:rPr>
                      <w:rFonts w:hint="eastAsia"/>
                      <w:color w:val="auto"/>
                    </w:rPr>
                    <w:t>矿粉筒仓DA003</w:t>
                  </w:r>
                </w:p>
              </w:tc>
              <w:tc>
                <w:tcPr>
                  <w:tcW w:w="2866" w:type="dxa"/>
                  <w:tcBorders>
                    <w:tl2br w:val="nil"/>
                    <w:tr2bl w:val="nil"/>
                  </w:tcBorders>
                  <w:vAlign w:val="center"/>
                </w:tcPr>
                <w:p>
                  <w:pPr>
                    <w:jc w:val="center"/>
                    <w:rPr>
                      <w:color w:val="auto"/>
                      <w:szCs w:val="21"/>
                    </w:rPr>
                  </w:pPr>
                  <w:r>
                    <w:rPr>
                      <w:rFonts w:hint="eastAsia"/>
                      <w:color w:val="auto"/>
                      <w:szCs w:val="21"/>
                    </w:rPr>
                    <w:t>E</w:t>
                  </w:r>
                  <w:r>
                    <w:rPr>
                      <w:color w:val="auto"/>
                      <w:szCs w:val="21"/>
                    </w:rPr>
                    <w:t>84°49′38.84″</w:t>
                  </w:r>
                  <w:r>
                    <w:rPr>
                      <w:rFonts w:hint="eastAsia"/>
                      <w:color w:val="auto"/>
                      <w:szCs w:val="21"/>
                    </w:rPr>
                    <w:t>，N</w:t>
                  </w:r>
                  <w:r>
                    <w:rPr>
                      <w:color w:val="auto"/>
                      <w:szCs w:val="21"/>
                    </w:rPr>
                    <w:t>44°27′29.90″</w:t>
                  </w:r>
                </w:p>
              </w:tc>
              <w:tc>
                <w:tcPr>
                  <w:tcW w:w="359" w:type="pct"/>
                  <w:tcBorders>
                    <w:tl2br w:val="nil"/>
                    <w:tr2bl w:val="nil"/>
                  </w:tcBorders>
                  <w:vAlign w:val="center"/>
                </w:tcPr>
                <w:p>
                  <w:pPr>
                    <w:jc w:val="center"/>
                    <w:rPr>
                      <w:color w:val="auto"/>
                      <w:szCs w:val="21"/>
                    </w:rPr>
                  </w:pPr>
                  <w:r>
                    <w:rPr>
                      <w:rFonts w:hint="eastAsia"/>
                      <w:color w:val="auto"/>
                      <w:szCs w:val="21"/>
                    </w:rPr>
                    <w:t>15</w:t>
                  </w:r>
                </w:p>
              </w:tc>
              <w:tc>
                <w:tcPr>
                  <w:tcW w:w="550" w:type="pct"/>
                  <w:tcBorders>
                    <w:tl2br w:val="nil"/>
                    <w:tr2bl w:val="nil"/>
                  </w:tcBorders>
                  <w:vAlign w:val="center"/>
                </w:tcPr>
                <w:p>
                  <w:pPr>
                    <w:jc w:val="center"/>
                    <w:rPr>
                      <w:color w:val="auto"/>
                      <w:szCs w:val="21"/>
                    </w:rPr>
                  </w:pPr>
                  <w:r>
                    <w:rPr>
                      <w:rFonts w:hint="eastAsia"/>
                      <w:color w:val="auto"/>
                      <w:szCs w:val="21"/>
                    </w:rPr>
                    <w:t>0.6</w:t>
                  </w:r>
                  <w:r>
                    <w:rPr>
                      <w:color w:val="auto"/>
                      <w:szCs w:val="21"/>
                    </w:rPr>
                    <w:t>m</w:t>
                  </w:r>
                </w:p>
              </w:tc>
              <w:tc>
                <w:tcPr>
                  <w:tcW w:w="563" w:type="pct"/>
                  <w:tcBorders>
                    <w:tl2br w:val="nil"/>
                    <w:tr2bl w:val="nil"/>
                  </w:tcBorders>
                  <w:vAlign w:val="center"/>
                </w:tcPr>
                <w:p>
                  <w:pPr>
                    <w:jc w:val="center"/>
                    <w:rPr>
                      <w:color w:val="auto"/>
                      <w:szCs w:val="21"/>
                    </w:rPr>
                  </w:pPr>
                  <w:r>
                    <w:rPr>
                      <w:rFonts w:hint="eastAsia"/>
                      <w:color w:val="auto"/>
                      <w:szCs w:val="21"/>
                    </w:rPr>
                    <w:t>25</w:t>
                  </w:r>
                  <w:r>
                    <w:rPr>
                      <w:color w:val="auto"/>
                      <w:szCs w:val="21"/>
                    </w:rPr>
                    <w:t>℃</w:t>
                  </w:r>
                </w:p>
              </w:tc>
              <w:tc>
                <w:tcPr>
                  <w:tcW w:w="544" w:type="pct"/>
                  <w:tcBorders>
                    <w:tl2br w:val="nil"/>
                    <w:tr2bl w:val="nil"/>
                  </w:tcBorders>
                  <w:vAlign w:val="center"/>
                </w:tcPr>
                <w:p>
                  <w:pPr>
                    <w:jc w:val="center"/>
                    <w:rPr>
                      <w:color w:val="auto"/>
                      <w:szCs w:val="21"/>
                    </w:rPr>
                  </w:pPr>
                  <w:r>
                    <w:rPr>
                      <w:color w:val="auto"/>
                      <w:szCs w:val="21"/>
                    </w:rPr>
                    <w:t>一般排放口</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601" w:type="pct"/>
                  <w:tcBorders>
                    <w:tl2br w:val="nil"/>
                    <w:tr2bl w:val="nil"/>
                  </w:tcBorders>
                  <w:vAlign w:val="center"/>
                </w:tcPr>
                <w:p>
                  <w:pPr>
                    <w:jc w:val="center"/>
                    <w:rPr>
                      <w:color w:val="auto"/>
                      <w:szCs w:val="21"/>
                    </w:rPr>
                  </w:pPr>
                  <w:r>
                    <w:rPr>
                      <w:color w:val="auto"/>
                      <w:szCs w:val="21"/>
                    </w:rPr>
                    <w:t>DA00</w:t>
                  </w:r>
                  <w:r>
                    <w:rPr>
                      <w:rFonts w:hint="eastAsia"/>
                      <w:color w:val="auto"/>
                      <w:szCs w:val="21"/>
                    </w:rPr>
                    <w:t>4</w:t>
                  </w:r>
                </w:p>
              </w:tc>
              <w:tc>
                <w:tcPr>
                  <w:tcW w:w="642" w:type="pct"/>
                  <w:tcBorders>
                    <w:tl2br w:val="nil"/>
                    <w:tr2bl w:val="nil"/>
                  </w:tcBorders>
                  <w:vAlign w:val="center"/>
                </w:tcPr>
                <w:p>
                  <w:pPr>
                    <w:pStyle w:val="38"/>
                    <w:jc w:val="center"/>
                    <w:rPr>
                      <w:color w:val="auto"/>
                    </w:rPr>
                  </w:pPr>
                  <w:r>
                    <w:rPr>
                      <w:rFonts w:hint="eastAsia"/>
                      <w:color w:val="auto"/>
                    </w:rPr>
                    <w:t>水泥筒仓DA004</w:t>
                  </w:r>
                </w:p>
              </w:tc>
              <w:tc>
                <w:tcPr>
                  <w:tcW w:w="2866" w:type="dxa"/>
                  <w:tcBorders>
                    <w:tl2br w:val="nil"/>
                    <w:tr2bl w:val="nil"/>
                  </w:tcBorders>
                  <w:vAlign w:val="center"/>
                </w:tcPr>
                <w:p>
                  <w:pPr>
                    <w:jc w:val="center"/>
                    <w:rPr>
                      <w:color w:val="auto"/>
                      <w:szCs w:val="21"/>
                    </w:rPr>
                  </w:pPr>
                  <w:r>
                    <w:rPr>
                      <w:rFonts w:hint="eastAsia"/>
                      <w:color w:val="auto"/>
                      <w:szCs w:val="21"/>
                    </w:rPr>
                    <w:t>E</w:t>
                  </w:r>
                  <w:r>
                    <w:rPr>
                      <w:color w:val="auto"/>
                      <w:szCs w:val="21"/>
                    </w:rPr>
                    <w:t>84°49′39.89″</w:t>
                  </w:r>
                  <w:r>
                    <w:rPr>
                      <w:rFonts w:hint="eastAsia"/>
                      <w:color w:val="auto"/>
                      <w:szCs w:val="21"/>
                    </w:rPr>
                    <w:t>，N</w:t>
                  </w:r>
                  <w:r>
                    <w:rPr>
                      <w:color w:val="auto"/>
                      <w:szCs w:val="21"/>
                    </w:rPr>
                    <w:t>44°27′29.76″</w:t>
                  </w:r>
                </w:p>
              </w:tc>
              <w:tc>
                <w:tcPr>
                  <w:tcW w:w="359" w:type="pct"/>
                  <w:tcBorders>
                    <w:tl2br w:val="nil"/>
                    <w:tr2bl w:val="nil"/>
                  </w:tcBorders>
                  <w:vAlign w:val="center"/>
                </w:tcPr>
                <w:p>
                  <w:pPr>
                    <w:jc w:val="center"/>
                    <w:rPr>
                      <w:color w:val="auto"/>
                      <w:szCs w:val="21"/>
                    </w:rPr>
                  </w:pPr>
                  <w:r>
                    <w:rPr>
                      <w:rFonts w:hint="eastAsia"/>
                      <w:color w:val="auto"/>
                      <w:szCs w:val="21"/>
                    </w:rPr>
                    <w:t>15</w:t>
                  </w:r>
                </w:p>
              </w:tc>
              <w:tc>
                <w:tcPr>
                  <w:tcW w:w="550" w:type="pct"/>
                  <w:tcBorders>
                    <w:tl2br w:val="nil"/>
                    <w:tr2bl w:val="nil"/>
                  </w:tcBorders>
                  <w:vAlign w:val="center"/>
                </w:tcPr>
                <w:p>
                  <w:pPr>
                    <w:jc w:val="center"/>
                    <w:rPr>
                      <w:color w:val="auto"/>
                      <w:szCs w:val="21"/>
                    </w:rPr>
                  </w:pPr>
                  <w:r>
                    <w:rPr>
                      <w:rFonts w:hint="eastAsia"/>
                      <w:color w:val="auto"/>
                      <w:szCs w:val="21"/>
                    </w:rPr>
                    <w:t>0.6</w:t>
                  </w:r>
                  <w:r>
                    <w:rPr>
                      <w:color w:val="auto"/>
                      <w:szCs w:val="21"/>
                    </w:rPr>
                    <w:t>m</w:t>
                  </w:r>
                </w:p>
              </w:tc>
              <w:tc>
                <w:tcPr>
                  <w:tcW w:w="563" w:type="pct"/>
                  <w:tcBorders>
                    <w:tl2br w:val="nil"/>
                    <w:tr2bl w:val="nil"/>
                  </w:tcBorders>
                  <w:vAlign w:val="center"/>
                </w:tcPr>
                <w:p>
                  <w:pPr>
                    <w:jc w:val="center"/>
                    <w:rPr>
                      <w:color w:val="auto"/>
                      <w:szCs w:val="21"/>
                    </w:rPr>
                  </w:pPr>
                  <w:r>
                    <w:rPr>
                      <w:rFonts w:hint="eastAsia"/>
                      <w:color w:val="auto"/>
                      <w:szCs w:val="21"/>
                    </w:rPr>
                    <w:t>25</w:t>
                  </w:r>
                  <w:r>
                    <w:rPr>
                      <w:color w:val="auto"/>
                      <w:szCs w:val="21"/>
                    </w:rPr>
                    <w:t>℃</w:t>
                  </w:r>
                </w:p>
              </w:tc>
              <w:tc>
                <w:tcPr>
                  <w:tcW w:w="544" w:type="pct"/>
                  <w:tcBorders>
                    <w:tl2br w:val="nil"/>
                    <w:tr2bl w:val="nil"/>
                  </w:tcBorders>
                  <w:vAlign w:val="center"/>
                </w:tcPr>
                <w:p>
                  <w:pPr>
                    <w:jc w:val="center"/>
                    <w:rPr>
                      <w:color w:val="auto"/>
                      <w:szCs w:val="21"/>
                    </w:rPr>
                  </w:pPr>
                  <w:r>
                    <w:rPr>
                      <w:color w:val="auto"/>
                      <w:szCs w:val="21"/>
                    </w:rPr>
                    <w:t>一般排放口</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601" w:type="pct"/>
                  <w:tcBorders>
                    <w:tl2br w:val="nil"/>
                    <w:tr2bl w:val="nil"/>
                  </w:tcBorders>
                  <w:vAlign w:val="center"/>
                </w:tcPr>
                <w:p>
                  <w:pPr>
                    <w:jc w:val="center"/>
                    <w:rPr>
                      <w:color w:val="auto"/>
                      <w:szCs w:val="21"/>
                    </w:rPr>
                  </w:pPr>
                  <w:r>
                    <w:rPr>
                      <w:color w:val="auto"/>
                      <w:szCs w:val="21"/>
                    </w:rPr>
                    <w:t>DA00</w:t>
                  </w:r>
                  <w:r>
                    <w:rPr>
                      <w:rFonts w:hint="eastAsia"/>
                      <w:color w:val="auto"/>
                      <w:szCs w:val="21"/>
                    </w:rPr>
                    <w:t>5</w:t>
                  </w:r>
                </w:p>
              </w:tc>
              <w:tc>
                <w:tcPr>
                  <w:tcW w:w="642" w:type="pct"/>
                  <w:tcBorders>
                    <w:tl2br w:val="nil"/>
                    <w:tr2bl w:val="nil"/>
                  </w:tcBorders>
                  <w:vAlign w:val="center"/>
                </w:tcPr>
                <w:p>
                  <w:pPr>
                    <w:pStyle w:val="38"/>
                    <w:jc w:val="center"/>
                    <w:rPr>
                      <w:color w:val="auto"/>
                    </w:rPr>
                  </w:pPr>
                  <w:r>
                    <w:rPr>
                      <w:rFonts w:hint="eastAsia"/>
                      <w:color w:val="auto"/>
                    </w:rPr>
                    <w:t>粉煤灰筒仓DA005</w:t>
                  </w:r>
                </w:p>
              </w:tc>
              <w:tc>
                <w:tcPr>
                  <w:tcW w:w="2866" w:type="dxa"/>
                  <w:tcBorders>
                    <w:tl2br w:val="nil"/>
                    <w:tr2bl w:val="nil"/>
                  </w:tcBorders>
                  <w:vAlign w:val="center"/>
                </w:tcPr>
                <w:p>
                  <w:pPr>
                    <w:jc w:val="center"/>
                    <w:rPr>
                      <w:color w:val="auto"/>
                      <w:szCs w:val="21"/>
                    </w:rPr>
                  </w:pPr>
                  <w:r>
                    <w:rPr>
                      <w:rFonts w:hint="eastAsia"/>
                      <w:color w:val="auto"/>
                      <w:szCs w:val="21"/>
                    </w:rPr>
                    <w:t>E</w:t>
                  </w:r>
                  <w:r>
                    <w:rPr>
                      <w:color w:val="auto"/>
                      <w:szCs w:val="21"/>
                    </w:rPr>
                    <w:t>84°49′40.35″</w:t>
                  </w:r>
                  <w:r>
                    <w:rPr>
                      <w:rFonts w:hint="eastAsia"/>
                      <w:color w:val="auto"/>
                      <w:szCs w:val="21"/>
                    </w:rPr>
                    <w:t>，N</w:t>
                  </w:r>
                  <w:r>
                    <w:rPr>
                      <w:color w:val="auto"/>
                      <w:szCs w:val="21"/>
                    </w:rPr>
                    <w:t>44°27′29.71″</w:t>
                  </w:r>
                </w:p>
              </w:tc>
              <w:tc>
                <w:tcPr>
                  <w:tcW w:w="359" w:type="pct"/>
                  <w:tcBorders>
                    <w:tl2br w:val="nil"/>
                    <w:tr2bl w:val="nil"/>
                  </w:tcBorders>
                  <w:vAlign w:val="center"/>
                </w:tcPr>
                <w:p>
                  <w:pPr>
                    <w:jc w:val="center"/>
                    <w:rPr>
                      <w:color w:val="auto"/>
                      <w:szCs w:val="21"/>
                    </w:rPr>
                  </w:pPr>
                  <w:r>
                    <w:rPr>
                      <w:rFonts w:hint="eastAsia"/>
                      <w:color w:val="auto"/>
                      <w:szCs w:val="21"/>
                    </w:rPr>
                    <w:t>15</w:t>
                  </w:r>
                </w:p>
              </w:tc>
              <w:tc>
                <w:tcPr>
                  <w:tcW w:w="550" w:type="pct"/>
                  <w:tcBorders>
                    <w:tl2br w:val="nil"/>
                    <w:tr2bl w:val="nil"/>
                  </w:tcBorders>
                  <w:vAlign w:val="center"/>
                </w:tcPr>
                <w:p>
                  <w:pPr>
                    <w:jc w:val="center"/>
                    <w:rPr>
                      <w:color w:val="auto"/>
                      <w:szCs w:val="21"/>
                    </w:rPr>
                  </w:pPr>
                  <w:r>
                    <w:rPr>
                      <w:rFonts w:hint="eastAsia"/>
                      <w:color w:val="auto"/>
                      <w:szCs w:val="21"/>
                    </w:rPr>
                    <w:t>0.6</w:t>
                  </w:r>
                  <w:r>
                    <w:rPr>
                      <w:color w:val="auto"/>
                      <w:szCs w:val="21"/>
                    </w:rPr>
                    <w:t>m</w:t>
                  </w:r>
                </w:p>
              </w:tc>
              <w:tc>
                <w:tcPr>
                  <w:tcW w:w="563" w:type="pct"/>
                  <w:tcBorders>
                    <w:tl2br w:val="nil"/>
                    <w:tr2bl w:val="nil"/>
                  </w:tcBorders>
                  <w:vAlign w:val="center"/>
                </w:tcPr>
                <w:p>
                  <w:pPr>
                    <w:jc w:val="center"/>
                    <w:rPr>
                      <w:color w:val="auto"/>
                      <w:szCs w:val="21"/>
                    </w:rPr>
                  </w:pPr>
                  <w:r>
                    <w:rPr>
                      <w:rFonts w:hint="eastAsia"/>
                      <w:color w:val="auto"/>
                      <w:szCs w:val="21"/>
                    </w:rPr>
                    <w:t>25</w:t>
                  </w:r>
                  <w:r>
                    <w:rPr>
                      <w:color w:val="auto"/>
                      <w:szCs w:val="21"/>
                    </w:rPr>
                    <w:t>℃</w:t>
                  </w:r>
                </w:p>
              </w:tc>
              <w:tc>
                <w:tcPr>
                  <w:tcW w:w="544" w:type="pct"/>
                  <w:tcBorders>
                    <w:tl2br w:val="nil"/>
                    <w:tr2bl w:val="nil"/>
                  </w:tcBorders>
                  <w:vAlign w:val="center"/>
                </w:tcPr>
                <w:p>
                  <w:pPr>
                    <w:jc w:val="center"/>
                    <w:rPr>
                      <w:color w:val="auto"/>
                      <w:szCs w:val="21"/>
                    </w:rPr>
                  </w:pPr>
                  <w:r>
                    <w:rPr>
                      <w:color w:val="auto"/>
                      <w:szCs w:val="21"/>
                    </w:rPr>
                    <w:t>一般排放口</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rPr>
                <w:trHeight w:val="352" w:hRule="atLeast"/>
                <w:jc w:val="center"/>
              </w:trPr>
              <w:tc>
                <w:tcPr>
                  <w:tcW w:w="601" w:type="pct"/>
                  <w:tcBorders>
                    <w:tl2br w:val="nil"/>
                    <w:tr2bl w:val="nil"/>
                  </w:tcBorders>
                  <w:vAlign w:val="center"/>
                </w:tcPr>
                <w:p>
                  <w:pPr>
                    <w:jc w:val="center"/>
                    <w:rPr>
                      <w:color w:val="auto"/>
                      <w:szCs w:val="21"/>
                    </w:rPr>
                  </w:pPr>
                  <w:r>
                    <w:rPr>
                      <w:color w:val="auto"/>
                      <w:szCs w:val="21"/>
                    </w:rPr>
                    <w:t>DA00</w:t>
                  </w:r>
                  <w:r>
                    <w:rPr>
                      <w:rFonts w:hint="eastAsia"/>
                      <w:color w:val="auto"/>
                      <w:szCs w:val="21"/>
                    </w:rPr>
                    <w:t>6</w:t>
                  </w:r>
                </w:p>
              </w:tc>
              <w:tc>
                <w:tcPr>
                  <w:tcW w:w="642" w:type="pct"/>
                  <w:tcBorders>
                    <w:tl2br w:val="nil"/>
                    <w:tr2bl w:val="nil"/>
                  </w:tcBorders>
                  <w:vAlign w:val="center"/>
                </w:tcPr>
                <w:p>
                  <w:pPr>
                    <w:pStyle w:val="38"/>
                    <w:jc w:val="center"/>
                    <w:rPr>
                      <w:color w:val="auto"/>
                    </w:rPr>
                  </w:pPr>
                  <w:r>
                    <w:rPr>
                      <w:rFonts w:hint="eastAsia"/>
                      <w:color w:val="auto"/>
                    </w:rPr>
                    <w:t>矿粉筒仓DA006</w:t>
                  </w:r>
                </w:p>
              </w:tc>
              <w:tc>
                <w:tcPr>
                  <w:tcW w:w="2866" w:type="dxa"/>
                  <w:tcBorders>
                    <w:tl2br w:val="nil"/>
                    <w:tr2bl w:val="nil"/>
                  </w:tcBorders>
                  <w:vAlign w:val="center"/>
                </w:tcPr>
                <w:p>
                  <w:pPr>
                    <w:jc w:val="center"/>
                    <w:rPr>
                      <w:color w:val="auto"/>
                      <w:szCs w:val="21"/>
                    </w:rPr>
                  </w:pPr>
                  <w:r>
                    <w:rPr>
                      <w:rFonts w:hint="eastAsia"/>
                      <w:color w:val="auto"/>
                      <w:szCs w:val="21"/>
                    </w:rPr>
                    <w:t>E</w:t>
                  </w:r>
                  <w:r>
                    <w:rPr>
                      <w:color w:val="auto"/>
                      <w:szCs w:val="21"/>
                    </w:rPr>
                    <w:t>84°49′40.67″</w:t>
                  </w:r>
                  <w:r>
                    <w:rPr>
                      <w:rFonts w:hint="eastAsia"/>
                      <w:color w:val="auto"/>
                      <w:szCs w:val="21"/>
                    </w:rPr>
                    <w:t>，N</w:t>
                  </w:r>
                  <w:r>
                    <w:rPr>
                      <w:color w:val="auto"/>
                      <w:szCs w:val="21"/>
                    </w:rPr>
                    <w:t>44°27′29.63″</w:t>
                  </w:r>
                </w:p>
              </w:tc>
              <w:tc>
                <w:tcPr>
                  <w:tcW w:w="359" w:type="pct"/>
                  <w:tcBorders>
                    <w:tl2br w:val="nil"/>
                    <w:tr2bl w:val="nil"/>
                  </w:tcBorders>
                  <w:vAlign w:val="center"/>
                </w:tcPr>
                <w:p>
                  <w:pPr>
                    <w:jc w:val="center"/>
                    <w:rPr>
                      <w:color w:val="auto"/>
                      <w:szCs w:val="21"/>
                    </w:rPr>
                  </w:pPr>
                  <w:r>
                    <w:rPr>
                      <w:rFonts w:hint="eastAsia"/>
                      <w:color w:val="auto"/>
                      <w:szCs w:val="21"/>
                    </w:rPr>
                    <w:t>15</w:t>
                  </w:r>
                </w:p>
              </w:tc>
              <w:tc>
                <w:tcPr>
                  <w:tcW w:w="550" w:type="pct"/>
                  <w:tcBorders>
                    <w:tl2br w:val="nil"/>
                    <w:tr2bl w:val="nil"/>
                  </w:tcBorders>
                  <w:vAlign w:val="center"/>
                </w:tcPr>
                <w:p>
                  <w:pPr>
                    <w:jc w:val="center"/>
                    <w:rPr>
                      <w:color w:val="auto"/>
                      <w:szCs w:val="21"/>
                    </w:rPr>
                  </w:pPr>
                  <w:r>
                    <w:rPr>
                      <w:rFonts w:hint="eastAsia"/>
                      <w:color w:val="auto"/>
                      <w:szCs w:val="21"/>
                    </w:rPr>
                    <w:t>0.6</w:t>
                  </w:r>
                  <w:r>
                    <w:rPr>
                      <w:color w:val="auto"/>
                      <w:szCs w:val="21"/>
                    </w:rPr>
                    <w:t>m</w:t>
                  </w:r>
                </w:p>
              </w:tc>
              <w:tc>
                <w:tcPr>
                  <w:tcW w:w="563" w:type="pct"/>
                  <w:tcBorders>
                    <w:tl2br w:val="nil"/>
                    <w:tr2bl w:val="nil"/>
                  </w:tcBorders>
                  <w:vAlign w:val="center"/>
                </w:tcPr>
                <w:p>
                  <w:pPr>
                    <w:jc w:val="center"/>
                    <w:rPr>
                      <w:color w:val="auto"/>
                      <w:szCs w:val="21"/>
                    </w:rPr>
                  </w:pPr>
                  <w:r>
                    <w:rPr>
                      <w:rFonts w:hint="eastAsia"/>
                      <w:color w:val="auto"/>
                      <w:szCs w:val="21"/>
                    </w:rPr>
                    <w:t>25</w:t>
                  </w:r>
                  <w:r>
                    <w:rPr>
                      <w:color w:val="auto"/>
                      <w:szCs w:val="21"/>
                    </w:rPr>
                    <w:t>℃</w:t>
                  </w:r>
                </w:p>
              </w:tc>
              <w:tc>
                <w:tcPr>
                  <w:tcW w:w="544" w:type="pct"/>
                  <w:tcBorders>
                    <w:tl2br w:val="nil"/>
                    <w:tr2bl w:val="nil"/>
                  </w:tcBorders>
                  <w:vAlign w:val="center"/>
                </w:tcPr>
                <w:p>
                  <w:pPr>
                    <w:jc w:val="center"/>
                    <w:rPr>
                      <w:color w:val="auto"/>
                      <w:szCs w:val="21"/>
                    </w:rPr>
                  </w:pPr>
                  <w:r>
                    <w:rPr>
                      <w:color w:val="auto"/>
                      <w:szCs w:val="21"/>
                    </w:rPr>
                    <w:t>一般排放口</w:t>
                  </w:r>
                </w:p>
              </w:tc>
            </w:tr>
          </w:tbl>
          <w:p>
            <w:pPr>
              <w:widowControl/>
              <w:spacing w:line="520" w:lineRule="exact"/>
              <w:ind w:firstLine="482" w:firstLineChars="200"/>
              <w:rPr>
                <w:rFonts w:hint="default" w:eastAsia="宋体"/>
                <w:b/>
                <w:bCs/>
                <w:color w:val="auto"/>
                <w:sz w:val="24"/>
                <w:lang w:val="en-US" w:eastAsia="zh-CN"/>
              </w:rPr>
            </w:pPr>
            <w:r>
              <w:rPr>
                <w:rFonts w:hint="eastAsia"/>
                <w:b/>
                <w:bCs/>
                <w:color w:val="auto"/>
                <w:sz w:val="24"/>
              </w:rPr>
              <w:t>1.3达标可行性分析</w:t>
            </w:r>
            <w:r>
              <w:rPr>
                <w:rFonts w:hint="eastAsia"/>
                <w:b/>
                <w:bCs/>
                <w:color w:val="auto"/>
                <w:sz w:val="24"/>
                <w:lang w:val="en-US" w:eastAsia="zh-CN"/>
              </w:rPr>
              <w:t>及对周边环境敏感点的影响分析</w:t>
            </w:r>
          </w:p>
          <w:p>
            <w:pPr>
              <w:autoSpaceDE w:val="0"/>
              <w:autoSpaceDN w:val="0"/>
              <w:adjustRightInd w:val="0"/>
              <w:spacing w:line="560" w:lineRule="exact"/>
              <w:ind w:firstLine="468" w:firstLineChars="195"/>
              <w:jc w:val="left"/>
              <w:rPr>
                <w:rFonts w:hint="eastAsia"/>
                <w:bCs/>
                <w:color w:val="auto"/>
                <w:sz w:val="24"/>
              </w:rPr>
            </w:pPr>
            <w:r>
              <w:rPr>
                <w:bCs/>
                <w:color w:val="auto"/>
                <w:sz w:val="24"/>
              </w:rPr>
              <w:t>本项目</w:t>
            </w:r>
            <w:r>
              <w:rPr>
                <w:rFonts w:hint="eastAsia"/>
                <w:bCs/>
                <w:color w:val="auto"/>
                <w:sz w:val="24"/>
              </w:rPr>
              <w:t>粉料</w:t>
            </w:r>
            <w:r>
              <w:rPr>
                <w:bCs/>
                <w:color w:val="auto"/>
                <w:sz w:val="24"/>
              </w:rPr>
              <w:t>在筒仓内储存并配套</w:t>
            </w:r>
            <w:r>
              <w:rPr>
                <w:rFonts w:hint="eastAsia"/>
                <w:bCs/>
                <w:color w:val="auto"/>
                <w:sz w:val="24"/>
              </w:rPr>
              <w:t>配置</w:t>
            </w:r>
            <w:r>
              <w:rPr>
                <w:bCs/>
                <w:color w:val="auto"/>
                <w:sz w:val="24"/>
              </w:rPr>
              <w:t>布袋除尘器</w:t>
            </w:r>
            <w:r>
              <w:rPr>
                <w:rFonts w:hint="eastAsia"/>
                <w:bCs/>
                <w:color w:val="auto"/>
                <w:sz w:val="24"/>
              </w:rPr>
              <w:t>，搅拌楼密闭并自带滤芯式除尘器，依据《</w:t>
            </w:r>
            <w:r>
              <w:rPr>
                <w:rFonts w:ascii="宋体" w:hAnsi="宋体" w:cs="宋体"/>
                <w:color w:val="auto"/>
                <w:sz w:val="24"/>
              </w:rPr>
              <w:t>排污许可证申请与核发技术规范 石墨及其他非金属矿物制品制造</w:t>
            </w:r>
            <w:r>
              <w:rPr>
                <w:rFonts w:hint="eastAsia"/>
                <w:bCs/>
                <w:color w:val="auto"/>
                <w:sz w:val="24"/>
              </w:rPr>
              <w:t>》（</w:t>
            </w:r>
            <w:r>
              <w:rPr>
                <w:rFonts w:ascii="宋体" w:hAnsi="宋体" w:cs="宋体"/>
                <w:color w:val="auto"/>
                <w:sz w:val="24"/>
              </w:rPr>
              <w:t>HJ1119—2020</w:t>
            </w:r>
            <w:r>
              <w:rPr>
                <w:rFonts w:hint="eastAsia"/>
                <w:bCs/>
                <w:color w:val="auto"/>
                <w:sz w:val="24"/>
              </w:rPr>
              <w:t>），粉料仓采用</w:t>
            </w:r>
            <w:r>
              <w:rPr>
                <w:rFonts w:hint="eastAsia"/>
                <w:bCs/>
                <w:color w:val="auto"/>
                <w:sz w:val="24"/>
                <w:lang w:val="en-US" w:eastAsia="zh-CN"/>
              </w:rPr>
              <w:t>气相脉冲袋式</w:t>
            </w:r>
            <w:r>
              <w:rPr>
                <w:rFonts w:hint="eastAsia"/>
                <w:bCs/>
                <w:color w:val="auto"/>
                <w:sz w:val="24"/>
              </w:rPr>
              <w:t>除尘器属于技术规范中的可行</w:t>
            </w:r>
            <w:r>
              <w:rPr>
                <w:rFonts w:hint="eastAsia" w:ascii="宋体" w:hAnsi="宋体" w:cs="宋体"/>
                <w:color w:val="auto"/>
                <w:sz w:val="24"/>
              </w:rPr>
              <w:t>技术</w:t>
            </w:r>
            <w:r>
              <w:rPr>
                <w:rFonts w:hint="eastAsia"/>
                <w:bCs/>
                <w:color w:val="auto"/>
                <w:sz w:val="24"/>
              </w:rPr>
              <w:t>，</w:t>
            </w:r>
            <w:r>
              <w:rPr>
                <w:rFonts w:hint="eastAsia"/>
                <w:bCs/>
                <w:color w:val="auto"/>
                <w:sz w:val="24"/>
                <w:lang w:val="en-US" w:eastAsia="zh-CN"/>
              </w:rPr>
              <w:t>本项目建设半封闭原料库房</w:t>
            </w:r>
            <w:r>
              <w:rPr>
                <w:rFonts w:hint="eastAsia"/>
                <w:bCs/>
                <w:color w:val="auto"/>
                <w:sz w:val="24"/>
              </w:rPr>
              <w:t>、定期洒</w:t>
            </w:r>
            <w:r>
              <w:rPr>
                <w:rFonts w:hint="eastAsia"/>
                <w:color w:val="auto"/>
                <w:sz w:val="24"/>
              </w:rPr>
              <w:t>水等措施，</w:t>
            </w:r>
            <w:r>
              <w:rPr>
                <w:rFonts w:hint="eastAsia" w:ascii="宋体" w:hAnsi="宋体" w:cs="宋体"/>
                <w:color w:val="auto"/>
                <w:sz w:val="24"/>
              </w:rPr>
              <w:t>采取的堆场扬尘防治方案满足</w:t>
            </w:r>
            <w:r>
              <w:rPr>
                <w:rFonts w:ascii="宋体" w:hAnsi="宋体" w:cs="宋体"/>
                <w:color w:val="auto"/>
                <w:sz w:val="24"/>
              </w:rPr>
              <w:t>《工业料堆场扬尘整治规范》（DB65/T 4061-2017）</w:t>
            </w:r>
            <w:r>
              <w:rPr>
                <w:rFonts w:hint="eastAsia" w:ascii="宋体" w:hAnsi="宋体" w:cs="宋体"/>
                <w:color w:val="auto"/>
                <w:sz w:val="24"/>
              </w:rPr>
              <w:t>中</w:t>
            </w:r>
            <w:r>
              <w:rPr>
                <w:rFonts w:ascii="宋体" w:hAnsi="宋体" w:cs="宋体"/>
                <w:color w:val="auto"/>
                <w:sz w:val="24"/>
              </w:rPr>
              <w:t>Ⅱ</w:t>
            </w:r>
            <w:r>
              <w:rPr>
                <w:rFonts w:hint="eastAsia" w:ascii="宋体" w:hAnsi="宋体" w:cs="宋体"/>
                <w:color w:val="auto"/>
                <w:sz w:val="24"/>
              </w:rPr>
              <w:t>类料堆场的相关要求。</w:t>
            </w:r>
            <w:r>
              <w:rPr>
                <w:color w:val="auto"/>
                <w:sz w:val="24"/>
              </w:rPr>
              <w:t>生产过程</w:t>
            </w:r>
            <w:r>
              <w:rPr>
                <w:bCs/>
                <w:color w:val="auto"/>
                <w:sz w:val="24"/>
              </w:rPr>
              <w:t>中</w:t>
            </w:r>
            <w:r>
              <w:rPr>
                <w:rFonts w:hint="eastAsia"/>
                <w:bCs/>
                <w:color w:val="auto"/>
                <w:sz w:val="24"/>
              </w:rPr>
              <w:t>卸料、</w:t>
            </w:r>
            <w:r>
              <w:rPr>
                <w:bCs/>
                <w:color w:val="auto"/>
                <w:sz w:val="24"/>
              </w:rPr>
              <w:t>上料、配料、搅拌等工序也采取了相应的密闭措施，搅拌</w:t>
            </w:r>
            <w:r>
              <w:rPr>
                <w:rFonts w:hint="eastAsia"/>
                <w:bCs/>
                <w:color w:val="auto"/>
                <w:sz w:val="24"/>
              </w:rPr>
              <w:t>楼全密闭</w:t>
            </w:r>
            <w:r>
              <w:rPr>
                <w:bCs/>
                <w:color w:val="auto"/>
                <w:sz w:val="24"/>
              </w:rPr>
              <w:t>等措施均为行业内成熟且有效的环保措施，技术可行。</w:t>
            </w:r>
            <w:r>
              <w:rPr>
                <w:rFonts w:hint="eastAsia"/>
                <w:bCs/>
                <w:color w:val="auto"/>
                <w:sz w:val="24"/>
              </w:rPr>
              <w:t>综上，本评价认为项目在采取以上措施后粉尘厂界无组织排放浓度满足《水泥工业污染物大气排放标准》（GB4915-2013）中的无组织排放监控点浓度限值：颗粒物≤0.5mg/m</w:t>
            </w:r>
            <w:r>
              <w:rPr>
                <w:rFonts w:hint="eastAsia"/>
                <w:bCs/>
                <w:color w:val="auto"/>
                <w:sz w:val="24"/>
                <w:vertAlign w:val="superscript"/>
              </w:rPr>
              <w:t>3</w:t>
            </w:r>
            <w:r>
              <w:rPr>
                <w:rFonts w:hint="eastAsia"/>
                <w:bCs/>
                <w:color w:val="auto"/>
                <w:sz w:val="24"/>
              </w:rPr>
              <w:t>，对周边环境空气质量影响较小。</w:t>
            </w:r>
          </w:p>
          <w:p>
            <w:pPr>
              <w:autoSpaceDE w:val="0"/>
              <w:autoSpaceDN w:val="0"/>
              <w:adjustRightInd w:val="0"/>
              <w:spacing w:line="560" w:lineRule="exact"/>
              <w:ind w:firstLine="468" w:firstLineChars="195"/>
              <w:jc w:val="left"/>
              <w:rPr>
                <w:rFonts w:hint="eastAsia"/>
                <w:bCs/>
                <w:color w:val="auto"/>
                <w:sz w:val="24"/>
                <w:lang w:val="en-US" w:eastAsia="zh-CN"/>
              </w:rPr>
            </w:pPr>
            <w:r>
              <w:rPr>
                <w:rFonts w:hint="eastAsia"/>
                <w:bCs/>
                <w:color w:val="auto"/>
                <w:sz w:val="24"/>
              </w:rPr>
              <w:t>项目区</w:t>
            </w:r>
            <w:r>
              <w:rPr>
                <w:rFonts w:hint="eastAsia"/>
                <w:bCs/>
                <w:color w:val="auto"/>
                <w:sz w:val="24"/>
                <w:lang w:val="en-US" w:eastAsia="zh-CN"/>
              </w:rPr>
              <w:t>东北</w:t>
            </w:r>
            <w:r>
              <w:rPr>
                <w:rFonts w:hint="eastAsia"/>
                <w:bCs/>
                <w:color w:val="auto"/>
                <w:sz w:val="24"/>
              </w:rPr>
              <w:t>侧约</w:t>
            </w:r>
            <w:r>
              <w:rPr>
                <w:rFonts w:hint="eastAsia"/>
                <w:bCs/>
                <w:color w:val="auto"/>
                <w:sz w:val="24"/>
                <w:lang w:val="en-US" w:eastAsia="zh-CN"/>
              </w:rPr>
              <w:t>480</w:t>
            </w:r>
            <w:r>
              <w:rPr>
                <w:rFonts w:hint="eastAsia"/>
                <w:bCs/>
                <w:color w:val="auto"/>
                <w:sz w:val="24"/>
              </w:rPr>
              <w:t>m处分布有131团10连</w:t>
            </w:r>
            <w:r>
              <w:rPr>
                <w:rFonts w:hint="eastAsia"/>
                <w:bCs/>
                <w:color w:val="auto"/>
                <w:sz w:val="24"/>
                <w:lang w:eastAsia="zh-CN"/>
              </w:rPr>
              <w:t>，</w:t>
            </w:r>
            <w:r>
              <w:rPr>
                <w:rFonts w:hint="eastAsia"/>
                <w:bCs/>
                <w:color w:val="auto"/>
                <w:sz w:val="24"/>
                <w:lang w:val="en-US" w:eastAsia="zh-CN"/>
              </w:rPr>
              <w:t>项目区常年主导风向为西风，敏感点位于本项目侧风向，依据本项目建设性质，本项目主要污染物为颗粒物，不涉及其他有毒有害污染物，项目粉料水泥、粉煤灰均储存于筒仓，筒仓均自带气相脉冲袋式除尘器，搅拌楼自带滤芯式除尘器且为全密闭，本项目建设半封闭原料库房，运输过程采用密闭输送带，车辆出厂前进行车轮冲洗，采取</w:t>
            </w:r>
            <w:r>
              <w:rPr>
                <w:rFonts w:hint="eastAsia"/>
                <w:bCs/>
                <w:color w:val="auto"/>
                <w:sz w:val="24"/>
              </w:rPr>
              <w:t>上述措施后，大部分颗粒物都沉降在项目区周边50-100米范围内，项目大气污染物扩散对131团10连居民点影响较小</w:t>
            </w:r>
            <w:r>
              <w:rPr>
                <w:rFonts w:hint="eastAsia"/>
                <w:bCs/>
                <w:color w:val="auto"/>
                <w:sz w:val="24"/>
                <w:lang w:eastAsia="zh-CN"/>
              </w:rPr>
              <w:t>。</w:t>
            </w:r>
          </w:p>
          <w:p>
            <w:pPr>
              <w:widowControl/>
              <w:spacing w:line="520" w:lineRule="exact"/>
              <w:ind w:firstLine="482" w:firstLineChars="200"/>
              <w:rPr>
                <w:b/>
                <w:bCs/>
                <w:color w:val="auto"/>
                <w:sz w:val="24"/>
              </w:rPr>
            </w:pPr>
            <w:r>
              <w:rPr>
                <w:rFonts w:hint="eastAsia"/>
                <w:b/>
                <w:bCs/>
                <w:color w:val="auto"/>
                <w:sz w:val="24"/>
              </w:rPr>
              <w:t>1.</w:t>
            </w:r>
            <w:r>
              <w:rPr>
                <w:rFonts w:hint="eastAsia"/>
                <w:b/>
                <w:bCs/>
                <w:color w:val="auto"/>
                <w:sz w:val="24"/>
                <w:lang w:val="en-US" w:eastAsia="zh-CN"/>
              </w:rPr>
              <w:t>4</w:t>
            </w:r>
            <w:r>
              <w:rPr>
                <w:rFonts w:hint="eastAsia"/>
                <w:b/>
                <w:bCs/>
                <w:color w:val="auto"/>
                <w:sz w:val="24"/>
              </w:rPr>
              <w:t>非正常工况分析</w:t>
            </w:r>
          </w:p>
          <w:p>
            <w:pPr>
              <w:autoSpaceDE w:val="0"/>
              <w:autoSpaceDN w:val="0"/>
              <w:adjustRightInd w:val="0"/>
              <w:spacing w:line="560" w:lineRule="exact"/>
              <w:ind w:firstLine="468" w:firstLineChars="195"/>
              <w:jc w:val="left"/>
              <w:rPr>
                <w:bCs/>
                <w:color w:val="auto"/>
                <w:sz w:val="24"/>
              </w:rPr>
            </w:pPr>
            <w:r>
              <w:rPr>
                <w:rFonts w:hint="eastAsia"/>
                <w:bCs/>
                <w:color w:val="auto"/>
                <w:sz w:val="24"/>
              </w:rPr>
              <w:t>非正常工况排污包括开停车、检修和其它非正常工况排污两部分，正常开停车或部分设备检修时排放的污染物属非正常排放；其它非正常工况排污指工艺设备或环保设备达不到设计规定指标的超额排污。在这些工况下较正常工况废气排放将有较大变化，需采取应急治理措施。</w:t>
            </w:r>
          </w:p>
          <w:p>
            <w:pPr>
              <w:autoSpaceDE w:val="0"/>
              <w:autoSpaceDN w:val="0"/>
              <w:adjustRightInd w:val="0"/>
              <w:spacing w:line="560" w:lineRule="exact"/>
              <w:ind w:firstLine="468" w:firstLineChars="195"/>
              <w:jc w:val="left"/>
              <w:rPr>
                <w:bCs/>
                <w:color w:val="auto"/>
                <w:sz w:val="24"/>
              </w:rPr>
            </w:pPr>
            <w:r>
              <w:rPr>
                <w:rFonts w:hint="eastAsia"/>
                <w:bCs/>
                <w:color w:val="auto"/>
                <w:sz w:val="24"/>
              </w:rPr>
              <w:t>本项目非正常工况以水泥筒仓袋式除尘器故障，无法正常运行，对废气的处置效率降为0%为主要情形，在非正常工况下，项目废气排放情况见表4-</w:t>
            </w:r>
            <w:r>
              <w:rPr>
                <w:rFonts w:hint="eastAsia"/>
                <w:bCs/>
                <w:color w:val="auto"/>
                <w:sz w:val="24"/>
                <w:lang w:val="en-US" w:eastAsia="zh-CN"/>
              </w:rPr>
              <w:t>7</w:t>
            </w:r>
            <w:r>
              <w:rPr>
                <w:rFonts w:hint="eastAsia"/>
                <w:bCs/>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4-</w:t>
            </w:r>
            <w:r>
              <w:rPr>
                <w:rFonts w:hint="eastAsia" w:ascii="Times New Roman" w:hAnsi="Times New Roman" w:eastAsia="宋体" w:cs="Times New Roman"/>
                <w:b/>
                <w:color w:val="auto"/>
                <w:szCs w:val="21"/>
                <w:lang w:val="en-US" w:eastAsia="zh-CN"/>
              </w:rPr>
              <w:t>7</w:t>
            </w:r>
            <w:r>
              <w:rPr>
                <w:rFonts w:ascii="Times New Roman" w:hAnsi="Times New Roman" w:eastAsia="宋体" w:cs="Times New Roman"/>
                <w:b/>
                <w:color w:val="auto"/>
                <w:szCs w:val="21"/>
              </w:rPr>
              <w:t xml:space="preserve">   项目</w:t>
            </w:r>
            <w:r>
              <w:rPr>
                <w:rFonts w:hint="eastAsia" w:ascii="Times New Roman" w:hAnsi="Times New Roman" w:eastAsia="宋体" w:cs="Times New Roman"/>
                <w:b/>
                <w:color w:val="auto"/>
                <w:szCs w:val="21"/>
              </w:rPr>
              <w:t>非正常工况废气污染物排放</w:t>
            </w:r>
            <w:r>
              <w:rPr>
                <w:rFonts w:ascii="Times New Roman" w:hAnsi="Times New Roman" w:eastAsia="宋体" w:cs="Times New Roman"/>
                <w:b/>
                <w:color w:val="auto"/>
                <w:szCs w:val="21"/>
              </w:rPr>
              <w:t>一览表</w:t>
            </w:r>
          </w:p>
          <w:tbl>
            <w:tblPr>
              <w:tblStyle w:val="30"/>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3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2" w:type="pct"/>
                  <w:tcBorders>
                    <w:tl2br w:val="nil"/>
                    <w:tr2bl w:val="nil"/>
                  </w:tcBorders>
                  <w:vAlign w:val="center"/>
                </w:tcPr>
                <w:p>
                  <w:pPr>
                    <w:pStyle w:val="118"/>
                    <w:rPr>
                      <w:snapToGrid w:val="0"/>
                      <w:color w:val="auto"/>
                      <w:lang w:bidi="ar"/>
                    </w:rPr>
                  </w:pPr>
                  <w:r>
                    <w:rPr>
                      <w:snapToGrid w:val="0"/>
                      <w:color w:val="auto"/>
                      <w:lang w:bidi="ar"/>
                    </w:rPr>
                    <w:t>项目</w:t>
                  </w:r>
                </w:p>
              </w:tc>
              <w:tc>
                <w:tcPr>
                  <w:tcW w:w="3847" w:type="pct"/>
                  <w:tcBorders>
                    <w:tl2br w:val="nil"/>
                    <w:tr2bl w:val="nil"/>
                  </w:tcBorders>
                  <w:vAlign w:val="center"/>
                </w:tcPr>
                <w:p>
                  <w:pPr>
                    <w:pStyle w:val="118"/>
                    <w:rPr>
                      <w:snapToGrid w:val="0"/>
                      <w:color w:val="auto"/>
                      <w:lang w:bidi="ar"/>
                    </w:rPr>
                  </w:pPr>
                  <w:r>
                    <w:rPr>
                      <w:snapToGrid w:val="0"/>
                      <w:color w:val="auto"/>
                      <w:lang w:bidi="ar"/>
                    </w:rPr>
                    <w:t>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2" w:type="pct"/>
                  <w:tcBorders>
                    <w:tl2br w:val="nil"/>
                    <w:tr2bl w:val="nil"/>
                  </w:tcBorders>
                  <w:vAlign w:val="center"/>
                </w:tcPr>
                <w:p>
                  <w:pPr>
                    <w:pStyle w:val="118"/>
                    <w:rPr>
                      <w:snapToGrid w:val="0"/>
                      <w:color w:val="auto"/>
                      <w:lang w:bidi="ar"/>
                    </w:rPr>
                  </w:pPr>
                  <w:r>
                    <w:rPr>
                      <w:snapToGrid w:val="0"/>
                      <w:color w:val="auto"/>
                      <w:lang w:bidi="ar"/>
                    </w:rPr>
                    <w:t>非正常工况类型</w:t>
                  </w:r>
                </w:p>
              </w:tc>
              <w:tc>
                <w:tcPr>
                  <w:tcW w:w="3847" w:type="pct"/>
                  <w:tcBorders>
                    <w:tl2br w:val="nil"/>
                    <w:tr2bl w:val="nil"/>
                  </w:tcBorders>
                  <w:vAlign w:val="center"/>
                </w:tcPr>
                <w:p>
                  <w:pPr>
                    <w:pStyle w:val="118"/>
                    <w:rPr>
                      <w:snapToGrid w:val="0"/>
                      <w:color w:val="auto"/>
                      <w:lang w:bidi="ar"/>
                    </w:rPr>
                  </w:pPr>
                  <w:r>
                    <w:rPr>
                      <w:rFonts w:hint="eastAsia"/>
                      <w:snapToGrid w:val="0"/>
                      <w:color w:val="auto"/>
                      <w:lang w:bidi="ar"/>
                    </w:rPr>
                    <w:t>水泥筒仓环境保护设施失效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2" w:type="pct"/>
                  <w:tcBorders>
                    <w:tl2br w:val="nil"/>
                    <w:tr2bl w:val="nil"/>
                  </w:tcBorders>
                  <w:vAlign w:val="center"/>
                </w:tcPr>
                <w:p>
                  <w:pPr>
                    <w:pStyle w:val="118"/>
                    <w:rPr>
                      <w:snapToGrid w:val="0"/>
                      <w:color w:val="auto"/>
                      <w:lang w:bidi="ar"/>
                    </w:rPr>
                  </w:pPr>
                  <w:r>
                    <w:rPr>
                      <w:snapToGrid w:val="0"/>
                      <w:color w:val="auto"/>
                      <w:lang w:bidi="ar"/>
                    </w:rPr>
                    <w:t>非正常工况频次</w:t>
                  </w:r>
                </w:p>
              </w:tc>
              <w:tc>
                <w:tcPr>
                  <w:tcW w:w="3847" w:type="pct"/>
                  <w:tcBorders>
                    <w:tl2br w:val="nil"/>
                    <w:tr2bl w:val="nil"/>
                  </w:tcBorders>
                  <w:vAlign w:val="center"/>
                </w:tcPr>
                <w:p>
                  <w:pPr>
                    <w:pStyle w:val="118"/>
                    <w:rPr>
                      <w:snapToGrid w:val="0"/>
                      <w:color w:val="auto"/>
                      <w:lang w:bidi="ar"/>
                    </w:rPr>
                  </w:pPr>
                  <w:r>
                    <w:rPr>
                      <w:snapToGrid w:val="0"/>
                      <w:color w:val="auto"/>
                      <w:lang w:bidi="ar"/>
                    </w:rPr>
                    <w:t>1次/a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52" w:type="pct"/>
                  <w:tcBorders>
                    <w:tl2br w:val="nil"/>
                    <w:tr2bl w:val="nil"/>
                  </w:tcBorders>
                  <w:vAlign w:val="center"/>
                </w:tcPr>
                <w:p>
                  <w:pPr>
                    <w:pStyle w:val="118"/>
                    <w:rPr>
                      <w:snapToGrid w:val="0"/>
                      <w:color w:val="auto"/>
                      <w:lang w:bidi="ar"/>
                    </w:rPr>
                  </w:pPr>
                  <w:r>
                    <w:rPr>
                      <w:snapToGrid w:val="0"/>
                      <w:color w:val="auto"/>
                      <w:lang w:bidi="ar"/>
                    </w:rPr>
                    <w:t>非正常工况持续时间</w:t>
                  </w:r>
                </w:p>
              </w:tc>
              <w:tc>
                <w:tcPr>
                  <w:tcW w:w="3847" w:type="pct"/>
                  <w:tcBorders>
                    <w:tl2br w:val="nil"/>
                    <w:tr2bl w:val="nil"/>
                  </w:tcBorders>
                  <w:vAlign w:val="center"/>
                </w:tcPr>
                <w:p>
                  <w:pPr>
                    <w:pStyle w:val="118"/>
                    <w:rPr>
                      <w:snapToGrid w:val="0"/>
                      <w:color w:val="auto"/>
                      <w:lang w:bidi="ar"/>
                    </w:rPr>
                  </w:pPr>
                  <w:r>
                    <w:rPr>
                      <w:snapToGrid w:val="0"/>
                      <w:color w:val="auto"/>
                      <w:lang w:bidi="ar"/>
                    </w:rPr>
                    <w:t>2h/次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2" w:type="pct"/>
                  <w:tcBorders>
                    <w:tl2br w:val="nil"/>
                    <w:tr2bl w:val="nil"/>
                  </w:tcBorders>
                  <w:vAlign w:val="center"/>
                </w:tcPr>
                <w:p>
                  <w:pPr>
                    <w:pStyle w:val="118"/>
                    <w:rPr>
                      <w:snapToGrid w:val="0"/>
                      <w:color w:val="auto"/>
                      <w:lang w:bidi="ar"/>
                    </w:rPr>
                  </w:pPr>
                  <w:r>
                    <w:rPr>
                      <w:snapToGrid w:val="0"/>
                      <w:color w:val="auto"/>
                      <w:lang w:bidi="ar"/>
                    </w:rPr>
                    <w:t>非正常工况污染物</w:t>
                  </w:r>
                  <w:r>
                    <w:rPr>
                      <w:rFonts w:hint="eastAsia"/>
                      <w:snapToGrid w:val="0"/>
                      <w:color w:val="auto"/>
                      <w:lang w:bidi="ar"/>
                    </w:rPr>
                    <w:t>排放</w:t>
                  </w:r>
                  <w:r>
                    <w:rPr>
                      <w:snapToGrid w:val="0"/>
                      <w:color w:val="auto"/>
                      <w:lang w:bidi="ar"/>
                    </w:rPr>
                    <w:t>情况</w:t>
                  </w:r>
                </w:p>
              </w:tc>
              <w:tc>
                <w:tcPr>
                  <w:tcW w:w="3847" w:type="pct"/>
                  <w:tcBorders>
                    <w:tl2br w:val="nil"/>
                    <w:tr2bl w:val="nil"/>
                  </w:tcBorders>
                  <w:vAlign w:val="center"/>
                </w:tcPr>
                <w:p>
                  <w:pPr>
                    <w:pStyle w:val="118"/>
                    <w:rPr>
                      <w:snapToGrid w:val="0"/>
                      <w:color w:val="auto"/>
                      <w:lang w:bidi="ar"/>
                    </w:rPr>
                  </w:pPr>
                  <w:r>
                    <w:rPr>
                      <w:rFonts w:hint="eastAsia"/>
                      <w:color w:val="auto"/>
                      <w:lang w:bidi="ar"/>
                    </w:rPr>
                    <w:t>颗粒物6.81</w:t>
                  </w:r>
                  <w:r>
                    <w:rPr>
                      <w:color w:val="auto"/>
                      <w:lang w:bidi="ar"/>
                    </w:rPr>
                    <w:t>kg/</w:t>
                  </w:r>
                  <w:r>
                    <w:rPr>
                      <w:rFonts w:hint="eastAsia"/>
                      <w:color w:val="auto"/>
                      <w:lang w:bidi="ar"/>
                    </w:rPr>
                    <w:t>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2" w:type="pct"/>
                  <w:tcBorders>
                    <w:tl2br w:val="nil"/>
                    <w:tr2bl w:val="nil"/>
                  </w:tcBorders>
                  <w:vAlign w:val="center"/>
                </w:tcPr>
                <w:p>
                  <w:pPr>
                    <w:pStyle w:val="118"/>
                    <w:rPr>
                      <w:snapToGrid w:val="0"/>
                      <w:color w:val="auto"/>
                      <w:lang w:bidi="ar"/>
                    </w:rPr>
                  </w:pPr>
                  <w:r>
                    <w:rPr>
                      <w:snapToGrid w:val="0"/>
                      <w:color w:val="auto"/>
                      <w:lang w:bidi="ar"/>
                    </w:rPr>
                    <w:t>非正常工况采取的措施</w:t>
                  </w:r>
                </w:p>
              </w:tc>
              <w:tc>
                <w:tcPr>
                  <w:tcW w:w="3847" w:type="pct"/>
                  <w:tcBorders>
                    <w:tl2br w:val="nil"/>
                    <w:tr2bl w:val="nil"/>
                  </w:tcBorders>
                  <w:vAlign w:val="center"/>
                </w:tcPr>
                <w:p>
                  <w:pPr>
                    <w:pStyle w:val="118"/>
                    <w:rPr>
                      <w:snapToGrid w:val="0"/>
                      <w:color w:val="auto"/>
                      <w:lang w:bidi="ar"/>
                    </w:rPr>
                  </w:pPr>
                  <w:r>
                    <w:rPr>
                      <w:snapToGrid w:val="0"/>
                      <w:color w:val="auto"/>
                      <w:lang w:bidi="ar"/>
                    </w:rPr>
                    <w:t>当环保设施故障时，停止</w:t>
                  </w:r>
                  <w:r>
                    <w:rPr>
                      <w:rFonts w:hint="eastAsia"/>
                      <w:snapToGrid w:val="0"/>
                      <w:color w:val="auto"/>
                      <w:lang w:bidi="ar"/>
                    </w:rPr>
                    <w:t>生产</w:t>
                  </w:r>
                  <w:r>
                    <w:rPr>
                      <w:snapToGrid w:val="0"/>
                      <w:color w:val="auto"/>
                      <w:lang w:bidi="ar"/>
                    </w:rPr>
                    <w:t>，防止污染物未经处理直接排放，污染环境；对设备定期进行巡检，减少故障情况发生。</w:t>
                  </w:r>
                </w:p>
              </w:tc>
            </w:tr>
          </w:tbl>
          <w:p>
            <w:pPr>
              <w:pStyle w:val="111"/>
              <w:snapToGrid w:val="0"/>
              <w:spacing w:line="560" w:lineRule="exact"/>
              <w:ind w:left="0" w:leftChars="0" w:firstLine="480" w:firstLineChars="200"/>
              <w:rPr>
                <w:bCs/>
                <w:color w:val="auto"/>
                <w:sz w:val="24"/>
              </w:rPr>
            </w:pPr>
            <w:r>
              <w:rPr>
                <w:rFonts w:hint="eastAsia"/>
                <w:bCs/>
                <w:color w:val="auto"/>
                <w:sz w:val="24"/>
              </w:rPr>
              <w:t>为防止生产废气非正常工况排放，建设单位必须加强废气处理设施的管理，定期检修，确保废气处理设施正常运行，在废气处理设备停止运行出现故障时，产生废气的各工序也必须相应停止生产。应停止生产。为杜绝废气非正常排放，应采取以下措施确保废气达标排放：</w:t>
            </w:r>
          </w:p>
          <w:p>
            <w:pPr>
              <w:pStyle w:val="111"/>
              <w:snapToGrid w:val="0"/>
              <w:spacing w:line="560" w:lineRule="exact"/>
              <w:ind w:left="0" w:leftChars="0" w:firstLine="480" w:firstLineChars="200"/>
              <w:rPr>
                <w:bCs/>
                <w:color w:val="auto"/>
                <w:sz w:val="24"/>
              </w:rPr>
            </w:pPr>
            <w:r>
              <w:rPr>
                <w:rFonts w:hint="eastAsia"/>
                <w:bCs/>
                <w:color w:val="auto"/>
                <w:sz w:val="24"/>
              </w:rPr>
              <w:t>①安排专人负责环保设备的日常维护和管理，每个固定时间检查、汇报情况，及时发现废气处理设备的隐患，确保废气处理系统正常运行；</w:t>
            </w:r>
          </w:p>
          <w:p>
            <w:pPr>
              <w:pStyle w:val="111"/>
              <w:snapToGrid w:val="0"/>
              <w:spacing w:line="560" w:lineRule="exact"/>
              <w:ind w:left="0" w:leftChars="0" w:firstLine="480" w:firstLineChars="200"/>
              <w:rPr>
                <w:bCs/>
                <w:color w:val="auto"/>
                <w:sz w:val="24"/>
              </w:rPr>
            </w:pPr>
            <w:r>
              <w:rPr>
                <w:rFonts w:hint="eastAsia"/>
                <w:bCs/>
                <w:color w:val="auto"/>
                <w:sz w:val="24"/>
              </w:rPr>
              <w:t>②定期更换布袋，布袋一年更换一次；</w:t>
            </w:r>
          </w:p>
          <w:p>
            <w:pPr>
              <w:pStyle w:val="111"/>
              <w:snapToGrid w:val="0"/>
              <w:spacing w:line="560" w:lineRule="exact"/>
              <w:ind w:left="0" w:leftChars="0" w:firstLine="480" w:firstLineChars="200"/>
              <w:rPr>
                <w:bCs/>
                <w:color w:val="auto"/>
                <w:sz w:val="24"/>
              </w:rPr>
            </w:pPr>
            <w:r>
              <w:rPr>
                <w:rFonts w:hint="eastAsia"/>
                <w:bCs/>
                <w:color w:val="auto"/>
                <w:sz w:val="24"/>
              </w:rPr>
              <w:t>③建立健全的环保管理机构，委托具有专业资质的环境检测单位对项目排放的各类污染物进行定期检测；</w:t>
            </w:r>
          </w:p>
          <w:p>
            <w:pPr>
              <w:pStyle w:val="111"/>
              <w:snapToGrid w:val="0"/>
              <w:spacing w:line="560" w:lineRule="exact"/>
              <w:ind w:left="0" w:leftChars="0" w:firstLine="480" w:firstLineChars="200"/>
              <w:rPr>
                <w:bCs/>
                <w:color w:val="auto"/>
                <w:sz w:val="24"/>
              </w:rPr>
            </w:pPr>
            <w:r>
              <w:rPr>
                <w:rFonts w:hint="eastAsia"/>
                <w:bCs/>
                <w:color w:val="auto"/>
                <w:sz w:val="24"/>
              </w:rPr>
              <w:t>④应定期维护、检修废气净化装置，以保持废气处理装置的净化能力和净化容量。</w:t>
            </w:r>
          </w:p>
          <w:p>
            <w:pPr>
              <w:widowControl/>
              <w:spacing w:line="520" w:lineRule="exact"/>
              <w:ind w:firstLine="482" w:firstLineChars="200"/>
              <w:rPr>
                <w:b/>
                <w:bCs/>
                <w:color w:val="auto"/>
                <w:sz w:val="24"/>
              </w:rPr>
            </w:pPr>
            <w:r>
              <w:rPr>
                <w:rFonts w:hint="eastAsia"/>
                <w:b/>
                <w:bCs/>
                <w:color w:val="auto"/>
                <w:sz w:val="24"/>
              </w:rPr>
              <w:t>1.5大气污染物排放量核算</w:t>
            </w:r>
          </w:p>
          <w:p>
            <w:pPr>
              <w:pStyle w:val="111"/>
              <w:snapToGrid w:val="0"/>
              <w:spacing w:line="560" w:lineRule="exact"/>
              <w:ind w:left="0" w:leftChars="0" w:firstLine="480" w:firstLineChars="200"/>
              <w:rPr>
                <w:bCs/>
                <w:color w:val="auto"/>
                <w:sz w:val="24"/>
              </w:rPr>
            </w:pPr>
            <w:r>
              <w:rPr>
                <w:rFonts w:hint="eastAsia"/>
                <w:bCs/>
                <w:color w:val="auto"/>
                <w:sz w:val="24"/>
              </w:rPr>
              <w:t>项目大气污染物有组织排放量核算结果见表4-</w:t>
            </w:r>
            <w:r>
              <w:rPr>
                <w:rFonts w:hint="eastAsia"/>
                <w:bCs/>
                <w:color w:val="auto"/>
                <w:sz w:val="24"/>
                <w:lang w:val="en-US" w:eastAsia="zh-CN"/>
              </w:rPr>
              <w:t>8</w:t>
            </w:r>
            <w:r>
              <w:rPr>
                <w:rFonts w:hint="eastAsia"/>
                <w:bCs/>
                <w:color w:val="auto"/>
                <w:sz w:val="24"/>
              </w:rPr>
              <w:t>，无组织排放量核算结果见表4-</w:t>
            </w:r>
            <w:r>
              <w:rPr>
                <w:rFonts w:hint="eastAsia"/>
                <w:bCs/>
                <w:color w:val="auto"/>
                <w:sz w:val="24"/>
                <w:lang w:val="en-US" w:eastAsia="zh-CN"/>
              </w:rPr>
              <w:t>9</w:t>
            </w:r>
            <w:r>
              <w:rPr>
                <w:rFonts w:hint="eastAsia"/>
                <w:bCs/>
                <w:color w:val="auto"/>
                <w:sz w:val="24"/>
              </w:rPr>
              <w:t>，项目大气污染物年排放量核算详见表4-1</w:t>
            </w:r>
            <w:r>
              <w:rPr>
                <w:rFonts w:hint="eastAsia"/>
                <w:bCs/>
                <w:color w:val="auto"/>
                <w:sz w:val="24"/>
                <w:lang w:val="en-US" w:eastAsia="zh-CN"/>
              </w:rPr>
              <w:t>0</w:t>
            </w:r>
            <w:r>
              <w:rPr>
                <w:rFonts w:hint="eastAsia"/>
                <w:bCs/>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w:t>
            </w:r>
            <w:r>
              <w:rPr>
                <w:rFonts w:hint="eastAsia" w:ascii="Times New Roman" w:hAnsi="Times New Roman" w:eastAsia="宋体" w:cs="Times New Roman"/>
                <w:b/>
                <w:color w:val="auto"/>
                <w:szCs w:val="21"/>
                <w:lang w:val="en-US" w:eastAsia="zh-CN"/>
              </w:rPr>
              <w:t>8</w:t>
            </w:r>
            <w:r>
              <w:rPr>
                <w:rFonts w:hint="eastAsia" w:ascii="Times New Roman" w:hAnsi="Times New Roman" w:eastAsia="宋体" w:cs="Times New Roman"/>
                <w:b/>
                <w:color w:val="auto"/>
                <w:szCs w:val="21"/>
              </w:rPr>
              <w:t xml:space="preserve">     项目大气有组织污染物核算表</w:t>
            </w:r>
          </w:p>
          <w:tbl>
            <w:tblPr>
              <w:tblStyle w:val="31"/>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287"/>
              <w:gridCol w:w="1275"/>
              <w:gridCol w:w="1377"/>
              <w:gridCol w:w="1603"/>
              <w:gridCol w:w="11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Align w:val="center"/>
                </w:tcPr>
                <w:p>
                  <w:pPr>
                    <w:jc w:val="center"/>
                    <w:rPr>
                      <w:color w:val="auto"/>
                      <w:szCs w:val="21"/>
                    </w:rPr>
                  </w:pPr>
                  <w:r>
                    <w:rPr>
                      <w:rFonts w:hint="eastAsia"/>
                      <w:color w:val="auto"/>
                      <w:szCs w:val="21"/>
                    </w:rPr>
                    <w:t>序号</w:t>
                  </w:r>
                </w:p>
              </w:tc>
              <w:tc>
                <w:tcPr>
                  <w:tcW w:w="1387" w:type="pct"/>
                  <w:vAlign w:val="center"/>
                </w:tcPr>
                <w:p>
                  <w:pPr>
                    <w:jc w:val="center"/>
                    <w:rPr>
                      <w:color w:val="auto"/>
                      <w:szCs w:val="21"/>
                    </w:rPr>
                  </w:pPr>
                  <w:r>
                    <w:rPr>
                      <w:rFonts w:hint="eastAsia"/>
                      <w:color w:val="auto"/>
                      <w:szCs w:val="21"/>
                    </w:rPr>
                    <w:t>排放口编号</w:t>
                  </w:r>
                </w:p>
              </w:tc>
              <w:tc>
                <w:tcPr>
                  <w:tcW w:w="774" w:type="pct"/>
                  <w:vAlign w:val="center"/>
                </w:tcPr>
                <w:p>
                  <w:pPr>
                    <w:jc w:val="center"/>
                    <w:rPr>
                      <w:color w:val="auto"/>
                      <w:szCs w:val="21"/>
                    </w:rPr>
                  </w:pPr>
                  <w:r>
                    <w:rPr>
                      <w:rFonts w:hint="eastAsia"/>
                      <w:color w:val="auto"/>
                      <w:szCs w:val="21"/>
                    </w:rPr>
                    <w:t>污染物</w:t>
                  </w:r>
                </w:p>
              </w:tc>
              <w:tc>
                <w:tcPr>
                  <w:tcW w:w="836" w:type="pct"/>
                  <w:vAlign w:val="center"/>
                </w:tcPr>
                <w:p>
                  <w:pPr>
                    <w:jc w:val="center"/>
                    <w:rPr>
                      <w:color w:val="auto"/>
                      <w:szCs w:val="21"/>
                    </w:rPr>
                  </w:pPr>
                  <w:r>
                    <w:rPr>
                      <w:rFonts w:hint="eastAsia"/>
                      <w:color w:val="auto"/>
                      <w:szCs w:val="21"/>
                    </w:rPr>
                    <w:t>核算排放浓度mg/m</w:t>
                  </w:r>
                  <w:r>
                    <w:rPr>
                      <w:rFonts w:hint="eastAsia"/>
                      <w:color w:val="auto"/>
                      <w:szCs w:val="21"/>
                      <w:vertAlign w:val="superscript"/>
                    </w:rPr>
                    <w:t>3</w:t>
                  </w:r>
                </w:p>
              </w:tc>
              <w:tc>
                <w:tcPr>
                  <w:tcW w:w="972" w:type="pct"/>
                  <w:vAlign w:val="center"/>
                </w:tcPr>
                <w:p>
                  <w:pPr>
                    <w:jc w:val="center"/>
                    <w:rPr>
                      <w:color w:val="auto"/>
                      <w:szCs w:val="21"/>
                    </w:rPr>
                  </w:pPr>
                  <w:r>
                    <w:rPr>
                      <w:rFonts w:hint="eastAsia"/>
                      <w:color w:val="auto"/>
                      <w:szCs w:val="21"/>
                    </w:rPr>
                    <w:t>核算排放速率</w:t>
                  </w:r>
                </w:p>
                <w:p>
                  <w:pPr>
                    <w:jc w:val="center"/>
                    <w:rPr>
                      <w:color w:val="auto"/>
                      <w:szCs w:val="21"/>
                    </w:rPr>
                  </w:pPr>
                  <w:r>
                    <w:rPr>
                      <w:rFonts w:hint="eastAsia"/>
                      <w:color w:val="auto"/>
                      <w:szCs w:val="21"/>
                    </w:rPr>
                    <w:t>kg/h</w:t>
                  </w:r>
                </w:p>
              </w:tc>
              <w:tc>
                <w:tcPr>
                  <w:tcW w:w="714" w:type="pct"/>
                  <w:vAlign w:val="center"/>
                </w:tcPr>
                <w:p>
                  <w:pPr>
                    <w:jc w:val="center"/>
                    <w:rPr>
                      <w:color w:val="auto"/>
                      <w:szCs w:val="21"/>
                    </w:rPr>
                  </w:pPr>
                  <w:r>
                    <w:rPr>
                      <w:rFonts w:hint="eastAsia"/>
                      <w:color w:val="auto"/>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vAlign w:val="center"/>
                </w:tcPr>
                <w:p>
                  <w:pPr>
                    <w:jc w:val="center"/>
                    <w:rPr>
                      <w:color w:val="auto"/>
                      <w:kern w:val="0"/>
                      <w:szCs w:val="21"/>
                      <w:lang w:bidi="ar"/>
                    </w:rPr>
                  </w:pPr>
                  <w:r>
                    <w:rPr>
                      <w:rFonts w:hint="eastAsia"/>
                      <w:color w:val="auto"/>
                      <w:kern w:val="0"/>
                      <w:szCs w:val="21"/>
                      <w:lang w:bidi="ar"/>
                    </w:rPr>
                    <w:t>主要排放口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Merge w:val="restart"/>
                  <w:vAlign w:val="center"/>
                </w:tcPr>
                <w:p>
                  <w:pPr>
                    <w:jc w:val="center"/>
                    <w:rPr>
                      <w:color w:val="auto"/>
                      <w:szCs w:val="21"/>
                    </w:rPr>
                  </w:pPr>
                  <w:r>
                    <w:rPr>
                      <w:rFonts w:hint="eastAsia"/>
                      <w:color w:val="auto"/>
                      <w:szCs w:val="21"/>
                    </w:rPr>
                    <w:t>1</w:t>
                  </w:r>
                </w:p>
              </w:tc>
              <w:tc>
                <w:tcPr>
                  <w:tcW w:w="1387" w:type="pct"/>
                  <w:vMerge w:val="restart"/>
                  <w:shd w:val="clear" w:color="auto" w:fill="auto"/>
                  <w:vAlign w:val="center"/>
                </w:tcPr>
                <w:p>
                  <w:pPr>
                    <w:widowControl/>
                    <w:jc w:val="center"/>
                    <w:textAlignment w:val="center"/>
                    <w:rPr>
                      <w:color w:val="auto"/>
                      <w:szCs w:val="21"/>
                    </w:rPr>
                  </w:pPr>
                  <w:r>
                    <w:rPr>
                      <w:rFonts w:hint="eastAsia"/>
                      <w:color w:val="auto"/>
                      <w:kern w:val="0"/>
                      <w:szCs w:val="21"/>
                      <w:lang w:bidi="ar"/>
                    </w:rPr>
                    <w:t>主要排放口</w:t>
                  </w:r>
                </w:p>
              </w:tc>
              <w:tc>
                <w:tcPr>
                  <w:tcW w:w="774" w:type="pct"/>
                  <w:vAlign w:val="center"/>
                </w:tcPr>
                <w:p>
                  <w:pPr>
                    <w:jc w:val="center"/>
                    <w:rPr>
                      <w:color w:val="auto"/>
                      <w:szCs w:val="21"/>
                    </w:rPr>
                  </w:pPr>
                  <w:r>
                    <w:rPr>
                      <w:color w:val="auto"/>
                      <w:szCs w:val="21"/>
                    </w:rPr>
                    <w:t>颗粒物</w:t>
                  </w:r>
                </w:p>
              </w:tc>
              <w:tc>
                <w:tcPr>
                  <w:tcW w:w="836" w:type="pct"/>
                  <w:vAlign w:val="center"/>
                </w:tcPr>
                <w:p>
                  <w:pPr>
                    <w:adjustRightInd w:val="0"/>
                    <w:snapToGrid w:val="0"/>
                    <w:jc w:val="center"/>
                    <w:rPr>
                      <w:color w:val="auto"/>
                      <w:szCs w:val="21"/>
                    </w:rPr>
                  </w:pPr>
                  <w:r>
                    <w:rPr>
                      <w:rFonts w:hint="eastAsia"/>
                      <w:color w:val="auto"/>
                      <w:szCs w:val="21"/>
                    </w:rPr>
                    <w:t>/</w:t>
                  </w:r>
                </w:p>
              </w:tc>
              <w:tc>
                <w:tcPr>
                  <w:tcW w:w="972" w:type="pct"/>
                  <w:vAlign w:val="center"/>
                </w:tcPr>
                <w:p>
                  <w:pPr>
                    <w:adjustRightInd w:val="0"/>
                    <w:snapToGrid w:val="0"/>
                    <w:jc w:val="center"/>
                    <w:rPr>
                      <w:color w:val="auto"/>
                      <w:szCs w:val="21"/>
                    </w:rPr>
                  </w:pPr>
                  <w:r>
                    <w:rPr>
                      <w:rFonts w:hint="eastAsia"/>
                      <w:color w:val="auto"/>
                      <w:szCs w:val="21"/>
                    </w:rPr>
                    <w:t>/</w:t>
                  </w:r>
                </w:p>
              </w:tc>
              <w:tc>
                <w:tcPr>
                  <w:tcW w:w="71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Merge w:val="continue"/>
                  <w:vAlign w:val="center"/>
                </w:tcPr>
                <w:p>
                  <w:pPr>
                    <w:jc w:val="center"/>
                    <w:rPr>
                      <w:color w:val="auto"/>
                      <w:szCs w:val="21"/>
                    </w:rPr>
                  </w:pPr>
                </w:p>
              </w:tc>
              <w:tc>
                <w:tcPr>
                  <w:tcW w:w="1387" w:type="pct"/>
                  <w:vMerge w:val="continue"/>
                  <w:vAlign w:val="center"/>
                </w:tcPr>
                <w:p>
                  <w:pPr>
                    <w:jc w:val="center"/>
                    <w:rPr>
                      <w:color w:val="auto"/>
                      <w:szCs w:val="21"/>
                    </w:rPr>
                  </w:pPr>
                </w:p>
              </w:tc>
              <w:tc>
                <w:tcPr>
                  <w:tcW w:w="774" w:type="pct"/>
                  <w:vAlign w:val="center"/>
                </w:tcPr>
                <w:p>
                  <w:pPr>
                    <w:jc w:val="center"/>
                    <w:rPr>
                      <w:color w:val="auto"/>
                      <w:szCs w:val="21"/>
                    </w:rPr>
                  </w:pPr>
                  <w:r>
                    <w:rPr>
                      <w:color w:val="auto"/>
                      <w:szCs w:val="21"/>
                    </w:rPr>
                    <w:t>SO</w:t>
                  </w:r>
                  <w:r>
                    <w:rPr>
                      <w:color w:val="auto"/>
                      <w:szCs w:val="21"/>
                      <w:vertAlign w:val="subscript"/>
                    </w:rPr>
                    <w:t>2</w:t>
                  </w:r>
                </w:p>
              </w:tc>
              <w:tc>
                <w:tcPr>
                  <w:tcW w:w="836" w:type="pct"/>
                  <w:vAlign w:val="center"/>
                </w:tcPr>
                <w:p>
                  <w:pPr>
                    <w:adjustRightInd w:val="0"/>
                    <w:snapToGrid w:val="0"/>
                    <w:jc w:val="center"/>
                    <w:rPr>
                      <w:color w:val="auto"/>
                      <w:szCs w:val="21"/>
                    </w:rPr>
                  </w:pPr>
                  <w:r>
                    <w:rPr>
                      <w:rFonts w:hint="eastAsia"/>
                      <w:color w:val="auto"/>
                      <w:szCs w:val="21"/>
                    </w:rPr>
                    <w:t>/</w:t>
                  </w:r>
                </w:p>
              </w:tc>
              <w:tc>
                <w:tcPr>
                  <w:tcW w:w="972" w:type="pct"/>
                  <w:vAlign w:val="center"/>
                </w:tcPr>
                <w:p>
                  <w:pPr>
                    <w:adjustRightInd w:val="0"/>
                    <w:snapToGrid w:val="0"/>
                    <w:jc w:val="center"/>
                    <w:rPr>
                      <w:color w:val="auto"/>
                      <w:szCs w:val="21"/>
                    </w:rPr>
                  </w:pPr>
                  <w:r>
                    <w:rPr>
                      <w:rFonts w:hint="eastAsia"/>
                      <w:color w:val="auto"/>
                      <w:szCs w:val="21"/>
                    </w:rPr>
                    <w:t>/</w:t>
                  </w:r>
                </w:p>
              </w:tc>
              <w:tc>
                <w:tcPr>
                  <w:tcW w:w="71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Merge w:val="continue"/>
                  <w:vAlign w:val="center"/>
                </w:tcPr>
                <w:p>
                  <w:pPr>
                    <w:jc w:val="center"/>
                    <w:rPr>
                      <w:color w:val="auto"/>
                      <w:szCs w:val="21"/>
                    </w:rPr>
                  </w:pPr>
                </w:p>
              </w:tc>
              <w:tc>
                <w:tcPr>
                  <w:tcW w:w="1387" w:type="pct"/>
                  <w:vMerge w:val="continue"/>
                  <w:vAlign w:val="center"/>
                </w:tcPr>
                <w:p>
                  <w:pPr>
                    <w:jc w:val="center"/>
                    <w:rPr>
                      <w:color w:val="auto"/>
                      <w:szCs w:val="21"/>
                    </w:rPr>
                  </w:pPr>
                </w:p>
              </w:tc>
              <w:tc>
                <w:tcPr>
                  <w:tcW w:w="774" w:type="pct"/>
                  <w:vAlign w:val="center"/>
                </w:tcPr>
                <w:p>
                  <w:pPr>
                    <w:jc w:val="center"/>
                    <w:rPr>
                      <w:color w:val="auto"/>
                      <w:szCs w:val="21"/>
                    </w:rPr>
                  </w:pPr>
                  <w:r>
                    <w:rPr>
                      <w:color w:val="auto"/>
                      <w:szCs w:val="21"/>
                    </w:rPr>
                    <w:t>NOx</w:t>
                  </w:r>
                </w:p>
              </w:tc>
              <w:tc>
                <w:tcPr>
                  <w:tcW w:w="836" w:type="pct"/>
                  <w:vAlign w:val="center"/>
                </w:tcPr>
                <w:p>
                  <w:pPr>
                    <w:adjustRightInd w:val="0"/>
                    <w:snapToGrid w:val="0"/>
                    <w:jc w:val="center"/>
                    <w:rPr>
                      <w:color w:val="auto"/>
                      <w:szCs w:val="21"/>
                    </w:rPr>
                  </w:pPr>
                  <w:r>
                    <w:rPr>
                      <w:rFonts w:hint="eastAsia"/>
                      <w:color w:val="auto"/>
                      <w:szCs w:val="21"/>
                    </w:rPr>
                    <w:t>/</w:t>
                  </w:r>
                </w:p>
              </w:tc>
              <w:tc>
                <w:tcPr>
                  <w:tcW w:w="972" w:type="pct"/>
                  <w:vAlign w:val="center"/>
                </w:tcPr>
                <w:p>
                  <w:pPr>
                    <w:adjustRightInd w:val="0"/>
                    <w:snapToGrid w:val="0"/>
                    <w:jc w:val="center"/>
                    <w:rPr>
                      <w:color w:val="auto"/>
                      <w:szCs w:val="21"/>
                    </w:rPr>
                  </w:pPr>
                  <w:r>
                    <w:rPr>
                      <w:rFonts w:hint="eastAsia"/>
                      <w:color w:val="auto"/>
                      <w:szCs w:val="21"/>
                    </w:rPr>
                    <w:t>/</w:t>
                  </w:r>
                </w:p>
              </w:tc>
              <w:tc>
                <w:tcPr>
                  <w:tcW w:w="71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Merge w:val="continue"/>
                  <w:vAlign w:val="center"/>
                </w:tcPr>
                <w:p>
                  <w:pPr>
                    <w:jc w:val="center"/>
                    <w:rPr>
                      <w:color w:val="auto"/>
                      <w:szCs w:val="21"/>
                    </w:rPr>
                  </w:pPr>
                </w:p>
              </w:tc>
              <w:tc>
                <w:tcPr>
                  <w:tcW w:w="1387" w:type="pct"/>
                  <w:vMerge w:val="continue"/>
                  <w:vAlign w:val="center"/>
                </w:tcPr>
                <w:p>
                  <w:pPr>
                    <w:jc w:val="center"/>
                    <w:rPr>
                      <w:color w:val="auto"/>
                      <w:szCs w:val="21"/>
                    </w:rPr>
                  </w:pPr>
                </w:p>
              </w:tc>
              <w:tc>
                <w:tcPr>
                  <w:tcW w:w="774" w:type="pct"/>
                  <w:vAlign w:val="center"/>
                </w:tcPr>
                <w:p>
                  <w:pPr>
                    <w:jc w:val="center"/>
                    <w:rPr>
                      <w:color w:val="auto"/>
                      <w:szCs w:val="21"/>
                    </w:rPr>
                  </w:pPr>
                  <w:r>
                    <w:rPr>
                      <w:rFonts w:hint="eastAsia"/>
                      <w:color w:val="auto"/>
                      <w:szCs w:val="21"/>
                    </w:rPr>
                    <w:t>VOCs</w:t>
                  </w:r>
                </w:p>
              </w:tc>
              <w:tc>
                <w:tcPr>
                  <w:tcW w:w="836" w:type="pct"/>
                  <w:vAlign w:val="center"/>
                </w:tcPr>
                <w:p>
                  <w:pPr>
                    <w:adjustRightInd w:val="0"/>
                    <w:snapToGrid w:val="0"/>
                    <w:jc w:val="center"/>
                    <w:rPr>
                      <w:bCs/>
                      <w:color w:val="auto"/>
                      <w:szCs w:val="21"/>
                    </w:rPr>
                  </w:pPr>
                  <w:r>
                    <w:rPr>
                      <w:rFonts w:hint="eastAsia"/>
                      <w:bCs/>
                      <w:color w:val="auto"/>
                      <w:szCs w:val="21"/>
                    </w:rPr>
                    <w:t>/</w:t>
                  </w:r>
                </w:p>
              </w:tc>
              <w:tc>
                <w:tcPr>
                  <w:tcW w:w="972" w:type="pct"/>
                  <w:vAlign w:val="center"/>
                </w:tcPr>
                <w:p>
                  <w:pPr>
                    <w:adjustRightInd w:val="0"/>
                    <w:snapToGrid w:val="0"/>
                    <w:jc w:val="center"/>
                    <w:rPr>
                      <w:bCs/>
                      <w:color w:val="auto"/>
                      <w:szCs w:val="21"/>
                    </w:rPr>
                  </w:pPr>
                  <w:r>
                    <w:rPr>
                      <w:rFonts w:hint="eastAsia"/>
                      <w:bCs/>
                      <w:color w:val="auto"/>
                      <w:szCs w:val="21"/>
                    </w:rPr>
                    <w:t>/</w:t>
                  </w:r>
                </w:p>
              </w:tc>
              <w:tc>
                <w:tcPr>
                  <w:tcW w:w="714" w:type="pct"/>
                  <w:vAlign w:val="center"/>
                </w:tcPr>
                <w:p>
                  <w:pPr>
                    <w:adjustRightInd w:val="0"/>
                    <w:snapToGrid w:val="0"/>
                    <w:jc w:val="center"/>
                    <w:rPr>
                      <w:bCs/>
                      <w:color w:val="auto"/>
                      <w:szCs w:val="21"/>
                    </w:rPr>
                  </w:pPr>
                  <w:r>
                    <w:rPr>
                      <w:rFonts w:hint="eastAsia"/>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restart"/>
                  <w:vAlign w:val="center"/>
                </w:tcPr>
                <w:p>
                  <w:pPr>
                    <w:jc w:val="center"/>
                    <w:rPr>
                      <w:color w:val="auto"/>
                      <w:szCs w:val="21"/>
                    </w:rPr>
                  </w:pPr>
                  <w:r>
                    <w:rPr>
                      <w:rFonts w:hint="eastAsia"/>
                      <w:color w:val="auto"/>
                      <w:szCs w:val="21"/>
                    </w:rPr>
                    <w:t>主要排放口合计</w:t>
                  </w:r>
                </w:p>
              </w:tc>
              <w:tc>
                <w:tcPr>
                  <w:tcW w:w="2583" w:type="pct"/>
                  <w:gridSpan w:val="3"/>
                  <w:vAlign w:val="center"/>
                </w:tcPr>
                <w:p>
                  <w:pPr>
                    <w:jc w:val="center"/>
                    <w:rPr>
                      <w:color w:val="auto"/>
                      <w:szCs w:val="21"/>
                    </w:rPr>
                  </w:pPr>
                  <w:r>
                    <w:rPr>
                      <w:color w:val="auto"/>
                      <w:szCs w:val="21"/>
                    </w:rPr>
                    <w:t>颗粒物</w:t>
                  </w:r>
                </w:p>
              </w:tc>
              <w:tc>
                <w:tcPr>
                  <w:tcW w:w="71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continue"/>
                  <w:vAlign w:val="center"/>
                </w:tcPr>
                <w:p>
                  <w:pPr>
                    <w:jc w:val="center"/>
                    <w:rPr>
                      <w:color w:val="auto"/>
                      <w:szCs w:val="21"/>
                    </w:rPr>
                  </w:pPr>
                </w:p>
              </w:tc>
              <w:tc>
                <w:tcPr>
                  <w:tcW w:w="2583" w:type="pct"/>
                  <w:gridSpan w:val="3"/>
                  <w:vAlign w:val="center"/>
                </w:tcPr>
                <w:p>
                  <w:pPr>
                    <w:jc w:val="center"/>
                    <w:rPr>
                      <w:color w:val="auto"/>
                      <w:szCs w:val="21"/>
                    </w:rPr>
                  </w:pPr>
                  <w:r>
                    <w:rPr>
                      <w:color w:val="auto"/>
                      <w:szCs w:val="21"/>
                    </w:rPr>
                    <w:t>SO</w:t>
                  </w:r>
                  <w:r>
                    <w:rPr>
                      <w:color w:val="auto"/>
                      <w:szCs w:val="21"/>
                      <w:vertAlign w:val="subscript"/>
                    </w:rPr>
                    <w:t>2</w:t>
                  </w:r>
                </w:p>
              </w:tc>
              <w:tc>
                <w:tcPr>
                  <w:tcW w:w="71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continue"/>
                  <w:vAlign w:val="center"/>
                </w:tcPr>
                <w:p>
                  <w:pPr>
                    <w:jc w:val="center"/>
                    <w:rPr>
                      <w:color w:val="auto"/>
                      <w:szCs w:val="21"/>
                    </w:rPr>
                  </w:pPr>
                </w:p>
              </w:tc>
              <w:tc>
                <w:tcPr>
                  <w:tcW w:w="2583" w:type="pct"/>
                  <w:gridSpan w:val="3"/>
                  <w:vAlign w:val="center"/>
                </w:tcPr>
                <w:p>
                  <w:pPr>
                    <w:jc w:val="center"/>
                    <w:rPr>
                      <w:color w:val="auto"/>
                      <w:szCs w:val="21"/>
                    </w:rPr>
                  </w:pPr>
                  <w:r>
                    <w:rPr>
                      <w:color w:val="auto"/>
                      <w:szCs w:val="21"/>
                    </w:rPr>
                    <w:t>NOx</w:t>
                  </w:r>
                </w:p>
              </w:tc>
              <w:tc>
                <w:tcPr>
                  <w:tcW w:w="714" w:type="pct"/>
                  <w:vAlign w:val="center"/>
                </w:tcPr>
                <w:p>
                  <w:pPr>
                    <w:adjustRightInd w:val="0"/>
                    <w:snapToGrid w:val="0"/>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continue"/>
                  <w:vAlign w:val="center"/>
                </w:tcPr>
                <w:p>
                  <w:pPr>
                    <w:jc w:val="center"/>
                    <w:rPr>
                      <w:color w:val="auto"/>
                      <w:szCs w:val="21"/>
                    </w:rPr>
                  </w:pPr>
                </w:p>
              </w:tc>
              <w:tc>
                <w:tcPr>
                  <w:tcW w:w="2583" w:type="pct"/>
                  <w:gridSpan w:val="3"/>
                  <w:vAlign w:val="center"/>
                </w:tcPr>
                <w:p>
                  <w:pPr>
                    <w:jc w:val="center"/>
                    <w:rPr>
                      <w:color w:val="auto"/>
                      <w:szCs w:val="21"/>
                    </w:rPr>
                  </w:pPr>
                  <w:r>
                    <w:rPr>
                      <w:rFonts w:hint="eastAsia"/>
                      <w:color w:val="auto"/>
                      <w:szCs w:val="21"/>
                    </w:rPr>
                    <w:t>VOCs</w:t>
                  </w:r>
                </w:p>
              </w:tc>
              <w:tc>
                <w:tcPr>
                  <w:tcW w:w="714" w:type="pct"/>
                  <w:vAlign w:val="center"/>
                </w:tcPr>
                <w:p>
                  <w:pPr>
                    <w:adjustRightInd w:val="0"/>
                    <w:snapToGrid w:val="0"/>
                    <w:jc w:val="center"/>
                    <w:rPr>
                      <w:color w:val="auto"/>
                      <w:szCs w:val="21"/>
                    </w:rPr>
                  </w:pPr>
                  <w:r>
                    <w:rPr>
                      <w:rFonts w:hint="eastAsia"/>
                      <w:bCs/>
                      <w:color w:val="auto"/>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vAlign w:val="center"/>
                </w:tcPr>
                <w:p>
                  <w:pPr>
                    <w:jc w:val="center"/>
                    <w:rPr>
                      <w:color w:val="auto"/>
                      <w:szCs w:val="21"/>
                    </w:rPr>
                  </w:pPr>
                  <w:r>
                    <w:rPr>
                      <w:rFonts w:hint="eastAsia"/>
                      <w:color w:val="auto"/>
                      <w:szCs w:val="21"/>
                    </w:rPr>
                    <w:t>一般排放口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Align w:val="center"/>
                </w:tcPr>
                <w:p>
                  <w:pPr>
                    <w:jc w:val="center"/>
                    <w:rPr>
                      <w:color w:val="auto"/>
                      <w:szCs w:val="21"/>
                    </w:rPr>
                  </w:pPr>
                  <w:r>
                    <w:rPr>
                      <w:rFonts w:hint="eastAsia"/>
                      <w:color w:val="auto"/>
                      <w:szCs w:val="21"/>
                    </w:rPr>
                    <w:t>2</w:t>
                  </w:r>
                </w:p>
              </w:tc>
              <w:tc>
                <w:tcPr>
                  <w:tcW w:w="1387" w:type="pct"/>
                  <w:shd w:val="clear" w:color="auto" w:fill="auto"/>
                  <w:vAlign w:val="center"/>
                </w:tcPr>
                <w:p>
                  <w:pPr>
                    <w:jc w:val="center"/>
                    <w:rPr>
                      <w:color w:val="auto"/>
                      <w:kern w:val="0"/>
                      <w:szCs w:val="21"/>
                      <w:lang w:bidi="ar"/>
                    </w:rPr>
                  </w:pPr>
                  <w:r>
                    <w:rPr>
                      <w:rFonts w:hint="eastAsia"/>
                      <w:color w:val="auto"/>
                      <w:szCs w:val="21"/>
                    </w:rPr>
                    <w:t>水泥筒仓DA001</w:t>
                  </w:r>
                </w:p>
              </w:tc>
              <w:tc>
                <w:tcPr>
                  <w:tcW w:w="774" w:type="pct"/>
                  <w:vMerge w:val="restart"/>
                  <w:vAlign w:val="center"/>
                </w:tcPr>
                <w:p>
                  <w:pPr>
                    <w:jc w:val="center"/>
                    <w:rPr>
                      <w:color w:val="auto"/>
                      <w:szCs w:val="21"/>
                    </w:rPr>
                  </w:pPr>
                  <w:r>
                    <w:rPr>
                      <w:rFonts w:hint="eastAsia"/>
                      <w:color w:val="auto"/>
                      <w:szCs w:val="21"/>
                    </w:rPr>
                    <w:t>颗粒物</w:t>
                  </w:r>
                </w:p>
              </w:tc>
              <w:tc>
                <w:tcPr>
                  <w:tcW w:w="836" w:type="pct"/>
                  <w:vAlign w:val="center"/>
                </w:tcPr>
                <w:p>
                  <w:pPr>
                    <w:pStyle w:val="38"/>
                    <w:jc w:val="center"/>
                    <w:rPr>
                      <w:color w:val="auto"/>
                    </w:rPr>
                  </w:pPr>
                  <w:r>
                    <w:rPr>
                      <w:color w:val="auto"/>
                    </w:rPr>
                    <w:t>13.64</w:t>
                  </w:r>
                </w:p>
              </w:tc>
              <w:tc>
                <w:tcPr>
                  <w:tcW w:w="972" w:type="pct"/>
                  <w:vAlign w:val="center"/>
                </w:tcPr>
                <w:p>
                  <w:pPr>
                    <w:pStyle w:val="38"/>
                    <w:jc w:val="center"/>
                    <w:rPr>
                      <w:color w:val="auto"/>
                    </w:rPr>
                  </w:pPr>
                  <w:r>
                    <w:rPr>
                      <w:color w:val="auto"/>
                    </w:rPr>
                    <w:t>0.020</w:t>
                  </w:r>
                </w:p>
              </w:tc>
              <w:tc>
                <w:tcPr>
                  <w:tcW w:w="714" w:type="pct"/>
                  <w:vAlign w:val="center"/>
                </w:tcPr>
                <w:p>
                  <w:pPr>
                    <w:pStyle w:val="38"/>
                    <w:jc w:val="center"/>
                    <w:rPr>
                      <w:color w:val="auto"/>
                    </w:rPr>
                  </w:pPr>
                  <w:r>
                    <w:rPr>
                      <w:color w:val="auto"/>
                    </w:rPr>
                    <w:t>0.042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Align w:val="center"/>
                </w:tcPr>
                <w:p>
                  <w:pPr>
                    <w:jc w:val="center"/>
                    <w:rPr>
                      <w:color w:val="auto"/>
                      <w:szCs w:val="21"/>
                    </w:rPr>
                  </w:pPr>
                  <w:r>
                    <w:rPr>
                      <w:rFonts w:hint="eastAsia"/>
                      <w:color w:val="auto"/>
                      <w:szCs w:val="21"/>
                    </w:rPr>
                    <w:t>3</w:t>
                  </w:r>
                </w:p>
              </w:tc>
              <w:tc>
                <w:tcPr>
                  <w:tcW w:w="1387" w:type="pct"/>
                  <w:shd w:val="clear" w:color="auto" w:fill="auto"/>
                  <w:vAlign w:val="center"/>
                </w:tcPr>
                <w:p>
                  <w:pPr>
                    <w:jc w:val="center"/>
                    <w:rPr>
                      <w:color w:val="auto"/>
                      <w:kern w:val="0"/>
                      <w:szCs w:val="21"/>
                      <w:lang w:bidi="ar"/>
                    </w:rPr>
                  </w:pPr>
                  <w:r>
                    <w:rPr>
                      <w:rFonts w:hint="eastAsia"/>
                      <w:color w:val="auto"/>
                      <w:szCs w:val="21"/>
                    </w:rPr>
                    <w:t>粉煤灰筒仓DA002</w:t>
                  </w:r>
                </w:p>
              </w:tc>
              <w:tc>
                <w:tcPr>
                  <w:tcW w:w="774" w:type="pct"/>
                  <w:vMerge w:val="continue"/>
                  <w:vAlign w:val="center"/>
                </w:tcPr>
                <w:p>
                  <w:pPr>
                    <w:jc w:val="center"/>
                    <w:rPr>
                      <w:color w:val="auto"/>
                      <w:szCs w:val="21"/>
                    </w:rPr>
                  </w:pPr>
                </w:p>
              </w:tc>
              <w:tc>
                <w:tcPr>
                  <w:tcW w:w="836" w:type="pct"/>
                  <w:vAlign w:val="center"/>
                </w:tcPr>
                <w:p>
                  <w:pPr>
                    <w:pStyle w:val="38"/>
                    <w:jc w:val="center"/>
                    <w:rPr>
                      <w:bCs/>
                      <w:color w:val="auto"/>
                    </w:rPr>
                  </w:pPr>
                  <w:r>
                    <w:rPr>
                      <w:color w:val="auto"/>
                    </w:rPr>
                    <w:t>13.63</w:t>
                  </w:r>
                </w:p>
              </w:tc>
              <w:tc>
                <w:tcPr>
                  <w:tcW w:w="972" w:type="pct"/>
                  <w:vAlign w:val="center"/>
                </w:tcPr>
                <w:p>
                  <w:pPr>
                    <w:pStyle w:val="38"/>
                    <w:jc w:val="center"/>
                    <w:rPr>
                      <w:bCs/>
                      <w:color w:val="auto"/>
                    </w:rPr>
                  </w:pPr>
                  <w:r>
                    <w:rPr>
                      <w:color w:val="auto"/>
                    </w:rPr>
                    <w:t>0.007</w:t>
                  </w:r>
                </w:p>
              </w:tc>
              <w:tc>
                <w:tcPr>
                  <w:tcW w:w="714" w:type="pct"/>
                  <w:vAlign w:val="center"/>
                </w:tcPr>
                <w:p>
                  <w:pPr>
                    <w:pStyle w:val="38"/>
                    <w:jc w:val="center"/>
                    <w:rPr>
                      <w:bCs/>
                      <w:color w:val="auto"/>
                    </w:rPr>
                  </w:pPr>
                  <w:r>
                    <w:rPr>
                      <w:color w:val="auto"/>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Align w:val="center"/>
                </w:tcPr>
                <w:p>
                  <w:pPr>
                    <w:jc w:val="center"/>
                    <w:rPr>
                      <w:color w:val="auto"/>
                      <w:szCs w:val="21"/>
                    </w:rPr>
                  </w:pPr>
                  <w:r>
                    <w:rPr>
                      <w:rFonts w:hint="eastAsia"/>
                      <w:color w:val="auto"/>
                      <w:szCs w:val="21"/>
                    </w:rPr>
                    <w:t>4</w:t>
                  </w:r>
                </w:p>
              </w:tc>
              <w:tc>
                <w:tcPr>
                  <w:tcW w:w="1387" w:type="pct"/>
                  <w:shd w:val="clear" w:color="auto" w:fill="auto"/>
                  <w:vAlign w:val="center"/>
                </w:tcPr>
                <w:p>
                  <w:pPr>
                    <w:jc w:val="center"/>
                    <w:rPr>
                      <w:color w:val="auto"/>
                      <w:kern w:val="0"/>
                      <w:szCs w:val="21"/>
                      <w:lang w:bidi="ar"/>
                    </w:rPr>
                  </w:pPr>
                  <w:r>
                    <w:rPr>
                      <w:rFonts w:hint="eastAsia"/>
                      <w:color w:val="auto"/>
                      <w:szCs w:val="21"/>
                    </w:rPr>
                    <w:t>矿粉筒仓DA003</w:t>
                  </w:r>
                </w:p>
              </w:tc>
              <w:tc>
                <w:tcPr>
                  <w:tcW w:w="774" w:type="pct"/>
                  <w:vMerge w:val="continue"/>
                  <w:vAlign w:val="center"/>
                </w:tcPr>
                <w:p>
                  <w:pPr>
                    <w:jc w:val="center"/>
                    <w:rPr>
                      <w:color w:val="auto"/>
                      <w:szCs w:val="21"/>
                    </w:rPr>
                  </w:pPr>
                </w:p>
              </w:tc>
              <w:tc>
                <w:tcPr>
                  <w:tcW w:w="836" w:type="pct"/>
                  <w:vAlign w:val="center"/>
                </w:tcPr>
                <w:p>
                  <w:pPr>
                    <w:pStyle w:val="38"/>
                    <w:jc w:val="center"/>
                    <w:rPr>
                      <w:bCs/>
                      <w:color w:val="auto"/>
                    </w:rPr>
                  </w:pPr>
                  <w:r>
                    <w:rPr>
                      <w:color w:val="auto"/>
                    </w:rPr>
                    <w:t>13.61</w:t>
                  </w:r>
                </w:p>
              </w:tc>
              <w:tc>
                <w:tcPr>
                  <w:tcW w:w="972" w:type="pct"/>
                  <w:vAlign w:val="center"/>
                </w:tcPr>
                <w:p>
                  <w:pPr>
                    <w:pStyle w:val="38"/>
                    <w:jc w:val="center"/>
                    <w:rPr>
                      <w:bCs/>
                      <w:color w:val="auto"/>
                    </w:rPr>
                  </w:pPr>
                  <w:r>
                    <w:rPr>
                      <w:color w:val="auto"/>
                    </w:rPr>
                    <w:t>0.002</w:t>
                  </w:r>
                </w:p>
              </w:tc>
              <w:tc>
                <w:tcPr>
                  <w:tcW w:w="714" w:type="pct"/>
                  <w:vAlign w:val="center"/>
                </w:tcPr>
                <w:p>
                  <w:pPr>
                    <w:pStyle w:val="38"/>
                    <w:jc w:val="center"/>
                    <w:rPr>
                      <w:bCs/>
                      <w:color w:val="auto"/>
                    </w:rPr>
                  </w:pPr>
                  <w:r>
                    <w:rPr>
                      <w:color w:val="auto"/>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Align w:val="center"/>
                </w:tcPr>
                <w:p>
                  <w:pPr>
                    <w:jc w:val="center"/>
                    <w:rPr>
                      <w:color w:val="auto"/>
                      <w:szCs w:val="21"/>
                    </w:rPr>
                  </w:pPr>
                  <w:r>
                    <w:rPr>
                      <w:rFonts w:hint="eastAsia"/>
                      <w:color w:val="auto"/>
                      <w:szCs w:val="21"/>
                    </w:rPr>
                    <w:t>5</w:t>
                  </w:r>
                </w:p>
              </w:tc>
              <w:tc>
                <w:tcPr>
                  <w:tcW w:w="1387" w:type="pct"/>
                  <w:shd w:val="clear" w:color="auto" w:fill="auto"/>
                  <w:vAlign w:val="center"/>
                </w:tcPr>
                <w:p>
                  <w:pPr>
                    <w:jc w:val="center"/>
                    <w:rPr>
                      <w:color w:val="auto"/>
                      <w:kern w:val="0"/>
                      <w:szCs w:val="21"/>
                      <w:lang w:bidi="ar"/>
                    </w:rPr>
                  </w:pPr>
                  <w:r>
                    <w:rPr>
                      <w:rFonts w:hint="eastAsia"/>
                      <w:color w:val="auto"/>
                      <w:szCs w:val="21"/>
                    </w:rPr>
                    <w:t>水泥筒仓DA004</w:t>
                  </w:r>
                </w:p>
              </w:tc>
              <w:tc>
                <w:tcPr>
                  <w:tcW w:w="774" w:type="pct"/>
                  <w:vMerge w:val="continue"/>
                  <w:vAlign w:val="center"/>
                </w:tcPr>
                <w:p>
                  <w:pPr>
                    <w:jc w:val="center"/>
                    <w:rPr>
                      <w:color w:val="auto"/>
                      <w:szCs w:val="21"/>
                    </w:rPr>
                  </w:pPr>
                </w:p>
              </w:tc>
              <w:tc>
                <w:tcPr>
                  <w:tcW w:w="836" w:type="pct"/>
                  <w:vAlign w:val="center"/>
                </w:tcPr>
                <w:p>
                  <w:pPr>
                    <w:pStyle w:val="38"/>
                    <w:jc w:val="center"/>
                    <w:rPr>
                      <w:bCs/>
                      <w:color w:val="auto"/>
                    </w:rPr>
                  </w:pPr>
                  <w:r>
                    <w:rPr>
                      <w:color w:val="auto"/>
                    </w:rPr>
                    <w:t>13.64</w:t>
                  </w:r>
                </w:p>
              </w:tc>
              <w:tc>
                <w:tcPr>
                  <w:tcW w:w="972" w:type="pct"/>
                  <w:vAlign w:val="center"/>
                </w:tcPr>
                <w:p>
                  <w:pPr>
                    <w:pStyle w:val="38"/>
                    <w:jc w:val="center"/>
                    <w:rPr>
                      <w:bCs/>
                      <w:color w:val="auto"/>
                    </w:rPr>
                  </w:pPr>
                  <w:r>
                    <w:rPr>
                      <w:color w:val="auto"/>
                    </w:rPr>
                    <w:t>0.020</w:t>
                  </w:r>
                </w:p>
              </w:tc>
              <w:tc>
                <w:tcPr>
                  <w:tcW w:w="714" w:type="pct"/>
                  <w:vAlign w:val="center"/>
                </w:tcPr>
                <w:p>
                  <w:pPr>
                    <w:pStyle w:val="38"/>
                    <w:jc w:val="center"/>
                    <w:rPr>
                      <w:bCs/>
                      <w:color w:val="auto"/>
                    </w:rPr>
                  </w:pPr>
                  <w:r>
                    <w:rPr>
                      <w:color w:val="auto"/>
                    </w:rPr>
                    <w:t>0.042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Align w:val="center"/>
                </w:tcPr>
                <w:p>
                  <w:pPr>
                    <w:jc w:val="center"/>
                    <w:rPr>
                      <w:color w:val="auto"/>
                      <w:szCs w:val="21"/>
                    </w:rPr>
                  </w:pPr>
                  <w:r>
                    <w:rPr>
                      <w:rFonts w:hint="eastAsia"/>
                      <w:color w:val="auto"/>
                      <w:szCs w:val="21"/>
                    </w:rPr>
                    <w:t>6</w:t>
                  </w:r>
                </w:p>
              </w:tc>
              <w:tc>
                <w:tcPr>
                  <w:tcW w:w="1387" w:type="pct"/>
                  <w:shd w:val="clear" w:color="auto" w:fill="auto"/>
                  <w:vAlign w:val="center"/>
                </w:tcPr>
                <w:p>
                  <w:pPr>
                    <w:jc w:val="center"/>
                    <w:rPr>
                      <w:color w:val="auto"/>
                      <w:kern w:val="0"/>
                      <w:szCs w:val="21"/>
                      <w:lang w:bidi="ar"/>
                    </w:rPr>
                  </w:pPr>
                  <w:r>
                    <w:rPr>
                      <w:rFonts w:hint="eastAsia"/>
                      <w:color w:val="auto"/>
                      <w:szCs w:val="21"/>
                    </w:rPr>
                    <w:t>粉煤灰筒仓DA005</w:t>
                  </w:r>
                </w:p>
              </w:tc>
              <w:tc>
                <w:tcPr>
                  <w:tcW w:w="774" w:type="pct"/>
                  <w:vMerge w:val="continue"/>
                  <w:vAlign w:val="center"/>
                </w:tcPr>
                <w:p>
                  <w:pPr>
                    <w:jc w:val="center"/>
                    <w:rPr>
                      <w:color w:val="auto"/>
                      <w:szCs w:val="21"/>
                    </w:rPr>
                  </w:pPr>
                </w:p>
              </w:tc>
              <w:tc>
                <w:tcPr>
                  <w:tcW w:w="836" w:type="pct"/>
                  <w:vAlign w:val="center"/>
                </w:tcPr>
                <w:p>
                  <w:pPr>
                    <w:pStyle w:val="38"/>
                    <w:jc w:val="center"/>
                    <w:rPr>
                      <w:bCs/>
                      <w:color w:val="auto"/>
                    </w:rPr>
                  </w:pPr>
                  <w:r>
                    <w:rPr>
                      <w:color w:val="auto"/>
                    </w:rPr>
                    <w:t>13.63</w:t>
                  </w:r>
                </w:p>
              </w:tc>
              <w:tc>
                <w:tcPr>
                  <w:tcW w:w="972" w:type="pct"/>
                  <w:vAlign w:val="center"/>
                </w:tcPr>
                <w:p>
                  <w:pPr>
                    <w:pStyle w:val="38"/>
                    <w:jc w:val="center"/>
                    <w:rPr>
                      <w:bCs/>
                      <w:color w:val="auto"/>
                    </w:rPr>
                  </w:pPr>
                  <w:r>
                    <w:rPr>
                      <w:color w:val="auto"/>
                    </w:rPr>
                    <w:t>0.007</w:t>
                  </w:r>
                </w:p>
              </w:tc>
              <w:tc>
                <w:tcPr>
                  <w:tcW w:w="714" w:type="pct"/>
                  <w:vAlign w:val="center"/>
                </w:tcPr>
                <w:p>
                  <w:pPr>
                    <w:pStyle w:val="38"/>
                    <w:jc w:val="center"/>
                    <w:rPr>
                      <w:bCs/>
                      <w:color w:val="auto"/>
                    </w:rPr>
                  </w:pPr>
                  <w:r>
                    <w:rPr>
                      <w:color w:val="auto"/>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4" w:type="pct"/>
                  <w:vAlign w:val="center"/>
                </w:tcPr>
                <w:p>
                  <w:pPr>
                    <w:jc w:val="center"/>
                    <w:rPr>
                      <w:color w:val="auto"/>
                      <w:szCs w:val="21"/>
                    </w:rPr>
                  </w:pPr>
                  <w:r>
                    <w:rPr>
                      <w:rFonts w:hint="eastAsia"/>
                      <w:color w:val="auto"/>
                      <w:szCs w:val="21"/>
                    </w:rPr>
                    <w:t>7</w:t>
                  </w:r>
                </w:p>
              </w:tc>
              <w:tc>
                <w:tcPr>
                  <w:tcW w:w="1387" w:type="pct"/>
                  <w:shd w:val="clear" w:color="auto" w:fill="auto"/>
                  <w:vAlign w:val="center"/>
                </w:tcPr>
                <w:p>
                  <w:pPr>
                    <w:jc w:val="center"/>
                    <w:rPr>
                      <w:color w:val="auto"/>
                      <w:kern w:val="0"/>
                      <w:szCs w:val="21"/>
                      <w:lang w:bidi="ar"/>
                    </w:rPr>
                  </w:pPr>
                  <w:r>
                    <w:rPr>
                      <w:rFonts w:hint="eastAsia"/>
                      <w:color w:val="auto"/>
                      <w:szCs w:val="21"/>
                    </w:rPr>
                    <w:t>矿粉筒仓DA006</w:t>
                  </w:r>
                </w:p>
              </w:tc>
              <w:tc>
                <w:tcPr>
                  <w:tcW w:w="774" w:type="pct"/>
                  <w:vMerge w:val="continue"/>
                  <w:vAlign w:val="center"/>
                </w:tcPr>
                <w:p>
                  <w:pPr>
                    <w:jc w:val="center"/>
                    <w:rPr>
                      <w:color w:val="auto"/>
                      <w:szCs w:val="21"/>
                    </w:rPr>
                  </w:pPr>
                </w:p>
              </w:tc>
              <w:tc>
                <w:tcPr>
                  <w:tcW w:w="836" w:type="pct"/>
                  <w:vAlign w:val="center"/>
                </w:tcPr>
                <w:p>
                  <w:pPr>
                    <w:pStyle w:val="38"/>
                    <w:jc w:val="center"/>
                    <w:rPr>
                      <w:bCs/>
                      <w:color w:val="auto"/>
                    </w:rPr>
                  </w:pPr>
                  <w:r>
                    <w:rPr>
                      <w:color w:val="auto"/>
                    </w:rPr>
                    <w:t>13.61</w:t>
                  </w:r>
                </w:p>
              </w:tc>
              <w:tc>
                <w:tcPr>
                  <w:tcW w:w="972" w:type="pct"/>
                  <w:vAlign w:val="center"/>
                </w:tcPr>
                <w:p>
                  <w:pPr>
                    <w:pStyle w:val="38"/>
                    <w:jc w:val="center"/>
                    <w:rPr>
                      <w:bCs/>
                      <w:color w:val="auto"/>
                    </w:rPr>
                  </w:pPr>
                  <w:r>
                    <w:rPr>
                      <w:color w:val="auto"/>
                    </w:rPr>
                    <w:t>0.002</w:t>
                  </w:r>
                </w:p>
              </w:tc>
              <w:tc>
                <w:tcPr>
                  <w:tcW w:w="714" w:type="pct"/>
                  <w:vAlign w:val="center"/>
                </w:tcPr>
                <w:p>
                  <w:pPr>
                    <w:pStyle w:val="38"/>
                    <w:jc w:val="center"/>
                    <w:rPr>
                      <w:bCs/>
                      <w:color w:val="auto"/>
                    </w:rPr>
                  </w:pPr>
                  <w:r>
                    <w:rPr>
                      <w:color w:val="auto"/>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restart"/>
                  <w:vAlign w:val="center"/>
                </w:tcPr>
                <w:p>
                  <w:pPr>
                    <w:jc w:val="center"/>
                    <w:rPr>
                      <w:color w:val="auto"/>
                      <w:szCs w:val="21"/>
                    </w:rPr>
                  </w:pPr>
                  <w:r>
                    <w:rPr>
                      <w:rFonts w:hint="eastAsia"/>
                      <w:color w:val="auto"/>
                      <w:szCs w:val="21"/>
                    </w:rPr>
                    <w:t>一般排放口合计</w:t>
                  </w:r>
                </w:p>
              </w:tc>
              <w:tc>
                <w:tcPr>
                  <w:tcW w:w="2583" w:type="pct"/>
                  <w:gridSpan w:val="3"/>
                  <w:vAlign w:val="center"/>
                </w:tcPr>
                <w:p>
                  <w:pPr>
                    <w:jc w:val="center"/>
                    <w:rPr>
                      <w:color w:val="auto"/>
                      <w:szCs w:val="21"/>
                    </w:rPr>
                  </w:pPr>
                  <w:r>
                    <w:rPr>
                      <w:rFonts w:hint="eastAsia"/>
                      <w:color w:val="auto"/>
                      <w:szCs w:val="21"/>
                    </w:rPr>
                    <w:t>颗粒物</w:t>
                  </w:r>
                </w:p>
              </w:tc>
              <w:tc>
                <w:tcPr>
                  <w:tcW w:w="714" w:type="pct"/>
                  <w:vAlign w:val="center"/>
                </w:tcPr>
                <w:p>
                  <w:pPr>
                    <w:jc w:val="center"/>
                    <w:rPr>
                      <w:color w:val="auto"/>
                      <w:szCs w:val="21"/>
                    </w:rPr>
                  </w:pPr>
                  <w:r>
                    <w:rPr>
                      <w:rFonts w:hint="eastAsia"/>
                      <w:bCs/>
                      <w:color w:val="auto"/>
                      <w:szCs w:val="21"/>
                    </w:rPr>
                    <w:t>0.124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continue"/>
                  <w:vAlign w:val="center"/>
                </w:tcPr>
                <w:p>
                  <w:pPr>
                    <w:jc w:val="center"/>
                    <w:rPr>
                      <w:color w:val="auto"/>
                      <w:szCs w:val="21"/>
                    </w:rPr>
                  </w:pPr>
                </w:p>
              </w:tc>
              <w:tc>
                <w:tcPr>
                  <w:tcW w:w="2583" w:type="pct"/>
                  <w:gridSpan w:val="3"/>
                  <w:vAlign w:val="center"/>
                </w:tcPr>
                <w:p>
                  <w:pPr>
                    <w:jc w:val="center"/>
                    <w:rPr>
                      <w:color w:val="auto"/>
                    </w:rPr>
                  </w:pPr>
                  <w:r>
                    <w:rPr>
                      <w:rFonts w:hint="eastAsia"/>
                      <w:color w:val="auto"/>
                      <w:szCs w:val="21"/>
                    </w:rPr>
                    <w:t>NOx</w:t>
                  </w:r>
                </w:p>
              </w:tc>
              <w:tc>
                <w:tcPr>
                  <w:tcW w:w="714" w:type="pct"/>
                  <w:vAlign w:val="center"/>
                </w:tcPr>
                <w:p>
                  <w:pPr>
                    <w:jc w:val="center"/>
                    <w:rPr>
                      <w:color w:val="auto"/>
                      <w:szCs w:val="21"/>
                    </w:rPr>
                  </w:pPr>
                  <w:r>
                    <w:rPr>
                      <w:rFonts w:hint="eastAsia"/>
                      <w:bCs/>
                      <w:color w:val="auto"/>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continue"/>
                  <w:vAlign w:val="center"/>
                </w:tcPr>
                <w:p>
                  <w:pPr>
                    <w:jc w:val="center"/>
                    <w:rPr>
                      <w:color w:val="auto"/>
                      <w:szCs w:val="21"/>
                    </w:rPr>
                  </w:pPr>
                </w:p>
              </w:tc>
              <w:tc>
                <w:tcPr>
                  <w:tcW w:w="2583" w:type="pct"/>
                  <w:gridSpan w:val="3"/>
                  <w:vAlign w:val="center"/>
                </w:tcPr>
                <w:p>
                  <w:pPr>
                    <w:jc w:val="center"/>
                    <w:rPr>
                      <w:color w:val="auto"/>
                    </w:rPr>
                  </w:pPr>
                  <w:r>
                    <w:rPr>
                      <w:rFonts w:hint="eastAsia"/>
                      <w:color w:val="auto"/>
                      <w:szCs w:val="21"/>
                    </w:rPr>
                    <w:t>SO</w:t>
                  </w:r>
                  <w:r>
                    <w:rPr>
                      <w:rFonts w:hint="eastAsia"/>
                      <w:color w:val="auto"/>
                      <w:szCs w:val="21"/>
                      <w:vertAlign w:val="subscript"/>
                    </w:rPr>
                    <w:t>2</w:t>
                  </w:r>
                </w:p>
              </w:tc>
              <w:tc>
                <w:tcPr>
                  <w:tcW w:w="714" w:type="pct"/>
                  <w:vAlign w:val="center"/>
                </w:tcPr>
                <w:p>
                  <w:pPr>
                    <w:jc w:val="center"/>
                    <w:rPr>
                      <w:color w:val="auto"/>
                      <w:szCs w:val="21"/>
                    </w:rPr>
                  </w:pPr>
                  <w:r>
                    <w:rPr>
                      <w:rFonts w:hint="eastAsia"/>
                      <w:bCs/>
                      <w:color w:val="auto"/>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vAlign w:val="center"/>
                </w:tcPr>
                <w:p>
                  <w:pPr>
                    <w:jc w:val="center"/>
                    <w:rPr>
                      <w:color w:val="auto"/>
                      <w:szCs w:val="21"/>
                    </w:rPr>
                  </w:pPr>
                  <w:r>
                    <w:rPr>
                      <w:rFonts w:hint="eastAsia"/>
                      <w:color w:val="auto"/>
                      <w:szCs w:val="21"/>
                    </w:rPr>
                    <w:t>有组织排放总计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restart"/>
                  <w:vAlign w:val="center"/>
                </w:tcPr>
                <w:p>
                  <w:pPr>
                    <w:jc w:val="center"/>
                    <w:rPr>
                      <w:color w:val="auto"/>
                      <w:szCs w:val="21"/>
                    </w:rPr>
                  </w:pPr>
                  <w:r>
                    <w:rPr>
                      <w:rFonts w:hint="eastAsia"/>
                      <w:color w:val="auto"/>
                      <w:szCs w:val="21"/>
                    </w:rPr>
                    <w:t>有组织排放总计</w:t>
                  </w:r>
                </w:p>
              </w:tc>
              <w:tc>
                <w:tcPr>
                  <w:tcW w:w="2583" w:type="pct"/>
                  <w:gridSpan w:val="3"/>
                  <w:vAlign w:val="center"/>
                </w:tcPr>
                <w:p>
                  <w:pPr>
                    <w:jc w:val="center"/>
                    <w:rPr>
                      <w:color w:val="auto"/>
                      <w:szCs w:val="21"/>
                    </w:rPr>
                  </w:pPr>
                  <w:r>
                    <w:rPr>
                      <w:rFonts w:hint="eastAsia"/>
                      <w:color w:val="auto"/>
                      <w:szCs w:val="21"/>
                    </w:rPr>
                    <w:t>颗粒物</w:t>
                  </w:r>
                </w:p>
              </w:tc>
              <w:tc>
                <w:tcPr>
                  <w:tcW w:w="714" w:type="pct"/>
                  <w:vAlign w:val="center"/>
                </w:tcPr>
                <w:p>
                  <w:pPr>
                    <w:jc w:val="center"/>
                    <w:rPr>
                      <w:color w:val="auto"/>
                      <w:szCs w:val="21"/>
                    </w:rPr>
                  </w:pPr>
                  <w:r>
                    <w:rPr>
                      <w:rFonts w:hint="eastAsia"/>
                      <w:bCs/>
                      <w:color w:val="auto"/>
                      <w:szCs w:val="21"/>
                    </w:rPr>
                    <w:t>0.124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continue"/>
                  <w:vAlign w:val="center"/>
                </w:tcPr>
                <w:p>
                  <w:pPr>
                    <w:jc w:val="center"/>
                    <w:rPr>
                      <w:color w:val="auto"/>
                      <w:szCs w:val="21"/>
                    </w:rPr>
                  </w:pPr>
                </w:p>
              </w:tc>
              <w:tc>
                <w:tcPr>
                  <w:tcW w:w="2583" w:type="pct"/>
                  <w:gridSpan w:val="3"/>
                  <w:vAlign w:val="center"/>
                </w:tcPr>
                <w:p>
                  <w:pPr>
                    <w:jc w:val="center"/>
                    <w:rPr>
                      <w:color w:val="auto"/>
                      <w:szCs w:val="21"/>
                    </w:rPr>
                  </w:pPr>
                  <w:r>
                    <w:rPr>
                      <w:rFonts w:hint="eastAsia"/>
                      <w:color w:val="auto"/>
                      <w:szCs w:val="21"/>
                    </w:rPr>
                    <w:t>NOx</w:t>
                  </w:r>
                </w:p>
              </w:tc>
              <w:tc>
                <w:tcPr>
                  <w:tcW w:w="714" w:type="pct"/>
                  <w:vAlign w:val="center"/>
                </w:tcPr>
                <w:p>
                  <w:pPr>
                    <w:jc w:val="center"/>
                    <w:rPr>
                      <w:color w:val="auto"/>
                      <w:szCs w:val="21"/>
                    </w:rPr>
                  </w:pPr>
                  <w:r>
                    <w:rPr>
                      <w:rFonts w:hint="eastAsia"/>
                      <w:bCs/>
                      <w:color w:val="auto"/>
                      <w:szCs w:val="21"/>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pct"/>
                  <w:gridSpan w:val="2"/>
                  <w:vMerge w:val="continue"/>
                  <w:vAlign w:val="center"/>
                </w:tcPr>
                <w:p>
                  <w:pPr>
                    <w:jc w:val="center"/>
                    <w:rPr>
                      <w:color w:val="auto"/>
                      <w:szCs w:val="21"/>
                    </w:rPr>
                  </w:pPr>
                </w:p>
              </w:tc>
              <w:tc>
                <w:tcPr>
                  <w:tcW w:w="2583" w:type="pct"/>
                  <w:gridSpan w:val="3"/>
                  <w:vAlign w:val="center"/>
                </w:tcPr>
                <w:p>
                  <w:pPr>
                    <w:jc w:val="center"/>
                    <w:rPr>
                      <w:color w:val="auto"/>
                      <w:szCs w:val="21"/>
                    </w:rPr>
                  </w:pPr>
                  <w:r>
                    <w:rPr>
                      <w:rFonts w:hint="eastAsia"/>
                      <w:color w:val="auto"/>
                      <w:szCs w:val="21"/>
                    </w:rPr>
                    <w:t>SO</w:t>
                  </w:r>
                  <w:r>
                    <w:rPr>
                      <w:rFonts w:hint="eastAsia"/>
                      <w:color w:val="auto"/>
                      <w:szCs w:val="21"/>
                      <w:vertAlign w:val="subscript"/>
                    </w:rPr>
                    <w:t>2</w:t>
                  </w:r>
                </w:p>
              </w:tc>
              <w:tc>
                <w:tcPr>
                  <w:tcW w:w="714" w:type="pct"/>
                  <w:vAlign w:val="center"/>
                </w:tcPr>
                <w:p>
                  <w:pPr>
                    <w:jc w:val="center"/>
                    <w:rPr>
                      <w:color w:val="auto"/>
                      <w:szCs w:val="21"/>
                    </w:rPr>
                  </w:pPr>
                  <w:r>
                    <w:rPr>
                      <w:rFonts w:hint="eastAsia"/>
                      <w:bCs/>
                      <w:color w:val="auto"/>
                      <w:szCs w:val="21"/>
                    </w:rPr>
                    <w:t>0.00</w:t>
                  </w:r>
                </w:p>
              </w:tc>
            </w:tr>
          </w:tbl>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w:t>
            </w:r>
            <w:r>
              <w:rPr>
                <w:rFonts w:hint="eastAsia" w:ascii="Times New Roman" w:hAnsi="Times New Roman" w:eastAsia="宋体" w:cs="Times New Roman"/>
                <w:b/>
                <w:color w:val="auto"/>
                <w:szCs w:val="21"/>
                <w:lang w:val="en-US" w:eastAsia="zh-CN"/>
              </w:rPr>
              <w:t>9</w:t>
            </w:r>
            <w:r>
              <w:rPr>
                <w:rFonts w:hint="eastAsia" w:ascii="Times New Roman" w:hAnsi="Times New Roman" w:eastAsia="宋体" w:cs="Times New Roman"/>
                <w:b/>
                <w:color w:val="auto"/>
                <w:szCs w:val="21"/>
              </w:rPr>
              <w:t xml:space="preserve">    大气污染物无组织排放量核算表</w:t>
            </w:r>
          </w:p>
          <w:tbl>
            <w:tblPr>
              <w:tblStyle w:val="108"/>
              <w:tblW w:w="499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5"/>
              <w:gridCol w:w="723"/>
              <w:gridCol w:w="677"/>
              <w:gridCol w:w="2064"/>
              <w:gridCol w:w="2069"/>
              <w:gridCol w:w="1287"/>
              <w:gridCol w:w="9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restart"/>
                  <w:vAlign w:val="center"/>
                </w:tcPr>
                <w:p>
                  <w:pPr>
                    <w:pStyle w:val="103"/>
                    <w:adjustRightInd w:val="0"/>
                    <w:snapToGrid w:val="0"/>
                    <w:ind w:left="-63" w:right="-63"/>
                    <w:rPr>
                      <w:color w:val="auto"/>
                    </w:rPr>
                  </w:pPr>
                  <w:r>
                    <w:rPr>
                      <w:color w:val="auto"/>
                    </w:rPr>
                    <w:t>序号</w:t>
                  </w:r>
                </w:p>
              </w:tc>
              <w:tc>
                <w:tcPr>
                  <w:tcW w:w="439" w:type="pct"/>
                  <w:vMerge w:val="restart"/>
                  <w:vAlign w:val="center"/>
                </w:tcPr>
                <w:p>
                  <w:pPr>
                    <w:pStyle w:val="103"/>
                    <w:adjustRightInd w:val="0"/>
                    <w:snapToGrid w:val="0"/>
                    <w:ind w:left="-63" w:right="-63"/>
                    <w:rPr>
                      <w:color w:val="auto"/>
                    </w:rPr>
                  </w:pPr>
                  <w:r>
                    <w:rPr>
                      <w:color w:val="auto"/>
                    </w:rPr>
                    <w:t>产污环节</w:t>
                  </w:r>
                </w:p>
              </w:tc>
              <w:tc>
                <w:tcPr>
                  <w:tcW w:w="411" w:type="pct"/>
                  <w:vMerge w:val="restart"/>
                  <w:vAlign w:val="center"/>
                </w:tcPr>
                <w:p>
                  <w:pPr>
                    <w:pStyle w:val="103"/>
                    <w:adjustRightInd w:val="0"/>
                    <w:snapToGrid w:val="0"/>
                    <w:ind w:left="-63" w:right="-63"/>
                    <w:rPr>
                      <w:color w:val="auto"/>
                    </w:rPr>
                  </w:pPr>
                  <w:r>
                    <w:rPr>
                      <w:color w:val="auto"/>
                    </w:rPr>
                    <w:t>污染物</w:t>
                  </w:r>
                </w:p>
              </w:tc>
              <w:tc>
                <w:tcPr>
                  <w:tcW w:w="1254" w:type="pct"/>
                  <w:vMerge w:val="restart"/>
                  <w:vAlign w:val="center"/>
                </w:tcPr>
                <w:p>
                  <w:pPr>
                    <w:pStyle w:val="103"/>
                    <w:adjustRightInd w:val="0"/>
                    <w:snapToGrid w:val="0"/>
                    <w:ind w:left="-63" w:right="-63"/>
                    <w:rPr>
                      <w:color w:val="auto"/>
                    </w:rPr>
                  </w:pPr>
                  <w:r>
                    <w:rPr>
                      <w:color w:val="auto"/>
                    </w:rPr>
                    <w:t>主要污染防治措施</w:t>
                  </w:r>
                </w:p>
              </w:tc>
              <w:tc>
                <w:tcPr>
                  <w:tcW w:w="2037" w:type="pct"/>
                  <w:gridSpan w:val="2"/>
                  <w:vAlign w:val="center"/>
                </w:tcPr>
                <w:p>
                  <w:pPr>
                    <w:pStyle w:val="103"/>
                    <w:adjustRightInd w:val="0"/>
                    <w:snapToGrid w:val="0"/>
                    <w:ind w:left="-63" w:right="-63"/>
                    <w:rPr>
                      <w:color w:val="auto"/>
                    </w:rPr>
                  </w:pPr>
                  <w:r>
                    <w:rPr>
                      <w:color w:val="auto"/>
                    </w:rPr>
                    <w:t>国家或地方污染物排放标准</w:t>
                  </w:r>
                </w:p>
              </w:tc>
              <w:tc>
                <w:tcPr>
                  <w:tcW w:w="604" w:type="pct"/>
                  <w:vMerge w:val="restart"/>
                  <w:vAlign w:val="center"/>
                </w:tcPr>
                <w:p>
                  <w:pPr>
                    <w:pStyle w:val="103"/>
                    <w:adjustRightInd w:val="0"/>
                    <w:snapToGrid w:val="0"/>
                    <w:ind w:left="-63" w:right="-63"/>
                    <w:rPr>
                      <w:color w:val="auto"/>
                    </w:rPr>
                  </w:pPr>
                  <w:r>
                    <w:rPr>
                      <w:color w:val="auto"/>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Merge w:val="continue"/>
                  <w:vAlign w:val="center"/>
                </w:tcPr>
                <w:p>
                  <w:pPr>
                    <w:pStyle w:val="103"/>
                    <w:adjustRightInd w:val="0"/>
                    <w:snapToGrid w:val="0"/>
                    <w:ind w:left="-63" w:right="-63"/>
                    <w:rPr>
                      <w:color w:val="auto"/>
                    </w:rPr>
                  </w:pPr>
                </w:p>
              </w:tc>
              <w:tc>
                <w:tcPr>
                  <w:tcW w:w="439" w:type="pct"/>
                  <w:vMerge w:val="continue"/>
                  <w:vAlign w:val="center"/>
                </w:tcPr>
                <w:p>
                  <w:pPr>
                    <w:pStyle w:val="103"/>
                    <w:adjustRightInd w:val="0"/>
                    <w:snapToGrid w:val="0"/>
                    <w:ind w:left="-63" w:right="-63"/>
                    <w:rPr>
                      <w:color w:val="auto"/>
                    </w:rPr>
                  </w:pPr>
                </w:p>
              </w:tc>
              <w:tc>
                <w:tcPr>
                  <w:tcW w:w="411" w:type="pct"/>
                  <w:vMerge w:val="continue"/>
                  <w:vAlign w:val="center"/>
                </w:tcPr>
                <w:p>
                  <w:pPr>
                    <w:pStyle w:val="103"/>
                    <w:adjustRightInd w:val="0"/>
                    <w:snapToGrid w:val="0"/>
                    <w:ind w:left="-63" w:right="-63"/>
                    <w:rPr>
                      <w:color w:val="auto"/>
                    </w:rPr>
                  </w:pPr>
                </w:p>
              </w:tc>
              <w:tc>
                <w:tcPr>
                  <w:tcW w:w="1254" w:type="pct"/>
                  <w:vMerge w:val="continue"/>
                  <w:vAlign w:val="center"/>
                </w:tcPr>
                <w:p>
                  <w:pPr>
                    <w:pStyle w:val="103"/>
                    <w:adjustRightInd w:val="0"/>
                    <w:snapToGrid w:val="0"/>
                    <w:ind w:left="-63" w:right="-63"/>
                    <w:rPr>
                      <w:color w:val="auto"/>
                    </w:rPr>
                  </w:pPr>
                </w:p>
              </w:tc>
              <w:tc>
                <w:tcPr>
                  <w:tcW w:w="1257" w:type="pct"/>
                  <w:vAlign w:val="center"/>
                </w:tcPr>
                <w:p>
                  <w:pPr>
                    <w:pStyle w:val="103"/>
                    <w:adjustRightInd w:val="0"/>
                    <w:snapToGrid w:val="0"/>
                    <w:ind w:left="-63" w:right="-63"/>
                    <w:rPr>
                      <w:color w:val="auto"/>
                    </w:rPr>
                  </w:pPr>
                  <w:r>
                    <w:rPr>
                      <w:color w:val="auto"/>
                    </w:rPr>
                    <w:t>标准名称</w:t>
                  </w:r>
                </w:p>
              </w:tc>
              <w:tc>
                <w:tcPr>
                  <w:tcW w:w="779" w:type="pct"/>
                  <w:vAlign w:val="center"/>
                </w:tcPr>
                <w:p>
                  <w:pPr>
                    <w:pStyle w:val="103"/>
                    <w:adjustRightInd w:val="0"/>
                    <w:snapToGrid w:val="0"/>
                    <w:ind w:left="-63" w:right="-63"/>
                    <w:rPr>
                      <w:color w:val="auto"/>
                    </w:rPr>
                  </w:pPr>
                  <w:r>
                    <w:rPr>
                      <w:color w:val="auto"/>
                    </w:rPr>
                    <w:t>浓度限值mg/m</w:t>
                  </w:r>
                  <w:r>
                    <w:rPr>
                      <w:color w:val="auto"/>
                      <w:vertAlign w:val="superscript"/>
                    </w:rPr>
                    <w:t>3</w:t>
                  </w:r>
                </w:p>
              </w:tc>
              <w:tc>
                <w:tcPr>
                  <w:tcW w:w="604" w:type="pct"/>
                  <w:vMerge w:val="continue"/>
                  <w:vAlign w:val="center"/>
                </w:tcPr>
                <w:p>
                  <w:pPr>
                    <w:pStyle w:val="103"/>
                    <w:adjustRightInd w:val="0"/>
                    <w:snapToGrid w:val="0"/>
                    <w:ind w:left="-63" w:right="-63"/>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2" w:type="pct"/>
                  <w:vAlign w:val="center"/>
                </w:tcPr>
                <w:p>
                  <w:pPr>
                    <w:pStyle w:val="103"/>
                    <w:adjustRightInd w:val="0"/>
                    <w:snapToGrid w:val="0"/>
                    <w:ind w:left="-63" w:right="-63"/>
                    <w:rPr>
                      <w:color w:val="auto"/>
                    </w:rPr>
                  </w:pPr>
                  <w:r>
                    <w:rPr>
                      <w:rFonts w:hint="eastAsia"/>
                      <w:color w:val="auto"/>
                    </w:rPr>
                    <w:t>1</w:t>
                  </w:r>
                </w:p>
              </w:tc>
              <w:tc>
                <w:tcPr>
                  <w:tcW w:w="439" w:type="pct"/>
                  <w:vAlign w:val="center"/>
                </w:tcPr>
                <w:p>
                  <w:pPr>
                    <w:pStyle w:val="103"/>
                    <w:adjustRightInd w:val="0"/>
                    <w:snapToGrid w:val="0"/>
                    <w:ind w:left="-63" w:right="-63"/>
                    <w:rPr>
                      <w:color w:val="auto"/>
                    </w:rPr>
                  </w:pPr>
                  <w:r>
                    <w:rPr>
                      <w:color w:val="auto"/>
                    </w:rPr>
                    <w:t>物料</w:t>
                  </w:r>
                  <w:r>
                    <w:rPr>
                      <w:rFonts w:hint="eastAsia"/>
                      <w:color w:val="auto"/>
                    </w:rPr>
                    <w:t>装卸及</w:t>
                  </w:r>
                  <w:r>
                    <w:rPr>
                      <w:color w:val="auto"/>
                    </w:rPr>
                    <w:t>堆放</w:t>
                  </w:r>
                </w:p>
              </w:tc>
              <w:tc>
                <w:tcPr>
                  <w:tcW w:w="411" w:type="pct"/>
                  <w:vAlign w:val="center"/>
                </w:tcPr>
                <w:p>
                  <w:pPr>
                    <w:pStyle w:val="103"/>
                    <w:adjustRightInd w:val="0"/>
                    <w:snapToGrid w:val="0"/>
                    <w:ind w:left="-63" w:right="-63"/>
                    <w:rPr>
                      <w:color w:val="auto"/>
                    </w:rPr>
                  </w:pPr>
                  <w:r>
                    <w:rPr>
                      <w:rFonts w:hint="eastAsia"/>
                      <w:color w:val="auto"/>
                    </w:rPr>
                    <w:t>颗粒物</w:t>
                  </w:r>
                </w:p>
              </w:tc>
              <w:tc>
                <w:tcPr>
                  <w:tcW w:w="1254" w:type="pct"/>
                  <w:vAlign w:val="center"/>
                </w:tcPr>
                <w:p>
                  <w:pPr>
                    <w:pStyle w:val="103"/>
                    <w:adjustRightInd w:val="0"/>
                    <w:snapToGrid w:val="0"/>
                    <w:ind w:left="-63" w:right="-63"/>
                    <w:rPr>
                      <w:color w:val="auto"/>
                      <w:highlight w:val="none"/>
                    </w:rPr>
                  </w:pPr>
                  <w:r>
                    <w:rPr>
                      <w:rFonts w:hint="eastAsia"/>
                      <w:color w:val="auto"/>
                      <w:lang w:val="en-US" w:eastAsia="zh-CN"/>
                    </w:rPr>
                    <w:t>半封闭储料库</w:t>
                  </w:r>
                  <w:r>
                    <w:rPr>
                      <w:rFonts w:hint="eastAsia"/>
                      <w:color w:val="auto"/>
                      <w:highlight w:val="none"/>
                    </w:rPr>
                    <w:t>+定期洒水，除尘效率93.36%</w:t>
                  </w:r>
                </w:p>
              </w:tc>
              <w:tc>
                <w:tcPr>
                  <w:tcW w:w="1257" w:type="pct"/>
                  <w:vMerge w:val="restart"/>
                  <w:vAlign w:val="center"/>
                </w:tcPr>
                <w:p>
                  <w:pPr>
                    <w:pStyle w:val="103"/>
                    <w:adjustRightInd w:val="0"/>
                    <w:snapToGrid w:val="0"/>
                    <w:ind w:left="-63" w:right="-63"/>
                    <w:rPr>
                      <w:color w:val="auto"/>
                      <w:highlight w:val="none"/>
                    </w:rPr>
                  </w:pPr>
                  <w:r>
                    <w:rPr>
                      <w:color w:val="auto"/>
                      <w:highlight w:val="none"/>
                    </w:rPr>
                    <w:t>《水泥工业大气污染物排放标准》（GB 4915-2013）中表3</w:t>
                  </w:r>
                  <w:r>
                    <w:rPr>
                      <w:rFonts w:hint="eastAsia"/>
                      <w:color w:val="auto"/>
                      <w:highlight w:val="none"/>
                    </w:rPr>
                    <w:t>无组织</w:t>
                  </w:r>
                  <w:r>
                    <w:rPr>
                      <w:color w:val="auto"/>
                      <w:highlight w:val="none"/>
                    </w:rPr>
                    <w:t>排放限值</w:t>
                  </w:r>
                </w:p>
              </w:tc>
              <w:tc>
                <w:tcPr>
                  <w:tcW w:w="779" w:type="pct"/>
                  <w:vMerge w:val="restart"/>
                  <w:vAlign w:val="center"/>
                </w:tcPr>
                <w:p>
                  <w:pPr>
                    <w:pStyle w:val="103"/>
                    <w:adjustRightInd w:val="0"/>
                    <w:snapToGrid w:val="0"/>
                    <w:ind w:left="-63" w:right="-63"/>
                    <w:rPr>
                      <w:color w:val="auto"/>
                    </w:rPr>
                  </w:pPr>
                  <w:r>
                    <w:rPr>
                      <w:color w:val="auto"/>
                    </w:rPr>
                    <w:t>0.5</w:t>
                  </w:r>
                </w:p>
              </w:tc>
              <w:tc>
                <w:tcPr>
                  <w:tcW w:w="604" w:type="pct"/>
                  <w:vAlign w:val="center"/>
                </w:tcPr>
                <w:p>
                  <w:pPr>
                    <w:pStyle w:val="103"/>
                    <w:adjustRightInd w:val="0"/>
                    <w:snapToGrid w:val="0"/>
                    <w:ind w:left="-63" w:right="-63"/>
                    <w:rPr>
                      <w:color w:val="auto"/>
                    </w:rPr>
                  </w:pPr>
                  <w:r>
                    <w:rPr>
                      <w:rFonts w:hint="eastAsia"/>
                      <w:color w:val="auto"/>
                    </w:rPr>
                    <w:t>10.94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pPr>
                    <w:pStyle w:val="103"/>
                    <w:adjustRightInd w:val="0"/>
                    <w:snapToGrid w:val="0"/>
                    <w:ind w:left="-63" w:right="-63"/>
                    <w:rPr>
                      <w:color w:val="auto"/>
                    </w:rPr>
                  </w:pPr>
                  <w:r>
                    <w:rPr>
                      <w:rFonts w:hint="eastAsia"/>
                      <w:color w:val="auto"/>
                    </w:rPr>
                    <w:t>2</w:t>
                  </w:r>
                </w:p>
              </w:tc>
              <w:tc>
                <w:tcPr>
                  <w:tcW w:w="439" w:type="pct"/>
                  <w:vAlign w:val="center"/>
                </w:tcPr>
                <w:p>
                  <w:pPr>
                    <w:pStyle w:val="103"/>
                    <w:adjustRightInd w:val="0"/>
                    <w:snapToGrid w:val="0"/>
                    <w:ind w:left="-63" w:right="-63"/>
                    <w:rPr>
                      <w:color w:val="auto"/>
                    </w:rPr>
                  </w:pPr>
                  <w:r>
                    <w:rPr>
                      <w:color w:val="auto"/>
                    </w:rPr>
                    <w:t>物料运输</w:t>
                  </w:r>
                </w:p>
              </w:tc>
              <w:tc>
                <w:tcPr>
                  <w:tcW w:w="411" w:type="pct"/>
                  <w:vAlign w:val="center"/>
                </w:tcPr>
                <w:p>
                  <w:pPr>
                    <w:pStyle w:val="103"/>
                    <w:adjustRightInd w:val="0"/>
                    <w:snapToGrid w:val="0"/>
                    <w:ind w:left="-63" w:right="-63"/>
                    <w:rPr>
                      <w:color w:val="auto"/>
                    </w:rPr>
                  </w:pPr>
                  <w:r>
                    <w:rPr>
                      <w:color w:val="auto"/>
                    </w:rPr>
                    <w:t>颗粒物</w:t>
                  </w:r>
                </w:p>
              </w:tc>
              <w:tc>
                <w:tcPr>
                  <w:tcW w:w="1254" w:type="pct"/>
                  <w:vAlign w:val="center"/>
                </w:tcPr>
                <w:p>
                  <w:pPr>
                    <w:pStyle w:val="103"/>
                    <w:adjustRightInd w:val="0"/>
                    <w:snapToGrid w:val="0"/>
                    <w:ind w:left="-63" w:right="-63"/>
                    <w:rPr>
                      <w:color w:val="auto"/>
                    </w:rPr>
                  </w:pPr>
                  <w:r>
                    <w:rPr>
                      <w:rFonts w:hint="eastAsia"/>
                      <w:color w:val="auto"/>
                    </w:rPr>
                    <w:t>场内</w:t>
                  </w:r>
                  <w:r>
                    <w:rPr>
                      <w:color w:val="auto"/>
                    </w:rPr>
                    <w:t>道路进行</w:t>
                  </w:r>
                  <w:r>
                    <w:rPr>
                      <w:rFonts w:hint="eastAsia"/>
                      <w:color w:val="auto"/>
                    </w:rPr>
                    <w:t>硬化</w:t>
                  </w:r>
                  <w:r>
                    <w:rPr>
                      <w:color w:val="auto"/>
                    </w:rPr>
                    <w:t>，</w:t>
                  </w:r>
                  <w:r>
                    <w:rPr>
                      <w:rFonts w:hint="eastAsia"/>
                      <w:color w:val="auto"/>
                    </w:rPr>
                    <w:t>配备洒水车，采用洒水对道路进行充分预湿（控制效率7</w:t>
                  </w:r>
                  <w:r>
                    <w:rPr>
                      <w:color w:val="auto"/>
                    </w:rPr>
                    <w:t>4</w:t>
                  </w:r>
                  <w:r>
                    <w:rPr>
                      <w:rFonts w:hint="eastAsia"/>
                      <w:color w:val="auto"/>
                    </w:rPr>
                    <w:t>%），</w:t>
                  </w:r>
                  <w:r>
                    <w:rPr>
                      <w:color w:val="auto"/>
                    </w:rPr>
                    <w:t>运输车辆出厂时，采取苫盖篷布的措施</w:t>
                  </w:r>
                  <w:r>
                    <w:rPr>
                      <w:rFonts w:hint="eastAsia"/>
                      <w:color w:val="auto"/>
                    </w:rPr>
                    <w:t>（控制效率8</w:t>
                  </w:r>
                  <w:r>
                    <w:rPr>
                      <w:color w:val="auto"/>
                    </w:rPr>
                    <w:t>6</w:t>
                  </w:r>
                  <w:r>
                    <w:rPr>
                      <w:rFonts w:hint="eastAsia"/>
                      <w:color w:val="auto"/>
                    </w:rPr>
                    <w:t>%）</w:t>
                  </w:r>
                  <w:r>
                    <w:rPr>
                      <w:color w:val="auto"/>
                    </w:rPr>
                    <w:t>，</w:t>
                  </w:r>
                  <w:r>
                    <w:rPr>
                      <w:rFonts w:hint="eastAsia"/>
                      <w:color w:val="auto"/>
                    </w:rPr>
                    <w:t>并对车辆进行冲洗（控制效率</w:t>
                  </w:r>
                  <w:r>
                    <w:rPr>
                      <w:color w:val="auto"/>
                    </w:rPr>
                    <w:t>78</w:t>
                  </w:r>
                  <w:r>
                    <w:rPr>
                      <w:rFonts w:hint="eastAsia"/>
                      <w:color w:val="auto"/>
                    </w:rPr>
                    <w:t>%），通过采取以上措施粉尘控制</w:t>
                  </w:r>
                  <w:r>
                    <w:rPr>
                      <w:color w:val="auto"/>
                    </w:rPr>
                    <w:t>效率可达99.2%</w:t>
                  </w:r>
                </w:p>
              </w:tc>
              <w:tc>
                <w:tcPr>
                  <w:tcW w:w="1257" w:type="pct"/>
                  <w:vMerge w:val="continue"/>
                  <w:vAlign w:val="center"/>
                </w:tcPr>
                <w:p>
                  <w:pPr>
                    <w:pStyle w:val="103"/>
                    <w:adjustRightInd w:val="0"/>
                    <w:snapToGrid w:val="0"/>
                    <w:ind w:left="-63" w:right="-63"/>
                    <w:rPr>
                      <w:color w:val="auto"/>
                    </w:rPr>
                  </w:pPr>
                </w:p>
              </w:tc>
              <w:tc>
                <w:tcPr>
                  <w:tcW w:w="779" w:type="pct"/>
                  <w:vMerge w:val="continue"/>
                  <w:vAlign w:val="center"/>
                </w:tcPr>
                <w:p>
                  <w:pPr>
                    <w:pStyle w:val="103"/>
                    <w:adjustRightInd w:val="0"/>
                    <w:snapToGrid w:val="0"/>
                    <w:ind w:left="-63" w:right="-63"/>
                    <w:rPr>
                      <w:color w:val="auto"/>
                    </w:rPr>
                  </w:pPr>
                </w:p>
              </w:tc>
              <w:tc>
                <w:tcPr>
                  <w:tcW w:w="604" w:type="pct"/>
                  <w:vAlign w:val="center"/>
                </w:tcPr>
                <w:p>
                  <w:pPr>
                    <w:pStyle w:val="103"/>
                    <w:adjustRightInd w:val="0"/>
                    <w:snapToGrid w:val="0"/>
                    <w:ind w:left="-63" w:right="-63"/>
                    <w:rPr>
                      <w:rFonts w:hint="default" w:eastAsia="宋体"/>
                      <w:color w:val="auto"/>
                      <w:lang w:val="en-US" w:eastAsia="zh-CN"/>
                    </w:rPr>
                  </w:pPr>
                  <w:r>
                    <w:rPr>
                      <w:rFonts w:hint="eastAsia"/>
                      <w:color w:val="auto"/>
                    </w:rPr>
                    <w:t>0.</w:t>
                  </w:r>
                  <w:r>
                    <w:rPr>
                      <w:rFonts w:hint="eastAsia"/>
                      <w:color w:val="auto"/>
                      <w:lang w:val="en-US" w:eastAsia="zh-CN"/>
                    </w:rPr>
                    <w:t>106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pPr>
                    <w:pStyle w:val="103"/>
                    <w:adjustRightInd w:val="0"/>
                    <w:snapToGrid w:val="0"/>
                    <w:ind w:left="-63" w:right="-63"/>
                    <w:rPr>
                      <w:color w:val="auto"/>
                    </w:rPr>
                  </w:pPr>
                  <w:r>
                    <w:rPr>
                      <w:rFonts w:hint="eastAsia"/>
                      <w:color w:val="auto"/>
                    </w:rPr>
                    <w:t>3</w:t>
                  </w:r>
                </w:p>
              </w:tc>
              <w:tc>
                <w:tcPr>
                  <w:tcW w:w="439" w:type="pct"/>
                  <w:vAlign w:val="center"/>
                </w:tcPr>
                <w:p>
                  <w:pPr>
                    <w:pStyle w:val="103"/>
                    <w:adjustRightInd w:val="0"/>
                    <w:snapToGrid w:val="0"/>
                    <w:ind w:left="-63" w:right="-63"/>
                    <w:rPr>
                      <w:color w:val="auto"/>
                    </w:rPr>
                  </w:pPr>
                  <w:r>
                    <w:rPr>
                      <w:rFonts w:hint="eastAsia"/>
                      <w:color w:val="auto"/>
                    </w:rPr>
                    <w:t>搅拌</w:t>
                  </w:r>
                </w:p>
              </w:tc>
              <w:tc>
                <w:tcPr>
                  <w:tcW w:w="411" w:type="pct"/>
                  <w:vAlign w:val="center"/>
                </w:tcPr>
                <w:p>
                  <w:pPr>
                    <w:pStyle w:val="103"/>
                    <w:adjustRightInd w:val="0"/>
                    <w:snapToGrid w:val="0"/>
                    <w:ind w:left="-63" w:right="-63"/>
                    <w:rPr>
                      <w:color w:val="auto"/>
                    </w:rPr>
                  </w:pPr>
                  <w:r>
                    <w:rPr>
                      <w:rFonts w:hint="eastAsia"/>
                      <w:color w:val="auto"/>
                    </w:rPr>
                    <w:t>颗粒物</w:t>
                  </w:r>
                </w:p>
              </w:tc>
              <w:tc>
                <w:tcPr>
                  <w:tcW w:w="1254" w:type="pct"/>
                  <w:vAlign w:val="center"/>
                </w:tcPr>
                <w:p>
                  <w:pPr>
                    <w:pStyle w:val="103"/>
                    <w:adjustRightInd w:val="0"/>
                    <w:snapToGrid w:val="0"/>
                    <w:ind w:left="-63" w:right="-63"/>
                    <w:rPr>
                      <w:color w:val="auto"/>
                    </w:rPr>
                  </w:pPr>
                  <w:r>
                    <w:rPr>
                      <w:rFonts w:hint="eastAsia"/>
                      <w:color w:val="auto"/>
                    </w:rPr>
                    <w:t>搅拌楼密闭，经自带滤芯式除尘器（收集效率99%）处理后回用于生产，无组织粉尘在搅拌楼内自然沉降，去除效率90%计</w:t>
                  </w:r>
                </w:p>
              </w:tc>
              <w:tc>
                <w:tcPr>
                  <w:tcW w:w="1257" w:type="pct"/>
                  <w:vMerge w:val="continue"/>
                  <w:vAlign w:val="center"/>
                </w:tcPr>
                <w:p>
                  <w:pPr>
                    <w:pStyle w:val="103"/>
                    <w:adjustRightInd w:val="0"/>
                    <w:snapToGrid w:val="0"/>
                    <w:ind w:left="-63" w:right="-63"/>
                    <w:rPr>
                      <w:color w:val="auto"/>
                    </w:rPr>
                  </w:pPr>
                </w:p>
              </w:tc>
              <w:tc>
                <w:tcPr>
                  <w:tcW w:w="779" w:type="pct"/>
                  <w:vMerge w:val="continue"/>
                  <w:vAlign w:val="center"/>
                </w:tcPr>
                <w:p>
                  <w:pPr>
                    <w:pStyle w:val="103"/>
                    <w:adjustRightInd w:val="0"/>
                    <w:snapToGrid w:val="0"/>
                    <w:ind w:left="-63" w:right="-63"/>
                    <w:rPr>
                      <w:color w:val="auto"/>
                    </w:rPr>
                  </w:pPr>
                </w:p>
              </w:tc>
              <w:tc>
                <w:tcPr>
                  <w:tcW w:w="604" w:type="pct"/>
                  <w:vAlign w:val="center"/>
                </w:tcPr>
                <w:p>
                  <w:pPr>
                    <w:pStyle w:val="103"/>
                    <w:adjustRightInd w:val="0"/>
                    <w:snapToGrid w:val="0"/>
                    <w:ind w:left="-63" w:right="-63"/>
                    <w:rPr>
                      <w:color w:val="auto"/>
                    </w:rPr>
                  </w:pPr>
                  <w:r>
                    <w:rPr>
                      <w:rFonts w:hint="eastAsia"/>
                      <w:color w:val="auto"/>
                    </w:rPr>
                    <w:t>0.179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pPr>
                    <w:pStyle w:val="103"/>
                    <w:adjustRightInd w:val="0"/>
                    <w:snapToGrid w:val="0"/>
                    <w:ind w:left="-63" w:right="-63"/>
                    <w:rPr>
                      <w:color w:val="auto"/>
                    </w:rPr>
                  </w:pPr>
                  <w:r>
                    <w:rPr>
                      <w:rFonts w:hint="eastAsia"/>
                      <w:color w:val="auto"/>
                    </w:rPr>
                    <w:t>合计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95" w:type="pct"/>
                  <w:gridSpan w:val="6"/>
                  <w:vAlign w:val="center"/>
                </w:tcPr>
                <w:p>
                  <w:pPr>
                    <w:pStyle w:val="103"/>
                    <w:adjustRightInd w:val="0"/>
                    <w:snapToGrid w:val="0"/>
                    <w:ind w:left="-63" w:right="-63"/>
                    <w:rPr>
                      <w:color w:val="auto"/>
                    </w:rPr>
                  </w:pPr>
                  <w:r>
                    <w:rPr>
                      <w:rFonts w:hint="eastAsia"/>
                      <w:color w:val="auto"/>
                    </w:rPr>
                    <w:t>颗粒物</w:t>
                  </w:r>
                </w:p>
              </w:tc>
              <w:tc>
                <w:tcPr>
                  <w:tcW w:w="604" w:type="pct"/>
                  <w:vAlign w:val="center"/>
                </w:tcPr>
                <w:p>
                  <w:pPr>
                    <w:pStyle w:val="103"/>
                    <w:adjustRightInd w:val="0"/>
                    <w:snapToGrid w:val="0"/>
                    <w:ind w:left="-63" w:right="-63"/>
                    <w:rPr>
                      <w:rFonts w:hint="eastAsia" w:eastAsia="宋体"/>
                      <w:color w:val="auto"/>
                      <w:lang w:eastAsia="zh-CN"/>
                    </w:rPr>
                  </w:pPr>
                  <w:r>
                    <w:rPr>
                      <w:rFonts w:hint="eastAsia"/>
                      <w:color w:val="auto"/>
                      <w:lang w:eastAsia="zh-CN"/>
                    </w:rPr>
                    <w:t>11.225</w:t>
                  </w:r>
                </w:p>
              </w:tc>
            </w:tr>
          </w:tbl>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表4-1</w:t>
            </w:r>
            <w:r>
              <w:rPr>
                <w:rFonts w:hint="eastAsia" w:ascii="Times New Roman" w:hAnsi="Times New Roman" w:eastAsia="宋体" w:cs="Times New Roman"/>
                <w:b/>
                <w:color w:val="auto"/>
                <w:szCs w:val="21"/>
                <w:lang w:val="en-US" w:eastAsia="zh-CN"/>
              </w:rPr>
              <w:t>0</w:t>
            </w:r>
            <w:r>
              <w:rPr>
                <w:rFonts w:hint="eastAsia" w:ascii="Times New Roman" w:hAnsi="Times New Roman" w:eastAsia="宋体" w:cs="Times New Roman"/>
                <w:b/>
                <w:color w:val="auto"/>
                <w:szCs w:val="21"/>
              </w:rPr>
              <w:t xml:space="preserve">       大气污染物年排放量核算表</w:t>
            </w:r>
          </w:p>
          <w:tbl>
            <w:tblPr>
              <w:tblStyle w:val="30"/>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747"/>
              <w:gridCol w:w="27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6" w:type="pct"/>
                  <w:vAlign w:val="center"/>
                </w:tcPr>
                <w:p>
                  <w:pPr>
                    <w:pStyle w:val="122"/>
                    <w:adjustRightInd w:val="0"/>
                    <w:snapToGrid w:val="0"/>
                    <w:spacing w:before="0" w:after="0" w:line="240" w:lineRule="auto"/>
                    <w:ind w:left="0" w:right="0"/>
                    <w:rPr>
                      <w:color w:val="auto"/>
                      <w:sz w:val="21"/>
                      <w:szCs w:val="21"/>
                    </w:rPr>
                  </w:pPr>
                  <w:r>
                    <w:rPr>
                      <w:color w:val="auto"/>
                      <w:sz w:val="21"/>
                      <w:szCs w:val="21"/>
                    </w:rPr>
                    <w:t>序号</w:t>
                  </w:r>
                </w:p>
              </w:tc>
              <w:tc>
                <w:tcPr>
                  <w:tcW w:w="1666" w:type="pct"/>
                  <w:vAlign w:val="center"/>
                </w:tcPr>
                <w:p>
                  <w:pPr>
                    <w:pStyle w:val="122"/>
                    <w:adjustRightInd w:val="0"/>
                    <w:snapToGrid w:val="0"/>
                    <w:spacing w:before="0" w:after="0" w:line="240" w:lineRule="auto"/>
                    <w:ind w:left="0" w:right="0"/>
                    <w:rPr>
                      <w:color w:val="auto"/>
                      <w:sz w:val="21"/>
                      <w:szCs w:val="21"/>
                    </w:rPr>
                  </w:pPr>
                  <w:r>
                    <w:rPr>
                      <w:color w:val="auto"/>
                      <w:sz w:val="21"/>
                      <w:szCs w:val="21"/>
                    </w:rPr>
                    <w:t>污染物</w:t>
                  </w:r>
                </w:p>
              </w:tc>
              <w:tc>
                <w:tcPr>
                  <w:tcW w:w="1666" w:type="pct"/>
                  <w:vAlign w:val="center"/>
                </w:tcPr>
                <w:p>
                  <w:pPr>
                    <w:pStyle w:val="122"/>
                    <w:adjustRightInd w:val="0"/>
                    <w:snapToGrid w:val="0"/>
                    <w:spacing w:before="0" w:after="0" w:line="240" w:lineRule="auto"/>
                    <w:ind w:left="0" w:right="0"/>
                    <w:rPr>
                      <w:color w:val="auto"/>
                      <w:sz w:val="21"/>
                      <w:szCs w:val="21"/>
                    </w:rPr>
                  </w:pPr>
                  <w:r>
                    <w:rPr>
                      <w:color w:val="auto"/>
                      <w:sz w:val="21"/>
                      <w:szCs w:val="21"/>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6" w:type="pct"/>
                  <w:vAlign w:val="center"/>
                </w:tcPr>
                <w:p>
                  <w:pPr>
                    <w:pStyle w:val="122"/>
                    <w:adjustRightInd w:val="0"/>
                    <w:snapToGrid w:val="0"/>
                    <w:spacing w:before="0" w:after="0" w:line="240" w:lineRule="auto"/>
                    <w:ind w:left="0" w:right="0"/>
                    <w:rPr>
                      <w:color w:val="auto"/>
                      <w:sz w:val="21"/>
                      <w:szCs w:val="21"/>
                    </w:rPr>
                  </w:pPr>
                  <w:r>
                    <w:rPr>
                      <w:color w:val="auto"/>
                      <w:sz w:val="21"/>
                      <w:szCs w:val="21"/>
                    </w:rPr>
                    <w:t>1</w:t>
                  </w:r>
                </w:p>
              </w:tc>
              <w:tc>
                <w:tcPr>
                  <w:tcW w:w="1666" w:type="pct"/>
                  <w:vAlign w:val="center"/>
                </w:tcPr>
                <w:p>
                  <w:pPr>
                    <w:jc w:val="center"/>
                    <w:rPr>
                      <w:color w:val="auto"/>
                      <w:szCs w:val="21"/>
                    </w:rPr>
                  </w:pPr>
                  <w:r>
                    <w:rPr>
                      <w:rFonts w:hint="eastAsia"/>
                      <w:color w:val="auto"/>
                      <w:szCs w:val="21"/>
                    </w:rPr>
                    <w:t>颗粒物</w:t>
                  </w:r>
                </w:p>
              </w:tc>
              <w:tc>
                <w:tcPr>
                  <w:tcW w:w="1666" w:type="pct"/>
                  <w:vAlign w:val="center"/>
                </w:tcPr>
                <w:p>
                  <w:pPr>
                    <w:jc w:val="center"/>
                    <w:rPr>
                      <w:rFonts w:hint="eastAsia" w:eastAsia="宋体"/>
                      <w:color w:val="auto"/>
                      <w:szCs w:val="21"/>
                      <w:lang w:eastAsia="zh-CN"/>
                    </w:rPr>
                  </w:pPr>
                  <w:r>
                    <w:rPr>
                      <w:rFonts w:hint="eastAsia"/>
                      <w:bCs/>
                      <w:color w:val="auto"/>
                      <w:szCs w:val="21"/>
                      <w:lang w:eastAsia="zh-CN"/>
                    </w:rPr>
                    <w:t>11.349</w:t>
                  </w:r>
                </w:p>
              </w:tc>
            </w:tr>
          </w:tbl>
          <w:p>
            <w:pPr>
              <w:widowControl/>
              <w:spacing w:line="520" w:lineRule="exact"/>
              <w:ind w:firstLine="482" w:firstLineChars="200"/>
              <w:rPr>
                <w:b/>
                <w:bCs/>
                <w:color w:val="auto"/>
                <w:sz w:val="24"/>
              </w:rPr>
            </w:pPr>
            <w:r>
              <w:rPr>
                <w:rFonts w:hint="eastAsia"/>
                <w:b/>
                <w:bCs/>
                <w:color w:val="auto"/>
                <w:sz w:val="24"/>
              </w:rPr>
              <w:t>1.6大气环境影响监测计划</w:t>
            </w:r>
          </w:p>
          <w:p>
            <w:pPr>
              <w:adjustRightInd w:val="0"/>
              <w:snapToGrid w:val="0"/>
              <w:spacing w:line="520" w:lineRule="exact"/>
              <w:ind w:firstLine="480" w:firstLineChars="200"/>
              <w:rPr>
                <w:color w:val="auto"/>
                <w:sz w:val="24"/>
              </w:rPr>
            </w:pPr>
            <w:r>
              <w:rPr>
                <w:rFonts w:hint="eastAsia"/>
                <w:color w:val="auto"/>
                <w:sz w:val="24"/>
              </w:rPr>
              <w:t>根据《排污单位自行监测技术指南 水泥工业》（H</w:t>
            </w:r>
            <w:r>
              <w:rPr>
                <w:color w:val="auto"/>
                <w:sz w:val="24"/>
              </w:rPr>
              <w:t>J</w:t>
            </w:r>
            <w:r>
              <w:rPr>
                <w:rFonts w:hint="eastAsia"/>
                <w:color w:val="auto"/>
                <w:sz w:val="24"/>
              </w:rPr>
              <w:t>848</w:t>
            </w:r>
            <w:r>
              <w:rPr>
                <w:color w:val="auto"/>
                <w:sz w:val="24"/>
              </w:rPr>
              <w:t>-2017</w:t>
            </w:r>
            <w:r>
              <w:rPr>
                <w:rFonts w:hint="eastAsia"/>
                <w:color w:val="auto"/>
                <w:sz w:val="24"/>
              </w:rPr>
              <w:t>）相关规定，本次评价确定本项目大气环境自行监测方案见表4</w:t>
            </w:r>
            <w:r>
              <w:rPr>
                <w:color w:val="auto"/>
                <w:sz w:val="24"/>
              </w:rPr>
              <w:t>-</w:t>
            </w:r>
            <w:r>
              <w:rPr>
                <w:rFonts w:hint="eastAsia"/>
                <w:color w:val="auto"/>
                <w:sz w:val="24"/>
              </w:rPr>
              <w:t>1</w:t>
            </w:r>
            <w:r>
              <w:rPr>
                <w:rFonts w:hint="eastAsia"/>
                <w:color w:val="auto"/>
                <w:sz w:val="24"/>
                <w:lang w:val="en-US" w:eastAsia="zh-CN"/>
              </w:rPr>
              <w:t>1</w:t>
            </w:r>
            <w:r>
              <w:rPr>
                <w:rFonts w:hint="eastAsia"/>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表4-1</w:t>
            </w:r>
            <w:r>
              <w:rPr>
                <w:rFonts w:hint="eastAsia" w:ascii="Times New Roman" w:hAnsi="Times New Roman" w:eastAsia="宋体" w:cs="Times New Roman"/>
                <w:b/>
                <w:color w:val="auto"/>
                <w:szCs w:val="21"/>
                <w:lang w:val="en-US" w:eastAsia="zh-CN"/>
              </w:rPr>
              <w:t>1</w:t>
            </w:r>
            <w:r>
              <w:rPr>
                <w:rFonts w:hint="eastAsia" w:ascii="Times New Roman" w:hAnsi="Times New Roman" w:eastAsia="宋体" w:cs="Times New Roman"/>
                <w:b/>
                <w:color w:val="auto"/>
                <w:szCs w:val="21"/>
              </w:rPr>
              <w:t xml:space="preserve">   废气自行检测方案</w:t>
            </w:r>
          </w:p>
          <w:tbl>
            <w:tblPr>
              <w:tblStyle w:val="30"/>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217"/>
              <w:gridCol w:w="843"/>
              <w:gridCol w:w="790"/>
              <w:gridCol w:w="3506"/>
              <w:gridCol w:w="12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393" w:type="pct"/>
                  <w:tcBorders>
                    <w:tl2br w:val="nil"/>
                    <w:tr2bl w:val="nil"/>
                  </w:tcBorders>
                  <w:shd w:val="clear" w:color="auto" w:fill="auto"/>
                  <w:vAlign w:val="center"/>
                </w:tcPr>
                <w:p>
                  <w:pPr>
                    <w:pStyle w:val="38"/>
                    <w:jc w:val="center"/>
                    <w:rPr>
                      <w:color w:val="auto"/>
                    </w:rPr>
                  </w:pPr>
                  <w:r>
                    <w:rPr>
                      <w:color w:val="auto"/>
                    </w:rPr>
                    <w:t>序号</w:t>
                  </w:r>
                </w:p>
              </w:tc>
              <w:tc>
                <w:tcPr>
                  <w:tcW w:w="738" w:type="pct"/>
                  <w:tcBorders>
                    <w:tl2br w:val="nil"/>
                    <w:tr2bl w:val="nil"/>
                  </w:tcBorders>
                  <w:shd w:val="clear" w:color="auto" w:fill="auto"/>
                  <w:vAlign w:val="center"/>
                </w:tcPr>
                <w:p>
                  <w:pPr>
                    <w:pStyle w:val="38"/>
                    <w:jc w:val="center"/>
                    <w:rPr>
                      <w:color w:val="auto"/>
                    </w:rPr>
                  </w:pPr>
                  <w:r>
                    <w:rPr>
                      <w:color w:val="auto"/>
                    </w:rPr>
                    <w:t>监测内容</w:t>
                  </w:r>
                </w:p>
              </w:tc>
              <w:tc>
                <w:tcPr>
                  <w:tcW w:w="511" w:type="pct"/>
                  <w:tcBorders>
                    <w:tl2br w:val="nil"/>
                    <w:tr2bl w:val="nil"/>
                  </w:tcBorders>
                  <w:shd w:val="clear" w:color="auto" w:fill="auto"/>
                  <w:vAlign w:val="center"/>
                </w:tcPr>
                <w:p>
                  <w:pPr>
                    <w:pStyle w:val="38"/>
                    <w:jc w:val="center"/>
                    <w:rPr>
                      <w:color w:val="auto"/>
                    </w:rPr>
                  </w:pPr>
                  <w:r>
                    <w:rPr>
                      <w:color w:val="auto"/>
                    </w:rPr>
                    <w:t>监测项目</w:t>
                  </w:r>
                </w:p>
              </w:tc>
              <w:tc>
                <w:tcPr>
                  <w:tcW w:w="479" w:type="pct"/>
                  <w:tcBorders>
                    <w:tl2br w:val="nil"/>
                    <w:tr2bl w:val="nil"/>
                  </w:tcBorders>
                  <w:shd w:val="clear" w:color="auto" w:fill="auto"/>
                  <w:vAlign w:val="center"/>
                </w:tcPr>
                <w:p>
                  <w:pPr>
                    <w:pStyle w:val="38"/>
                    <w:jc w:val="center"/>
                    <w:rPr>
                      <w:color w:val="auto"/>
                    </w:rPr>
                  </w:pPr>
                  <w:r>
                    <w:rPr>
                      <w:color w:val="auto"/>
                    </w:rPr>
                    <w:t>监测频率</w:t>
                  </w:r>
                </w:p>
              </w:tc>
              <w:tc>
                <w:tcPr>
                  <w:tcW w:w="2126" w:type="pct"/>
                  <w:tcBorders>
                    <w:tl2br w:val="nil"/>
                    <w:tr2bl w:val="nil"/>
                  </w:tcBorders>
                  <w:shd w:val="clear" w:color="auto" w:fill="auto"/>
                  <w:vAlign w:val="center"/>
                </w:tcPr>
                <w:p>
                  <w:pPr>
                    <w:pStyle w:val="38"/>
                    <w:jc w:val="center"/>
                    <w:rPr>
                      <w:color w:val="auto"/>
                    </w:rPr>
                  </w:pPr>
                  <w:r>
                    <w:rPr>
                      <w:color w:val="auto"/>
                    </w:rPr>
                    <w:t>监测点位</w:t>
                  </w:r>
                </w:p>
              </w:tc>
              <w:tc>
                <w:tcPr>
                  <w:tcW w:w="750" w:type="pct"/>
                  <w:tcBorders>
                    <w:tl2br w:val="nil"/>
                    <w:tr2bl w:val="nil"/>
                  </w:tcBorders>
                  <w:shd w:val="clear" w:color="auto" w:fill="auto"/>
                  <w:vAlign w:val="center"/>
                </w:tcPr>
                <w:p>
                  <w:pPr>
                    <w:pStyle w:val="38"/>
                    <w:jc w:val="center"/>
                    <w:rPr>
                      <w:color w:val="auto"/>
                    </w:rPr>
                  </w:pPr>
                  <w:r>
                    <w:rPr>
                      <w:color w:val="auto"/>
                    </w:rPr>
                    <w:t>监测实施机构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393" w:type="pct"/>
                  <w:tcBorders>
                    <w:tl2br w:val="nil"/>
                    <w:tr2bl w:val="nil"/>
                  </w:tcBorders>
                  <w:shd w:val="clear" w:color="auto" w:fill="auto"/>
                  <w:vAlign w:val="center"/>
                </w:tcPr>
                <w:p>
                  <w:pPr>
                    <w:pStyle w:val="38"/>
                    <w:jc w:val="center"/>
                    <w:rPr>
                      <w:color w:val="auto"/>
                    </w:rPr>
                  </w:pPr>
                  <w:r>
                    <w:rPr>
                      <w:color w:val="auto"/>
                    </w:rPr>
                    <w:t>1</w:t>
                  </w:r>
                </w:p>
              </w:tc>
              <w:tc>
                <w:tcPr>
                  <w:tcW w:w="738" w:type="pct"/>
                  <w:tcBorders>
                    <w:tl2br w:val="nil"/>
                    <w:tr2bl w:val="nil"/>
                  </w:tcBorders>
                  <w:shd w:val="clear" w:color="auto" w:fill="auto"/>
                  <w:vAlign w:val="center"/>
                </w:tcPr>
                <w:p>
                  <w:pPr>
                    <w:pStyle w:val="38"/>
                    <w:jc w:val="center"/>
                    <w:rPr>
                      <w:color w:val="auto"/>
                    </w:rPr>
                  </w:pPr>
                  <w:r>
                    <w:rPr>
                      <w:color w:val="auto"/>
                    </w:rPr>
                    <w:t>有组织废气</w:t>
                  </w:r>
                </w:p>
              </w:tc>
              <w:tc>
                <w:tcPr>
                  <w:tcW w:w="511" w:type="pct"/>
                  <w:tcBorders>
                    <w:tl2br w:val="nil"/>
                    <w:tr2bl w:val="nil"/>
                  </w:tcBorders>
                  <w:shd w:val="clear" w:color="auto" w:fill="auto"/>
                  <w:vAlign w:val="center"/>
                </w:tcPr>
                <w:p>
                  <w:pPr>
                    <w:pStyle w:val="38"/>
                    <w:jc w:val="center"/>
                    <w:rPr>
                      <w:color w:val="auto"/>
                    </w:rPr>
                  </w:pPr>
                  <w:r>
                    <w:rPr>
                      <w:color w:val="auto"/>
                    </w:rPr>
                    <w:t>粉尘</w:t>
                  </w:r>
                </w:p>
              </w:tc>
              <w:tc>
                <w:tcPr>
                  <w:tcW w:w="479" w:type="pct"/>
                  <w:tcBorders>
                    <w:tl2br w:val="nil"/>
                    <w:tr2bl w:val="nil"/>
                  </w:tcBorders>
                  <w:shd w:val="clear" w:color="auto" w:fill="auto"/>
                  <w:vAlign w:val="center"/>
                </w:tcPr>
                <w:p>
                  <w:pPr>
                    <w:pStyle w:val="38"/>
                    <w:jc w:val="center"/>
                    <w:rPr>
                      <w:color w:val="auto"/>
                    </w:rPr>
                  </w:pPr>
                  <w:r>
                    <w:rPr>
                      <w:rFonts w:hint="eastAsia"/>
                      <w:color w:val="auto"/>
                    </w:rPr>
                    <w:t>一</w:t>
                  </w:r>
                  <w:r>
                    <w:rPr>
                      <w:color w:val="auto"/>
                    </w:rPr>
                    <w:t>次/</w:t>
                  </w:r>
                  <w:r>
                    <w:rPr>
                      <w:rFonts w:hint="eastAsia"/>
                      <w:color w:val="auto"/>
                    </w:rPr>
                    <w:t>两</w:t>
                  </w:r>
                  <w:r>
                    <w:rPr>
                      <w:color w:val="auto"/>
                    </w:rPr>
                    <w:t>年</w:t>
                  </w:r>
                </w:p>
              </w:tc>
              <w:tc>
                <w:tcPr>
                  <w:tcW w:w="2126" w:type="pct"/>
                  <w:tcBorders>
                    <w:tl2br w:val="nil"/>
                    <w:tr2bl w:val="nil"/>
                  </w:tcBorders>
                  <w:shd w:val="clear" w:color="auto" w:fill="auto"/>
                  <w:vAlign w:val="center"/>
                </w:tcPr>
                <w:p>
                  <w:pPr>
                    <w:pStyle w:val="38"/>
                    <w:jc w:val="center"/>
                    <w:rPr>
                      <w:color w:val="auto"/>
                    </w:rPr>
                  </w:pPr>
                  <w:r>
                    <w:rPr>
                      <w:rFonts w:hint="eastAsia"/>
                      <w:color w:val="auto"/>
                    </w:rPr>
                    <w:t>水泥仓</w:t>
                  </w:r>
                  <w:r>
                    <w:rPr>
                      <w:color w:val="auto"/>
                    </w:rPr>
                    <w:t>、</w:t>
                  </w:r>
                  <w:r>
                    <w:rPr>
                      <w:rFonts w:hint="eastAsia"/>
                      <w:color w:val="auto"/>
                    </w:rPr>
                    <w:t>矿粉、粉煤灰仓排气筒出口，共6个</w:t>
                  </w:r>
                </w:p>
              </w:tc>
              <w:tc>
                <w:tcPr>
                  <w:tcW w:w="750" w:type="pct"/>
                  <w:vMerge w:val="restart"/>
                  <w:tcBorders>
                    <w:tl2br w:val="nil"/>
                    <w:tr2bl w:val="nil"/>
                  </w:tcBorders>
                  <w:shd w:val="clear" w:color="auto" w:fill="auto"/>
                  <w:vAlign w:val="center"/>
                </w:tcPr>
                <w:p>
                  <w:pPr>
                    <w:pStyle w:val="38"/>
                    <w:jc w:val="center"/>
                    <w:rPr>
                      <w:color w:val="auto"/>
                    </w:rPr>
                  </w:pPr>
                  <w:r>
                    <w:rPr>
                      <w:color w:val="auto"/>
                    </w:rPr>
                    <w:t>委托有资质的环境监测机构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93" w:type="pct"/>
                  <w:tcBorders>
                    <w:tl2br w:val="nil"/>
                    <w:tr2bl w:val="nil"/>
                  </w:tcBorders>
                  <w:shd w:val="clear" w:color="auto" w:fill="auto"/>
                  <w:vAlign w:val="center"/>
                </w:tcPr>
                <w:p>
                  <w:pPr>
                    <w:pStyle w:val="38"/>
                    <w:jc w:val="center"/>
                    <w:rPr>
                      <w:color w:val="auto"/>
                    </w:rPr>
                  </w:pPr>
                  <w:r>
                    <w:rPr>
                      <w:color w:val="auto"/>
                    </w:rPr>
                    <w:t>2</w:t>
                  </w:r>
                </w:p>
              </w:tc>
              <w:tc>
                <w:tcPr>
                  <w:tcW w:w="738" w:type="pct"/>
                  <w:tcBorders>
                    <w:tl2br w:val="nil"/>
                    <w:tr2bl w:val="nil"/>
                  </w:tcBorders>
                  <w:shd w:val="clear" w:color="auto" w:fill="auto"/>
                  <w:vAlign w:val="center"/>
                </w:tcPr>
                <w:p>
                  <w:pPr>
                    <w:pStyle w:val="38"/>
                    <w:jc w:val="center"/>
                    <w:rPr>
                      <w:color w:val="auto"/>
                    </w:rPr>
                  </w:pPr>
                  <w:r>
                    <w:rPr>
                      <w:color w:val="auto"/>
                    </w:rPr>
                    <w:t>无组织废气</w:t>
                  </w:r>
                </w:p>
              </w:tc>
              <w:tc>
                <w:tcPr>
                  <w:tcW w:w="511" w:type="pct"/>
                  <w:tcBorders>
                    <w:tl2br w:val="nil"/>
                    <w:tr2bl w:val="nil"/>
                  </w:tcBorders>
                  <w:shd w:val="clear" w:color="auto" w:fill="auto"/>
                  <w:vAlign w:val="center"/>
                </w:tcPr>
                <w:p>
                  <w:pPr>
                    <w:pStyle w:val="38"/>
                    <w:jc w:val="center"/>
                    <w:rPr>
                      <w:color w:val="auto"/>
                    </w:rPr>
                  </w:pPr>
                  <w:r>
                    <w:rPr>
                      <w:color w:val="auto"/>
                    </w:rPr>
                    <w:t>粉尘</w:t>
                  </w:r>
                </w:p>
              </w:tc>
              <w:tc>
                <w:tcPr>
                  <w:tcW w:w="479" w:type="pct"/>
                  <w:tcBorders>
                    <w:tl2br w:val="nil"/>
                    <w:tr2bl w:val="nil"/>
                  </w:tcBorders>
                  <w:shd w:val="clear" w:color="auto" w:fill="auto"/>
                  <w:vAlign w:val="center"/>
                </w:tcPr>
                <w:p>
                  <w:pPr>
                    <w:pStyle w:val="38"/>
                    <w:jc w:val="center"/>
                    <w:rPr>
                      <w:color w:val="auto"/>
                    </w:rPr>
                  </w:pPr>
                  <w:r>
                    <w:rPr>
                      <w:rFonts w:hint="eastAsia"/>
                      <w:color w:val="auto"/>
                    </w:rPr>
                    <w:t>一</w:t>
                  </w:r>
                  <w:r>
                    <w:rPr>
                      <w:color w:val="auto"/>
                    </w:rPr>
                    <w:t>次/</w:t>
                  </w:r>
                  <w:r>
                    <w:rPr>
                      <w:rFonts w:hint="eastAsia"/>
                      <w:color w:val="auto"/>
                    </w:rPr>
                    <w:t>季度</w:t>
                  </w:r>
                </w:p>
              </w:tc>
              <w:tc>
                <w:tcPr>
                  <w:tcW w:w="2126" w:type="pct"/>
                  <w:tcBorders>
                    <w:tl2br w:val="nil"/>
                    <w:tr2bl w:val="nil"/>
                  </w:tcBorders>
                  <w:shd w:val="clear" w:color="auto" w:fill="auto"/>
                  <w:vAlign w:val="center"/>
                </w:tcPr>
                <w:p>
                  <w:pPr>
                    <w:pStyle w:val="38"/>
                    <w:jc w:val="center"/>
                    <w:rPr>
                      <w:color w:val="auto"/>
                    </w:rPr>
                  </w:pPr>
                  <w:r>
                    <w:rPr>
                      <w:color w:val="auto"/>
                    </w:rPr>
                    <w:t>厂界（厂界外 20m 处上风</w:t>
                  </w:r>
                </w:p>
                <w:p>
                  <w:pPr>
                    <w:pStyle w:val="38"/>
                    <w:jc w:val="center"/>
                    <w:rPr>
                      <w:color w:val="auto"/>
                    </w:rPr>
                  </w:pPr>
                  <w:r>
                    <w:rPr>
                      <w:color w:val="auto"/>
                    </w:rPr>
                    <w:t>向设参照点、下风向设监控点）</w:t>
                  </w:r>
                </w:p>
              </w:tc>
              <w:tc>
                <w:tcPr>
                  <w:tcW w:w="750" w:type="pct"/>
                  <w:vMerge w:val="continue"/>
                  <w:tcBorders>
                    <w:tl2br w:val="nil"/>
                    <w:tr2bl w:val="nil"/>
                  </w:tcBorders>
                  <w:shd w:val="clear" w:color="auto" w:fill="auto"/>
                  <w:vAlign w:val="center"/>
                </w:tcPr>
                <w:p>
                  <w:pPr>
                    <w:pStyle w:val="38"/>
                    <w:jc w:val="center"/>
                    <w:rPr>
                      <w:color w:val="auto"/>
                    </w:rPr>
                  </w:pPr>
                </w:p>
              </w:tc>
            </w:tr>
          </w:tbl>
          <w:p>
            <w:pPr>
              <w:widowControl/>
              <w:spacing w:line="520" w:lineRule="exact"/>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2、废水</w:t>
            </w:r>
          </w:p>
          <w:p>
            <w:pPr>
              <w:pStyle w:val="69"/>
              <w:keepNext w:val="0"/>
              <w:keepLines w:val="0"/>
              <w:pageBreakBefore w:val="0"/>
              <w:kinsoku/>
              <w:wordWrap/>
              <w:overflowPunct/>
              <w:topLinePunct w:val="0"/>
              <w:autoSpaceDE/>
              <w:autoSpaceDN/>
              <w:bidi w:val="0"/>
              <w:spacing w:line="520" w:lineRule="exact"/>
              <w:ind w:firstLine="482"/>
              <w:rPr>
                <w:rFonts w:hint="default" w:ascii="Times New Roman" w:hAnsi="Times New Roman" w:cs="Times New Roman"/>
                <w:b/>
                <w:bCs/>
                <w:color w:val="auto"/>
              </w:rPr>
            </w:pPr>
            <w:r>
              <w:rPr>
                <w:rFonts w:hint="default" w:ascii="Times New Roman" w:hAnsi="Times New Roman" w:cs="Times New Roman"/>
                <w:b/>
                <w:bCs/>
                <w:color w:val="auto"/>
              </w:rPr>
              <w:t>2.1水污染物分析</w:t>
            </w:r>
          </w:p>
          <w:p>
            <w:pPr>
              <w:pStyle w:val="69"/>
              <w:keepNext w:val="0"/>
              <w:keepLines w:val="0"/>
              <w:pageBreakBefore w:val="0"/>
              <w:kinsoku/>
              <w:wordWrap/>
              <w:overflowPunct/>
              <w:topLinePunct w:val="0"/>
              <w:autoSpaceDE/>
              <w:autoSpaceDN/>
              <w:bidi w:val="0"/>
              <w:spacing w:line="520" w:lineRule="exact"/>
              <w:rPr>
                <w:rFonts w:hint="default" w:ascii="Times New Roman" w:hAnsi="Times New Roman" w:cs="Times New Roman"/>
                <w:color w:val="auto"/>
              </w:rPr>
            </w:pPr>
            <w:r>
              <w:rPr>
                <w:rFonts w:hint="default" w:ascii="Times New Roman" w:hAnsi="Times New Roman" w:cs="Times New Roman"/>
                <w:color w:val="auto"/>
              </w:rPr>
              <w:t>项目工艺用水全部进入产品，无废水产生，实验室仅使用检测设备检测产品质量，不使用化学试剂，无废水产生。项目营运过程中产生废水主要来源于搅拌机清洗废水、运输车辆清洗废水及生活污水。</w:t>
            </w:r>
          </w:p>
          <w:p>
            <w:pPr>
              <w:pStyle w:val="69"/>
              <w:keepNext w:val="0"/>
              <w:keepLines w:val="0"/>
              <w:pageBreakBefore w:val="0"/>
              <w:kinsoku/>
              <w:wordWrap/>
              <w:overflowPunct/>
              <w:topLinePunct w:val="0"/>
              <w:autoSpaceDE/>
              <w:autoSpaceDN/>
              <w:bidi w:val="0"/>
              <w:spacing w:line="520" w:lineRule="exact"/>
              <w:rPr>
                <w:rFonts w:hint="default" w:ascii="Times New Roman" w:hAnsi="Times New Roman" w:cs="Times New Roman"/>
                <w:color w:val="auto"/>
              </w:rPr>
            </w:pPr>
            <w:r>
              <w:rPr>
                <w:rFonts w:hint="default" w:ascii="Times New Roman" w:hAnsi="Times New Roman" w:cs="Times New Roman"/>
                <w:color w:val="auto"/>
              </w:rPr>
              <w:t>本项目搅拌机清洗废水、运输车辆清废水经三级沉淀后上清液返回生产工序使用，不外排。</w:t>
            </w:r>
          </w:p>
          <w:p>
            <w:pPr>
              <w:pStyle w:val="69"/>
              <w:keepNext w:val="0"/>
              <w:keepLines w:val="0"/>
              <w:pageBreakBefore w:val="0"/>
              <w:kinsoku/>
              <w:wordWrap/>
              <w:overflowPunct/>
              <w:topLinePunct w:val="0"/>
              <w:autoSpaceDE/>
              <w:autoSpaceDN/>
              <w:bidi w:val="0"/>
              <w:spacing w:line="520" w:lineRule="exact"/>
              <w:rPr>
                <w:rFonts w:hint="default" w:ascii="Times New Roman" w:hAnsi="Times New Roman" w:cs="Times New Roman"/>
                <w:color w:val="auto"/>
              </w:rPr>
            </w:pPr>
            <w:r>
              <w:rPr>
                <w:rFonts w:hint="default" w:ascii="Times New Roman" w:hAnsi="Times New Roman" w:cs="Times New Roman"/>
                <w:color w:val="auto"/>
              </w:rPr>
              <w:t>生活污水排入防渗化粪池收集，吸污车清运至奎屯市中区污水处理厂。依据工程分析，生活污水产生量约312m</w:t>
            </w:r>
            <w:r>
              <w:rPr>
                <w:rFonts w:hint="default" w:ascii="Times New Roman" w:hAnsi="Times New Roman" w:cs="Times New Roman"/>
                <w:color w:val="auto"/>
                <w:vertAlign w:val="superscript"/>
              </w:rPr>
              <w:t>3</w:t>
            </w:r>
            <w:r>
              <w:rPr>
                <w:rFonts w:hint="default" w:ascii="Times New Roman" w:hAnsi="Times New Roman" w:cs="Times New Roman"/>
                <w:color w:val="auto"/>
              </w:rPr>
              <w:t>/a，废水中主要污染物浓度及排放量分别为BOD</w:t>
            </w:r>
            <w:r>
              <w:rPr>
                <w:rFonts w:hint="default" w:ascii="Times New Roman" w:hAnsi="Times New Roman" w:cs="Times New Roman"/>
                <w:color w:val="auto"/>
                <w:vertAlign w:val="subscript"/>
              </w:rPr>
              <w:t>5</w:t>
            </w:r>
            <w:r>
              <w:rPr>
                <w:rFonts w:hint="default" w:ascii="Times New Roman" w:hAnsi="Times New Roman" w:cs="Times New Roman"/>
                <w:color w:val="auto"/>
              </w:rPr>
              <w:t>：200mg/L，0.062t/a；COD</w:t>
            </w:r>
            <w:r>
              <w:rPr>
                <w:rFonts w:hint="default" w:ascii="Times New Roman" w:hAnsi="Times New Roman" w:cs="Times New Roman"/>
                <w:color w:val="auto"/>
                <w:vertAlign w:val="subscript"/>
              </w:rPr>
              <w:t>Cr</w:t>
            </w:r>
            <w:r>
              <w:rPr>
                <w:rFonts w:hint="default" w:ascii="Times New Roman" w:hAnsi="Times New Roman" w:cs="Times New Roman"/>
                <w:color w:val="auto"/>
              </w:rPr>
              <w:t>：350mg/L，0.109t/a；SS：250mg/L，0.078t/a；NH</w:t>
            </w:r>
            <w:r>
              <w:rPr>
                <w:rFonts w:hint="default" w:ascii="Times New Roman" w:hAnsi="Times New Roman" w:cs="Times New Roman"/>
                <w:color w:val="auto"/>
                <w:vertAlign w:val="subscript"/>
              </w:rPr>
              <w:t>4</w:t>
            </w:r>
            <w:r>
              <w:rPr>
                <w:rFonts w:hint="default" w:ascii="Times New Roman" w:hAnsi="Times New Roman" w:cs="Times New Roman"/>
                <w:color w:val="auto"/>
              </w:rPr>
              <w:t>-N：30mg/L，0.0094t/a。</w:t>
            </w:r>
          </w:p>
          <w:p>
            <w:pPr>
              <w:keepNext w:val="0"/>
              <w:keepLines w:val="0"/>
              <w:pageBreakBefore w:val="0"/>
              <w:widowControl/>
              <w:kinsoku/>
              <w:wordWrap/>
              <w:overflowPunct/>
              <w:topLinePunct w:val="0"/>
              <w:autoSpaceDE/>
              <w:autoSpaceDN/>
              <w:bidi w:val="0"/>
              <w:spacing w:line="520" w:lineRule="exact"/>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2.2污水处理厂依托可行性分析</w:t>
            </w:r>
          </w:p>
          <w:p>
            <w:pPr>
              <w:keepNext w:val="0"/>
              <w:keepLines w:val="0"/>
              <w:pageBreakBefore w:val="0"/>
              <w:tabs>
                <w:tab w:val="left" w:pos="0"/>
              </w:tabs>
              <w:kinsoku/>
              <w:wordWrap/>
              <w:overflowPunct/>
              <w:topLinePunct w:val="0"/>
              <w:autoSpaceDE/>
              <w:autoSpaceDN/>
              <w:bidi w:val="0"/>
              <w:adjustRightInd w:val="0"/>
              <w:snapToGrid w:val="0"/>
              <w:spacing w:line="520" w:lineRule="exact"/>
              <w:ind w:firstLine="480" w:firstLineChars="200"/>
              <w:rPr>
                <w:color w:val="auto"/>
                <w:sz w:val="24"/>
                <w:lang w:bidi="ar"/>
              </w:rPr>
            </w:pPr>
            <w:r>
              <w:rPr>
                <w:color w:val="auto"/>
                <w:sz w:val="24"/>
              </w:rPr>
              <w:t>本项目生活污水最终排入</w:t>
            </w:r>
            <w:r>
              <w:rPr>
                <w:rFonts w:hint="eastAsia"/>
                <w:color w:val="auto"/>
                <w:sz w:val="24"/>
              </w:rPr>
              <w:t>奎屯市中区污水处理厂</w:t>
            </w:r>
            <w:r>
              <w:rPr>
                <w:color w:val="auto"/>
                <w:sz w:val="24"/>
              </w:rPr>
              <w:t>处置，污染物排放浓度符合《污水综合排放标准》（GB8978-1996）表4中的三级标准，排放满足污水厂进水要求。</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color w:val="auto"/>
                <w:lang w:bidi="ar"/>
              </w:rPr>
              <w:t>奎屯市中区污水处理厂位于奎屯市天东路以北、迎宾大道以东，2000年成立，2003年建成，占地面积约8公顷，日处理能力20000m³/d，主要负责奎屯市城区生活污水的处理</w:t>
            </w:r>
            <w:r>
              <w:rPr>
                <w:rFonts w:hint="eastAsia"/>
                <w:color w:val="auto"/>
                <w:lang w:bidi="ar"/>
              </w:rPr>
              <w:t>。</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color w:val="auto"/>
                <w:lang w:bidi="ar"/>
              </w:rPr>
              <w:t>艺采用A2O+EBIS高效混凝沉淀，出水水质满足《城镇污水处理厂污染物排放标准》（GB18918-2002）一级A标准要求</w:t>
            </w:r>
            <w:r>
              <w:rPr>
                <w:rFonts w:hint="eastAsia"/>
                <w:color w:val="auto"/>
                <w:lang w:bidi="ar"/>
              </w:rPr>
              <w:t>，污水处理厂于</w:t>
            </w:r>
            <w:r>
              <w:rPr>
                <w:color w:val="auto"/>
                <w:lang w:bidi="ar"/>
              </w:rPr>
              <w:t>2019年6月10日开工建设，12月13日完成工程竣工验收，2020年4月15日完成环保验收工作。</w:t>
            </w:r>
            <w:r>
              <w:rPr>
                <w:rFonts w:hint="eastAsia"/>
                <w:color w:val="auto"/>
                <w:lang w:bidi="ar"/>
              </w:rPr>
              <w:t>处理后的中水储存到中水库，中水库下游已修建排水管线，中水将排入北二区新建5000亩公益林用于灌溉。</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rFonts w:hint="eastAsia"/>
                <w:color w:val="auto"/>
                <w:lang w:bidi="ar"/>
              </w:rPr>
              <w:t>综上，本项目废水依托奎屯市中区污水处理厂可行。</w:t>
            </w:r>
          </w:p>
          <w:p>
            <w:pPr>
              <w:pStyle w:val="119"/>
              <w:keepNext w:val="0"/>
              <w:keepLines w:val="0"/>
              <w:pageBreakBefore w:val="0"/>
              <w:kinsoku/>
              <w:wordWrap/>
              <w:overflowPunct/>
              <w:topLinePunct w:val="0"/>
              <w:autoSpaceDE/>
              <w:autoSpaceDN/>
              <w:bidi w:val="0"/>
              <w:spacing w:line="520" w:lineRule="exact"/>
              <w:ind w:firstLine="482"/>
              <w:rPr>
                <w:b/>
                <w:bCs/>
                <w:color w:val="auto"/>
                <w:lang w:bidi="ar"/>
              </w:rPr>
            </w:pPr>
            <w:r>
              <w:rPr>
                <w:rFonts w:hint="eastAsia"/>
                <w:b/>
                <w:bCs/>
                <w:color w:val="auto"/>
                <w:lang w:val="en-US" w:eastAsia="zh-CN" w:bidi="ar"/>
              </w:rPr>
              <w:t>2.3</w:t>
            </w:r>
            <w:r>
              <w:rPr>
                <w:rFonts w:hint="eastAsia"/>
                <w:b/>
                <w:bCs/>
                <w:color w:val="auto"/>
                <w:lang w:bidi="ar"/>
              </w:rPr>
              <w:t>污水拉运管控措施和要求</w:t>
            </w:r>
          </w:p>
          <w:p>
            <w:pPr>
              <w:pStyle w:val="119"/>
              <w:keepNext w:val="0"/>
              <w:keepLines w:val="0"/>
              <w:pageBreakBefore w:val="0"/>
              <w:kinsoku/>
              <w:wordWrap/>
              <w:overflowPunct/>
              <w:topLinePunct w:val="0"/>
              <w:autoSpaceDE/>
              <w:autoSpaceDN/>
              <w:bidi w:val="0"/>
              <w:spacing w:line="520" w:lineRule="exact"/>
              <w:ind w:firstLine="480"/>
              <w:rPr>
                <w:color w:val="auto"/>
                <w:highlight w:val="none"/>
                <w:lang w:bidi="ar"/>
              </w:rPr>
            </w:pPr>
            <w:r>
              <w:rPr>
                <w:rFonts w:hint="eastAsia"/>
                <w:color w:val="auto"/>
                <w:lang w:bidi="ar"/>
              </w:rPr>
              <w:t>为确保厂区化粪池平稳运行避免污水存储过量，生活</w:t>
            </w:r>
            <w:r>
              <w:rPr>
                <w:rFonts w:hint="eastAsia"/>
                <w:color w:val="auto"/>
                <w:highlight w:val="none"/>
                <w:lang w:bidi="ar"/>
              </w:rPr>
              <w:t>污水正常拉运至</w:t>
            </w:r>
            <w:r>
              <w:rPr>
                <w:rFonts w:hint="eastAsia"/>
                <w:color w:val="auto"/>
                <w:highlight w:val="none"/>
                <w:lang w:val="en-US" w:eastAsia="zh-CN" w:bidi="ar"/>
              </w:rPr>
              <w:t>奎屯市中区</w:t>
            </w:r>
            <w:r>
              <w:rPr>
                <w:rFonts w:hint="eastAsia"/>
                <w:color w:val="auto"/>
                <w:highlight w:val="none"/>
                <w:lang w:bidi="ar"/>
              </w:rPr>
              <w:t>污水处理厂，现提出污水拉运管控措施和要求如下：</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color w:val="auto"/>
                <w:highlight w:val="none"/>
                <w:lang w:bidi="ar"/>
              </w:rPr>
              <w:t>①</w:t>
            </w:r>
            <w:r>
              <w:rPr>
                <w:rFonts w:hint="eastAsia"/>
                <w:color w:val="auto"/>
                <w:highlight w:val="none"/>
                <w:lang w:bidi="ar"/>
              </w:rPr>
              <w:t>单位应建立生活污水清运管理台账，</w:t>
            </w:r>
            <w:r>
              <w:rPr>
                <w:rFonts w:ascii="宋体" w:hAnsi="宋体" w:cs="宋体"/>
                <w:color w:val="auto"/>
                <w:highlight w:val="none"/>
              </w:rPr>
              <w:t>落实</w:t>
            </w:r>
            <w:r>
              <w:rPr>
                <w:rFonts w:hint="eastAsia" w:ascii="宋体" w:hAnsi="宋体" w:cs="宋体"/>
                <w:color w:val="auto"/>
                <w:highlight w:val="none"/>
              </w:rPr>
              <w:t>生活污水清运</w:t>
            </w:r>
            <w:r>
              <w:rPr>
                <w:rFonts w:ascii="宋体" w:hAnsi="宋体" w:cs="宋体"/>
                <w:color w:val="auto"/>
                <w:highlight w:val="none"/>
              </w:rPr>
              <w:t>管</w:t>
            </w:r>
            <w:r>
              <w:rPr>
                <w:rFonts w:ascii="宋体" w:hAnsi="宋体" w:cs="宋体"/>
                <w:color w:val="auto"/>
              </w:rPr>
              <w:t>理台账记录的责任人，明确工作职责</w:t>
            </w:r>
            <w:r>
              <w:rPr>
                <w:rFonts w:hint="eastAsia" w:ascii="宋体" w:hAnsi="宋体" w:cs="宋体"/>
                <w:color w:val="auto"/>
              </w:rPr>
              <w:t>。</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color w:val="auto"/>
                <w:lang w:bidi="ar"/>
              </w:rPr>
              <w:t>②</w:t>
            </w:r>
            <w:r>
              <w:rPr>
                <w:rFonts w:hint="eastAsia"/>
                <w:color w:val="auto"/>
                <w:lang w:bidi="ar"/>
              </w:rPr>
              <w:t>制定清运计划，包括清运时间、责任人、路线等。</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color w:val="auto"/>
                <w:lang w:bidi="ar"/>
              </w:rPr>
              <w:t>③</w:t>
            </w:r>
            <w:r>
              <w:rPr>
                <w:rFonts w:hint="eastAsia"/>
                <w:color w:val="auto"/>
                <w:lang w:bidi="ar"/>
              </w:rPr>
              <w:t>污水拉运应用专业吸污车，出车之前必须对车辆进行检查、维护，并根据清运计划要求完成清运任务和要求。</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color w:val="auto"/>
                <w:lang w:bidi="ar"/>
              </w:rPr>
              <w:t>④</w:t>
            </w:r>
            <w:r>
              <w:rPr>
                <w:rFonts w:hint="eastAsia"/>
                <w:color w:val="auto"/>
                <w:lang w:bidi="ar"/>
              </w:rPr>
              <w:t>污水拉运人员全面负责污水押运过程，从出车到卸污水，不得私自离开岗位。</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color w:val="auto"/>
                <w:lang w:bidi="ar"/>
              </w:rPr>
              <w:t>⑤</w:t>
            </w:r>
            <w:r>
              <w:rPr>
                <w:rFonts w:hint="eastAsia"/>
                <w:color w:val="auto"/>
                <w:lang w:bidi="ar"/>
              </w:rPr>
              <w:t>拉运过程中负责人需对污水拉运情况进行确认，包括：罐车车号、清运时间、拉运量、离场时间、押运人员姓名、接收回执单。</w:t>
            </w:r>
          </w:p>
          <w:p>
            <w:pPr>
              <w:pStyle w:val="119"/>
              <w:keepNext w:val="0"/>
              <w:keepLines w:val="0"/>
              <w:pageBreakBefore w:val="0"/>
              <w:kinsoku/>
              <w:wordWrap/>
              <w:overflowPunct/>
              <w:topLinePunct w:val="0"/>
              <w:autoSpaceDE/>
              <w:autoSpaceDN/>
              <w:bidi w:val="0"/>
              <w:spacing w:line="520" w:lineRule="exact"/>
              <w:ind w:firstLine="480"/>
              <w:rPr>
                <w:color w:val="auto"/>
                <w:lang w:bidi="ar"/>
              </w:rPr>
            </w:pPr>
            <w:r>
              <w:rPr>
                <w:color w:val="auto"/>
                <w:lang w:bidi="ar"/>
              </w:rPr>
              <w:t>⑥</w:t>
            </w:r>
            <w:r>
              <w:rPr>
                <w:rFonts w:hint="eastAsia"/>
                <w:color w:val="auto"/>
                <w:lang w:bidi="ar"/>
              </w:rPr>
              <w:t>确定负责人对化粪池状态进行监控，避免污水存储过量。</w:t>
            </w:r>
          </w:p>
          <w:p>
            <w:pPr>
              <w:widowControl/>
              <w:spacing w:line="520" w:lineRule="exact"/>
              <w:ind w:firstLine="482" w:firstLineChars="200"/>
              <w:rPr>
                <w:rFonts w:ascii="宋体" w:hAnsi="宋体" w:cs="宋体"/>
                <w:b/>
                <w:bCs/>
                <w:color w:val="auto"/>
                <w:sz w:val="24"/>
              </w:rPr>
            </w:pPr>
            <w:r>
              <w:rPr>
                <w:rFonts w:hint="eastAsia" w:ascii="宋体" w:hAnsi="宋体" w:cs="宋体"/>
                <w:b/>
                <w:bCs/>
                <w:color w:val="auto"/>
                <w:sz w:val="24"/>
              </w:rPr>
              <w:t>2.2废水排放监测计划</w:t>
            </w:r>
          </w:p>
          <w:p>
            <w:pPr>
              <w:spacing w:line="560" w:lineRule="exact"/>
              <w:ind w:firstLine="480" w:firstLineChars="200"/>
              <w:textAlignment w:val="baseline"/>
              <w:rPr>
                <w:color w:val="auto"/>
                <w:sz w:val="24"/>
              </w:rPr>
            </w:pPr>
            <w:r>
              <w:rPr>
                <w:color w:val="auto"/>
                <w:sz w:val="24"/>
              </w:rPr>
              <w:t>结合《排污单位自行监测技术指南 总则》（HJ819-2017）及</w:t>
            </w:r>
            <w:r>
              <w:rPr>
                <w:bCs/>
                <w:color w:val="auto"/>
                <w:sz w:val="24"/>
              </w:rPr>
              <w:t>《排污单位自行监测技术指南 水泥工业》(HJ848-2017</w:t>
            </w:r>
            <w:r>
              <w:rPr>
                <w:rFonts w:hint="eastAsia"/>
                <w:bCs/>
                <w:color w:val="auto"/>
                <w:sz w:val="24"/>
              </w:rPr>
              <w:t>）</w:t>
            </w:r>
            <w:r>
              <w:rPr>
                <w:color w:val="auto"/>
                <w:sz w:val="24"/>
              </w:rPr>
              <w:t>相关要求，</w:t>
            </w:r>
            <w:r>
              <w:rPr>
                <w:rFonts w:hint="eastAsia"/>
                <w:color w:val="auto"/>
                <w:sz w:val="24"/>
              </w:rPr>
              <w:t>废水监测计划</w:t>
            </w:r>
            <w:r>
              <w:rPr>
                <w:rFonts w:hint="eastAsia"/>
                <w:color w:val="auto"/>
                <w:sz w:val="24"/>
                <w:lang w:val="en-US" w:eastAsia="zh-CN"/>
              </w:rPr>
              <w:t>如下表</w:t>
            </w:r>
            <w:r>
              <w:rPr>
                <w:color w:val="auto"/>
                <w:sz w:val="24"/>
              </w:rPr>
              <w:t>。</w:t>
            </w:r>
          </w:p>
          <w:p>
            <w:pPr>
              <w:pStyle w:val="39"/>
              <w:bidi w:val="0"/>
              <w:rPr>
                <w:rFonts w:hint="default"/>
                <w:color w:val="auto"/>
                <w:lang w:val="en-US" w:eastAsia="zh-CN"/>
              </w:rPr>
            </w:pPr>
            <w:r>
              <w:rPr>
                <w:rFonts w:hint="eastAsia"/>
                <w:color w:val="auto"/>
                <w:lang w:val="en-US" w:eastAsia="zh-CN"/>
              </w:rPr>
              <w:t>表4-12   废水监测计划</w:t>
            </w:r>
          </w:p>
          <w:tbl>
            <w:tblPr>
              <w:tblStyle w:val="31"/>
              <w:tblW w:w="4999"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749"/>
              <w:gridCol w:w="27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pPr>
                    <w:pStyle w:val="38"/>
                    <w:bidi w:val="0"/>
                    <w:jc w:val="center"/>
                    <w:rPr>
                      <w:rFonts w:hint="default"/>
                      <w:color w:val="auto"/>
                      <w:lang w:val="en-US" w:eastAsia="zh-CN"/>
                    </w:rPr>
                  </w:pPr>
                  <w:r>
                    <w:rPr>
                      <w:rFonts w:hint="eastAsia"/>
                      <w:color w:val="auto"/>
                      <w:lang w:val="en-US" w:eastAsia="zh-CN"/>
                    </w:rPr>
                    <w:t>监测点位</w:t>
                  </w:r>
                </w:p>
              </w:tc>
              <w:tc>
                <w:tcPr>
                  <w:tcW w:w="1667" w:type="pct"/>
                  <w:vAlign w:val="center"/>
                </w:tcPr>
                <w:p>
                  <w:pPr>
                    <w:pStyle w:val="38"/>
                    <w:bidi w:val="0"/>
                    <w:jc w:val="center"/>
                    <w:rPr>
                      <w:rFonts w:hint="default"/>
                      <w:color w:val="auto"/>
                      <w:lang w:val="en-US" w:eastAsia="zh-CN"/>
                    </w:rPr>
                  </w:pPr>
                  <w:r>
                    <w:rPr>
                      <w:rFonts w:hint="eastAsia"/>
                      <w:color w:val="auto"/>
                      <w:lang w:val="en-US" w:eastAsia="zh-CN"/>
                    </w:rPr>
                    <w:t>监测指标</w:t>
                  </w:r>
                </w:p>
              </w:tc>
              <w:tc>
                <w:tcPr>
                  <w:tcW w:w="1667" w:type="pct"/>
                  <w:vAlign w:val="center"/>
                </w:tcPr>
                <w:p>
                  <w:pPr>
                    <w:pStyle w:val="38"/>
                    <w:bidi w:val="0"/>
                    <w:jc w:val="center"/>
                    <w:rPr>
                      <w:rFonts w:hint="default"/>
                      <w:color w:val="auto"/>
                      <w:lang w:val="en-US" w:eastAsia="zh-CN"/>
                    </w:rPr>
                  </w:pPr>
                  <w:r>
                    <w:rPr>
                      <w:rFonts w:hint="eastAsia"/>
                      <w:color w:val="auto"/>
                      <w:lang w:val="en-US" w:eastAsia="zh-CN"/>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vAlign w:val="center"/>
                </w:tcPr>
                <w:p>
                  <w:pPr>
                    <w:pStyle w:val="38"/>
                    <w:bidi w:val="0"/>
                    <w:jc w:val="center"/>
                    <w:rPr>
                      <w:rFonts w:hint="eastAsia"/>
                      <w:color w:val="auto"/>
                      <w:lang w:val="en-US" w:eastAsia="zh-CN"/>
                    </w:rPr>
                  </w:pPr>
                  <w:r>
                    <w:rPr>
                      <w:rFonts w:hint="eastAsia"/>
                      <w:color w:val="auto"/>
                      <w:lang w:val="en-US" w:eastAsia="zh-CN"/>
                    </w:rPr>
                    <w:t>化粪池</w:t>
                  </w:r>
                </w:p>
              </w:tc>
              <w:tc>
                <w:tcPr>
                  <w:tcW w:w="1667" w:type="pct"/>
                  <w:vAlign w:val="center"/>
                </w:tcPr>
                <w:p>
                  <w:pPr>
                    <w:pStyle w:val="38"/>
                    <w:bidi w:val="0"/>
                    <w:jc w:val="center"/>
                    <w:rPr>
                      <w:rFonts w:hint="default"/>
                      <w:color w:val="auto"/>
                      <w:lang w:val="en-US" w:eastAsia="zh-CN"/>
                    </w:rPr>
                  </w:pPr>
                  <w:r>
                    <w:rPr>
                      <w:rFonts w:hint="eastAsia"/>
                      <w:color w:val="auto"/>
                      <w:lang w:val="en-US" w:eastAsia="zh-CN"/>
                    </w:rPr>
                    <w:t>pH值、悬浮物、化学需氧量、五日生化需氧量、氨氮</w:t>
                  </w:r>
                </w:p>
              </w:tc>
              <w:tc>
                <w:tcPr>
                  <w:tcW w:w="1667" w:type="pct"/>
                  <w:vAlign w:val="center"/>
                </w:tcPr>
                <w:p>
                  <w:pPr>
                    <w:pStyle w:val="38"/>
                    <w:bidi w:val="0"/>
                    <w:jc w:val="center"/>
                    <w:rPr>
                      <w:rFonts w:hint="default"/>
                      <w:color w:val="auto"/>
                      <w:lang w:val="en-US" w:eastAsia="zh-CN"/>
                    </w:rPr>
                  </w:pPr>
                  <w:r>
                    <w:rPr>
                      <w:rFonts w:hint="eastAsia"/>
                      <w:color w:val="auto"/>
                      <w:lang w:val="en-US" w:eastAsia="zh-CN"/>
                    </w:rPr>
                    <w:t>一次/半年</w:t>
                  </w:r>
                </w:p>
              </w:tc>
            </w:tr>
          </w:tbl>
          <w:p>
            <w:pPr>
              <w:pStyle w:val="10"/>
              <w:numPr>
                <w:ilvl w:val="0"/>
                <w:numId w:val="0"/>
              </w:numPr>
              <w:tabs>
                <w:tab w:val="clear" w:pos="2040"/>
              </w:tabs>
              <w:ind w:left="1680" w:leftChars="0"/>
              <w:rPr>
                <w:color w:val="auto"/>
              </w:rPr>
            </w:pPr>
          </w:p>
          <w:p>
            <w:pPr>
              <w:pStyle w:val="9"/>
              <w:numPr>
                <w:ilvl w:val="0"/>
                <w:numId w:val="0"/>
              </w:numPr>
              <w:spacing w:before="0" w:after="0" w:line="520" w:lineRule="exact"/>
              <w:ind w:leftChars="200" w:right="0" w:rightChars="0"/>
              <w:rPr>
                <w:rFonts w:hint="eastAsia"/>
                <w:b/>
                <w:bCs/>
                <w:color w:val="auto"/>
                <w:kern w:val="2"/>
                <w:sz w:val="24"/>
                <w:szCs w:val="24"/>
              </w:rPr>
            </w:pPr>
            <w:r>
              <w:rPr>
                <w:rFonts w:hint="eastAsia"/>
                <w:b/>
                <w:bCs/>
                <w:color w:val="auto"/>
                <w:kern w:val="2"/>
                <w:sz w:val="24"/>
                <w:szCs w:val="24"/>
                <w:lang w:val="en-US" w:eastAsia="zh-CN"/>
              </w:rPr>
              <w:t>3、</w:t>
            </w:r>
            <w:r>
              <w:rPr>
                <w:rFonts w:hint="eastAsia"/>
                <w:b/>
                <w:bCs/>
                <w:color w:val="auto"/>
                <w:kern w:val="2"/>
                <w:sz w:val="24"/>
                <w:szCs w:val="24"/>
              </w:rPr>
              <w:t>声环境影响分析</w:t>
            </w:r>
          </w:p>
          <w:p>
            <w:pPr>
              <w:adjustRightInd w:val="0"/>
              <w:snapToGrid w:val="0"/>
              <w:spacing w:line="520" w:lineRule="exact"/>
              <w:ind w:firstLine="482" w:firstLineChars="200"/>
              <w:rPr>
                <w:b/>
                <w:bCs/>
                <w:color w:val="auto"/>
                <w:sz w:val="24"/>
              </w:rPr>
            </w:pPr>
            <w:r>
              <w:rPr>
                <w:rFonts w:hint="eastAsia"/>
                <w:b/>
                <w:bCs/>
                <w:color w:val="auto"/>
                <w:sz w:val="24"/>
              </w:rPr>
              <w:t>3</w:t>
            </w:r>
            <w:r>
              <w:rPr>
                <w:b/>
                <w:bCs/>
                <w:color w:val="auto"/>
                <w:sz w:val="24"/>
              </w:rPr>
              <w:t>.1</w:t>
            </w:r>
            <w:r>
              <w:rPr>
                <w:rFonts w:hint="eastAsia"/>
                <w:b/>
                <w:bCs/>
                <w:color w:val="auto"/>
                <w:sz w:val="24"/>
              </w:rPr>
              <w:t>噪声设备及噪声级</w:t>
            </w:r>
          </w:p>
          <w:p>
            <w:pPr>
              <w:adjustRightInd w:val="0"/>
              <w:snapToGrid w:val="0"/>
              <w:spacing w:line="520" w:lineRule="exact"/>
              <w:ind w:firstLine="480" w:firstLineChars="200"/>
              <w:rPr>
                <w:color w:val="auto"/>
                <w:sz w:val="24"/>
              </w:rPr>
            </w:pPr>
            <w:r>
              <w:rPr>
                <w:color w:val="auto"/>
                <w:sz w:val="24"/>
              </w:rPr>
              <w:t>运营期项目的噪声主要来源于</w:t>
            </w:r>
            <w:r>
              <w:rPr>
                <w:rFonts w:hint="eastAsia"/>
                <w:color w:val="auto"/>
                <w:sz w:val="24"/>
              </w:rPr>
              <w:t>输送机、搅拌机、水泵等设备</w:t>
            </w:r>
            <w:r>
              <w:rPr>
                <w:color w:val="auto"/>
                <w:sz w:val="24"/>
              </w:rPr>
              <w:t>运行时产生的噪声，其噪声源强在75~</w:t>
            </w:r>
            <w:r>
              <w:rPr>
                <w:rFonts w:hint="eastAsia"/>
                <w:color w:val="auto"/>
                <w:sz w:val="24"/>
              </w:rPr>
              <w:t>9</w:t>
            </w:r>
            <w:r>
              <w:rPr>
                <w:color w:val="auto"/>
                <w:sz w:val="24"/>
              </w:rPr>
              <w:t>5dB（A）之间，</w:t>
            </w:r>
            <w:r>
              <w:rPr>
                <w:rFonts w:hint="eastAsia"/>
                <w:color w:val="auto"/>
                <w:sz w:val="24"/>
              </w:rPr>
              <w:t>主要设备噪声源强见表4-1</w:t>
            </w:r>
            <w:r>
              <w:rPr>
                <w:rFonts w:hint="eastAsia"/>
                <w:color w:val="auto"/>
                <w:sz w:val="24"/>
                <w:lang w:val="en-US" w:eastAsia="zh-CN"/>
              </w:rPr>
              <w:t>3</w:t>
            </w:r>
            <w:r>
              <w:rPr>
                <w:rFonts w:hint="eastAsia"/>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4-1</w:t>
            </w:r>
            <w:r>
              <w:rPr>
                <w:rFonts w:hint="eastAsia" w:cs="Times New Roman"/>
                <w:b/>
                <w:color w:val="auto"/>
                <w:szCs w:val="21"/>
                <w:lang w:val="en-US" w:eastAsia="zh-CN"/>
              </w:rPr>
              <w:t>3</w:t>
            </w:r>
            <w:r>
              <w:rPr>
                <w:rFonts w:ascii="Times New Roman" w:hAnsi="Times New Roman" w:eastAsia="宋体" w:cs="Times New Roman"/>
                <w:b/>
                <w:color w:val="auto"/>
                <w:szCs w:val="21"/>
              </w:rPr>
              <w:t xml:space="preserve">    </w:t>
            </w:r>
            <w:r>
              <w:rPr>
                <w:rFonts w:hint="eastAsia" w:ascii="Times New Roman" w:hAnsi="Times New Roman" w:eastAsia="宋体" w:cs="Times New Roman"/>
                <w:b/>
                <w:color w:val="auto"/>
                <w:szCs w:val="21"/>
              </w:rPr>
              <w:t>主要噪声源一览表</w:t>
            </w:r>
          </w:p>
          <w:tbl>
            <w:tblPr>
              <w:tblStyle w:val="108"/>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120"/>
              <w:gridCol w:w="770"/>
              <w:gridCol w:w="770"/>
              <w:gridCol w:w="761"/>
              <w:gridCol w:w="1149"/>
              <w:gridCol w:w="1154"/>
              <w:gridCol w:w="9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2" w:type="pct"/>
                  <w:vMerge w:val="restart"/>
                  <w:vAlign w:val="center"/>
                </w:tcPr>
                <w:p>
                  <w:pPr>
                    <w:pStyle w:val="103"/>
                    <w:adjustRightInd w:val="0"/>
                    <w:snapToGrid w:val="0"/>
                    <w:ind w:left="0" w:leftChars="0" w:right="0" w:rightChars="0"/>
                    <w:rPr>
                      <w:color w:val="auto"/>
                    </w:rPr>
                  </w:pPr>
                  <w:bookmarkStart w:id="14" w:name="_Hlk116942997"/>
                  <w:r>
                    <w:rPr>
                      <w:rFonts w:hint="eastAsia"/>
                      <w:color w:val="auto"/>
                    </w:rPr>
                    <w:t>序号</w:t>
                  </w:r>
                </w:p>
              </w:tc>
              <w:tc>
                <w:tcPr>
                  <w:tcW w:w="1286" w:type="pct"/>
                  <w:vMerge w:val="restart"/>
                  <w:vAlign w:val="center"/>
                </w:tcPr>
                <w:p>
                  <w:pPr>
                    <w:pStyle w:val="103"/>
                    <w:adjustRightInd w:val="0"/>
                    <w:snapToGrid w:val="0"/>
                    <w:ind w:left="0" w:leftChars="0" w:right="0" w:rightChars="0"/>
                    <w:rPr>
                      <w:color w:val="auto"/>
                    </w:rPr>
                  </w:pPr>
                  <w:r>
                    <w:rPr>
                      <w:rFonts w:hint="eastAsia"/>
                      <w:color w:val="auto"/>
                    </w:rPr>
                    <w:t>声源名称</w:t>
                  </w:r>
                </w:p>
              </w:tc>
              <w:tc>
                <w:tcPr>
                  <w:tcW w:w="1396" w:type="pct"/>
                  <w:gridSpan w:val="3"/>
                  <w:vAlign w:val="center"/>
                </w:tcPr>
                <w:p>
                  <w:pPr>
                    <w:pStyle w:val="103"/>
                    <w:adjustRightInd w:val="0"/>
                    <w:snapToGrid w:val="0"/>
                    <w:ind w:left="0" w:leftChars="0" w:right="0" w:rightChars="0"/>
                    <w:rPr>
                      <w:color w:val="auto"/>
                    </w:rPr>
                  </w:pPr>
                  <w:r>
                    <w:rPr>
                      <w:rFonts w:hint="eastAsia"/>
                      <w:color w:val="auto"/>
                    </w:rPr>
                    <w:t>空间相对位置</w:t>
                  </w:r>
                  <w:r>
                    <w:rPr>
                      <w:color w:val="auto"/>
                    </w:rPr>
                    <w:t>/m</w:t>
                  </w:r>
                </w:p>
              </w:tc>
              <w:tc>
                <w:tcPr>
                  <w:tcW w:w="697" w:type="pct"/>
                  <w:vMerge w:val="restart"/>
                  <w:vAlign w:val="center"/>
                </w:tcPr>
                <w:p>
                  <w:pPr>
                    <w:pStyle w:val="103"/>
                    <w:adjustRightInd w:val="0"/>
                    <w:snapToGrid w:val="0"/>
                    <w:ind w:left="-105" w:leftChars="-50" w:right="-105" w:rightChars="-50"/>
                    <w:rPr>
                      <w:color w:val="auto"/>
                    </w:rPr>
                  </w:pPr>
                  <w:r>
                    <w:rPr>
                      <w:rFonts w:hint="eastAsia"/>
                      <w:color w:val="auto"/>
                    </w:rPr>
                    <w:t>声功率级/</w:t>
                  </w:r>
                  <w:r>
                    <w:rPr>
                      <w:color w:val="auto"/>
                    </w:rPr>
                    <w:t>dB（A）</w:t>
                  </w:r>
                </w:p>
              </w:tc>
              <w:tc>
                <w:tcPr>
                  <w:tcW w:w="700" w:type="pct"/>
                  <w:vMerge w:val="restart"/>
                  <w:vAlign w:val="center"/>
                </w:tcPr>
                <w:p>
                  <w:pPr>
                    <w:pStyle w:val="103"/>
                    <w:adjustRightInd w:val="0"/>
                    <w:snapToGrid w:val="0"/>
                    <w:ind w:left="0" w:leftChars="0" w:right="0" w:rightChars="0"/>
                    <w:rPr>
                      <w:color w:val="auto"/>
                    </w:rPr>
                  </w:pPr>
                  <w:r>
                    <w:rPr>
                      <w:rFonts w:hint="eastAsia"/>
                      <w:color w:val="auto"/>
                    </w:rPr>
                    <w:t>声源控制措施</w:t>
                  </w:r>
                </w:p>
              </w:tc>
              <w:tc>
                <w:tcPr>
                  <w:tcW w:w="547" w:type="pct"/>
                  <w:vMerge w:val="restart"/>
                  <w:vAlign w:val="center"/>
                </w:tcPr>
                <w:p>
                  <w:pPr>
                    <w:pStyle w:val="103"/>
                    <w:adjustRightInd w:val="0"/>
                    <w:snapToGrid w:val="0"/>
                    <w:ind w:left="0" w:leftChars="0" w:right="0" w:rightChars="0"/>
                    <w:rPr>
                      <w:color w:val="auto"/>
                    </w:rPr>
                  </w:pPr>
                  <w:r>
                    <w:rPr>
                      <w:rFonts w:hint="eastAsia"/>
                      <w:color w:val="auto"/>
                    </w:rPr>
                    <w:t>运行时段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2" w:type="pct"/>
                  <w:vMerge w:val="continue"/>
                  <w:vAlign w:val="center"/>
                </w:tcPr>
                <w:p>
                  <w:pPr>
                    <w:pStyle w:val="103"/>
                    <w:adjustRightInd w:val="0"/>
                    <w:snapToGrid w:val="0"/>
                    <w:ind w:left="0" w:leftChars="0" w:right="0" w:rightChars="0"/>
                    <w:rPr>
                      <w:color w:val="auto"/>
                    </w:rPr>
                  </w:pPr>
                </w:p>
              </w:tc>
              <w:tc>
                <w:tcPr>
                  <w:tcW w:w="1286" w:type="pct"/>
                  <w:vMerge w:val="continue"/>
                  <w:vAlign w:val="center"/>
                </w:tcPr>
                <w:p>
                  <w:pPr>
                    <w:pStyle w:val="103"/>
                    <w:adjustRightInd w:val="0"/>
                    <w:snapToGrid w:val="0"/>
                    <w:ind w:left="0" w:leftChars="0" w:right="0" w:rightChars="0"/>
                    <w:rPr>
                      <w:color w:val="auto"/>
                      <w:sz w:val="18"/>
                      <w:szCs w:val="18"/>
                    </w:rPr>
                  </w:pPr>
                </w:p>
              </w:tc>
              <w:tc>
                <w:tcPr>
                  <w:tcW w:w="467" w:type="pct"/>
                  <w:vAlign w:val="center"/>
                </w:tcPr>
                <w:p>
                  <w:pPr>
                    <w:pStyle w:val="103"/>
                    <w:adjustRightInd w:val="0"/>
                    <w:snapToGrid w:val="0"/>
                    <w:ind w:left="0" w:leftChars="0" w:right="0" w:rightChars="0"/>
                    <w:rPr>
                      <w:color w:val="auto"/>
                      <w:sz w:val="18"/>
                      <w:szCs w:val="18"/>
                    </w:rPr>
                  </w:pPr>
                  <w:r>
                    <w:rPr>
                      <w:color w:val="auto"/>
                      <w:sz w:val="18"/>
                      <w:szCs w:val="18"/>
                    </w:rPr>
                    <w:t>X</w:t>
                  </w:r>
                </w:p>
              </w:tc>
              <w:tc>
                <w:tcPr>
                  <w:tcW w:w="467" w:type="pct"/>
                  <w:vAlign w:val="center"/>
                </w:tcPr>
                <w:p>
                  <w:pPr>
                    <w:pStyle w:val="103"/>
                    <w:adjustRightInd w:val="0"/>
                    <w:snapToGrid w:val="0"/>
                    <w:ind w:left="0" w:leftChars="0" w:right="0" w:rightChars="0"/>
                    <w:rPr>
                      <w:color w:val="auto"/>
                      <w:sz w:val="18"/>
                      <w:szCs w:val="18"/>
                    </w:rPr>
                  </w:pPr>
                  <w:r>
                    <w:rPr>
                      <w:rFonts w:hint="eastAsia"/>
                      <w:color w:val="auto"/>
                      <w:sz w:val="18"/>
                      <w:szCs w:val="18"/>
                    </w:rPr>
                    <w:t>Y</w:t>
                  </w:r>
                </w:p>
              </w:tc>
              <w:tc>
                <w:tcPr>
                  <w:tcW w:w="461" w:type="pct"/>
                  <w:vAlign w:val="center"/>
                </w:tcPr>
                <w:p>
                  <w:pPr>
                    <w:pStyle w:val="103"/>
                    <w:adjustRightInd w:val="0"/>
                    <w:snapToGrid w:val="0"/>
                    <w:ind w:left="0" w:leftChars="0" w:right="0" w:rightChars="0"/>
                    <w:rPr>
                      <w:color w:val="auto"/>
                      <w:sz w:val="18"/>
                      <w:szCs w:val="18"/>
                    </w:rPr>
                  </w:pPr>
                  <w:r>
                    <w:rPr>
                      <w:rFonts w:hint="eastAsia"/>
                      <w:color w:val="auto"/>
                      <w:sz w:val="18"/>
                      <w:szCs w:val="18"/>
                    </w:rPr>
                    <w:t>Z</w:t>
                  </w:r>
                </w:p>
              </w:tc>
              <w:tc>
                <w:tcPr>
                  <w:tcW w:w="697" w:type="pct"/>
                  <w:vMerge w:val="continue"/>
                  <w:vAlign w:val="center"/>
                </w:tcPr>
                <w:p>
                  <w:pPr>
                    <w:pStyle w:val="103"/>
                    <w:adjustRightInd w:val="0"/>
                    <w:snapToGrid w:val="0"/>
                    <w:ind w:left="0" w:leftChars="0" w:right="0" w:rightChars="0"/>
                    <w:rPr>
                      <w:color w:val="auto"/>
                    </w:rPr>
                  </w:pPr>
                </w:p>
              </w:tc>
              <w:tc>
                <w:tcPr>
                  <w:tcW w:w="700" w:type="pct"/>
                  <w:vMerge w:val="continue"/>
                  <w:vAlign w:val="center"/>
                </w:tcPr>
                <w:p>
                  <w:pPr>
                    <w:pStyle w:val="103"/>
                    <w:adjustRightInd w:val="0"/>
                    <w:snapToGrid w:val="0"/>
                    <w:ind w:left="0" w:leftChars="0" w:right="0" w:rightChars="0"/>
                    <w:rPr>
                      <w:color w:val="auto"/>
                    </w:rPr>
                  </w:pPr>
                </w:p>
              </w:tc>
              <w:tc>
                <w:tcPr>
                  <w:tcW w:w="547" w:type="pct"/>
                  <w:vMerge w:val="continue"/>
                  <w:vAlign w:val="center"/>
                </w:tcPr>
                <w:p>
                  <w:pPr>
                    <w:pStyle w:val="103"/>
                    <w:adjustRightInd w:val="0"/>
                    <w:snapToGrid w:val="0"/>
                    <w:ind w:left="0" w:leftChars="0" w:right="0" w:rightChars="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2" w:type="pct"/>
                  <w:vAlign w:val="center"/>
                </w:tcPr>
                <w:p>
                  <w:pPr>
                    <w:pStyle w:val="103"/>
                    <w:adjustRightInd w:val="0"/>
                    <w:snapToGrid w:val="0"/>
                    <w:ind w:left="0" w:leftChars="0" w:right="0" w:rightChars="0"/>
                    <w:rPr>
                      <w:color w:val="auto"/>
                    </w:rPr>
                  </w:pPr>
                  <w:r>
                    <w:rPr>
                      <w:rFonts w:hint="eastAsia"/>
                      <w:color w:val="auto"/>
                    </w:rPr>
                    <w:t>1</w:t>
                  </w:r>
                </w:p>
              </w:tc>
              <w:tc>
                <w:tcPr>
                  <w:tcW w:w="1286" w:type="pct"/>
                  <w:vAlign w:val="center"/>
                </w:tcPr>
                <w:p>
                  <w:pPr>
                    <w:pStyle w:val="103"/>
                    <w:adjustRightInd w:val="0"/>
                    <w:snapToGrid w:val="0"/>
                    <w:ind w:left="0" w:leftChars="0" w:right="0" w:rightChars="0"/>
                    <w:rPr>
                      <w:color w:val="auto"/>
                    </w:rPr>
                  </w:pPr>
                  <w:r>
                    <w:rPr>
                      <w:rFonts w:hint="eastAsia"/>
                      <w:color w:val="auto"/>
                    </w:rPr>
                    <w:t>输送机</w:t>
                  </w:r>
                </w:p>
              </w:tc>
              <w:tc>
                <w:tcPr>
                  <w:tcW w:w="467" w:type="pct"/>
                  <w:vAlign w:val="center"/>
                </w:tcPr>
                <w:p>
                  <w:pPr>
                    <w:pStyle w:val="103"/>
                    <w:adjustRightInd w:val="0"/>
                    <w:snapToGrid w:val="0"/>
                    <w:ind w:left="0" w:leftChars="0" w:right="0" w:rightChars="0"/>
                    <w:rPr>
                      <w:color w:val="auto"/>
                    </w:rPr>
                  </w:pPr>
                  <w:r>
                    <w:rPr>
                      <w:rFonts w:hint="eastAsia"/>
                      <w:color w:val="auto"/>
                    </w:rPr>
                    <w:t>40</w:t>
                  </w:r>
                </w:p>
              </w:tc>
              <w:tc>
                <w:tcPr>
                  <w:tcW w:w="467" w:type="pct"/>
                  <w:vAlign w:val="center"/>
                </w:tcPr>
                <w:p>
                  <w:pPr>
                    <w:pStyle w:val="103"/>
                    <w:adjustRightInd w:val="0"/>
                    <w:snapToGrid w:val="0"/>
                    <w:ind w:left="0" w:leftChars="0" w:right="0" w:rightChars="0"/>
                    <w:rPr>
                      <w:color w:val="auto"/>
                    </w:rPr>
                  </w:pPr>
                  <w:r>
                    <w:rPr>
                      <w:rFonts w:hint="eastAsia"/>
                      <w:color w:val="auto"/>
                    </w:rPr>
                    <w:t>30</w:t>
                  </w:r>
                </w:p>
              </w:tc>
              <w:tc>
                <w:tcPr>
                  <w:tcW w:w="461" w:type="pct"/>
                  <w:vAlign w:val="center"/>
                </w:tcPr>
                <w:p>
                  <w:pPr>
                    <w:pStyle w:val="103"/>
                    <w:adjustRightInd w:val="0"/>
                    <w:snapToGrid w:val="0"/>
                    <w:ind w:left="0" w:leftChars="0" w:right="0" w:rightChars="0"/>
                    <w:rPr>
                      <w:color w:val="auto"/>
                    </w:rPr>
                  </w:pPr>
                  <w:r>
                    <w:rPr>
                      <w:color w:val="auto"/>
                    </w:rPr>
                    <w:t>0.5</w:t>
                  </w:r>
                </w:p>
              </w:tc>
              <w:tc>
                <w:tcPr>
                  <w:tcW w:w="697" w:type="pct"/>
                  <w:vAlign w:val="center"/>
                </w:tcPr>
                <w:p>
                  <w:pPr>
                    <w:pStyle w:val="103"/>
                    <w:adjustRightInd w:val="0"/>
                    <w:snapToGrid w:val="0"/>
                    <w:ind w:left="0" w:leftChars="0" w:right="0" w:rightChars="0"/>
                    <w:rPr>
                      <w:color w:val="auto"/>
                    </w:rPr>
                  </w:pPr>
                  <w:r>
                    <w:rPr>
                      <w:rFonts w:hint="eastAsia"/>
                      <w:color w:val="auto"/>
                    </w:rPr>
                    <w:t>80</w:t>
                  </w:r>
                </w:p>
              </w:tc>
              <w:tc>
                <w:tcPr>
                  <w:tcW w:w="700" w:type="pct"/>
                  <w:vMerge w:val="restart"/>
                  <w:vAlign w:val="center"/>
                </w:tcPr>
                <w:p>
                  <w:pPr>
                    <w:pStyle w:val="103"/>
                    <w:adjustRightInd w:val="0"/>
                    <w:snapToGrid w:val="0"/>
                    <w:ind w:left="0" w:leftChars="0" w:right="0" w:rightChars="0"/>
                    <w:rPr>
                      <w:color w:val="auto"/>
                    </w:rPr>
                  </w:pPr>
                  <w:r>
                    <w:rPr>
                      <w:rFonts w:hint="eastAsia"/>
                      <w:color w:val="auto"/>
                    </w:rPr>
                    <w:t>基础减振等选用低噪声设备</w:t>
                  </w:r>
                </w:p>
              </w:tc>
              <w:tc>
                <w:tcPr>
                  <w:tcW w:w="547" w:type="pct"/>
                  <w:vMerge w:val="restart"/>
                  <w:vAlign w:val="center"/>
                </w:tcPr>
                <w:p>
                  <w:pPr>
                    <w:pStyle w:val="103"/>
                    <w:adjustRightInd w:val="0"/>
                    <w:snapToGrid w:val="0"/>
                    <w:ind w:left="0" w:leftChars="0" w:right="0" w:rightChars="0"/>
                    <w:rPr>
                      <w:color w:val="auto"/>
                    </w:rPr>
                  </w:pPr>
                  <w:r>
                    <w:rPr>
                      <w:rFonts w:hint="eastAsia"/>
                      <w:color w:val="auto"/>
                    </w:rPr>
                    <w:t>白班8h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2" w:type="pct"/>
                  <w:vAlign w:val="center"/>
                </w:tcPr>
                <w:p>
                  <w:pPr>
                    <w:pStyle w:val="103"/>
                    <w:adjustRightInd w:val="0"/>
                    <w:snapToGrid w:val="0"/>
                    <w:ind w:left="0" w:leftChars="0" w:right="0" w:rightChars="0"/>
                    <w:rPr>
                      <w:color w:val="auto"/>
                    </w:rPr>
                  </w:pPr>
                  <w:r>
                    <w:rPr>
                      <w:rFonts w:hint="eastAsia"/>
                      <w:color w:val="auto"/>
                    </w:rPr>
                    <w:t>2</w:t>
                  </w:r>
                </w:p>
              </w:tc>
              <w:tc>
                <w:tcPr>
                  <w:tcW w:w="1286" w:type="pct"/>
                  <w:vAlign w:val="center"/>
                </w:tcPr>
                <w:p>
                  <w:pPr>
                    <w:pStyle w:val="103"/>
                    <w:adjustRightInd w:val="0"/>
                    <w:snapToGrid w:val="0"/>
                    <w:ind w:left="0" w:leftChars="0" w:right="0" w:rightChars="0"/>
                    <w:rPr>
                      <w:color w:val="auto"/>
                    </w:rPr>
                  </w:pPr>
                  <w:r>
                    <w:rPr>
                      <w:rFonts w:hint="eastAsia"/>
                      <w:color w:val="auto"/>
                    </w:rPr>
                    <w:t>输送机</w:t>
                  </w:r>
                </w:p>
              </w:tc>
              <w:tc>
                <w:tcPr>
                  <w:tcW w:w="467" w:type="pct"/>
                  <w:vAlign w:val="center"/>
                </w:tcPr>
                <w:p>
                  <w:pPr>
                    <w:pStyle w:val="103"/>
                    <w:adjustRightInd w:val="0"/>
                    <w:snapToGrid w:val="0"/>
                    <w:ind w:left="0" w:leftChars="0" w:right="0" w:rightChars="0"/>
                    <w:rPr>
                      <w:color w:val="auto"/>
                    </w:rPr>
                  </w:pPr>
                  <w:r>
                    <w:rPr>
                      <w:rFonts w:hint="eastAsia"/>
                      <w:color w:val="auto"/>
                    </w:rPr>
                    <w:t>50</w:t>
                  </w:r>
                </w:p>
              </w:tc>
              <w:tc>
                <w:tcPr>
                  <w:tcW w:w="467" w:type="pct"/>
                  <w:vAlign w:val="center"/>
                </w:tcPr>
                <w:p>
                  <w:pPr>
                    <w:pStyle w:val="103"/>
                    <w:adjustRightInd w:val="0"/>
                    <w:snapToGrid w:val="0"/>
                    <w:ind w:left="0" w:leftChars="0" w:right="0" w:rightChars="0"/>
                    <w:rPr>
                      <w:color w:val="auto"/>
                    </w:rPr>
                  </w:pPr>
                  <w:r>
                    <w:rPr>
                      <w:rFonts w:hint="eastAsia"/>
                      <w:color w:val="auto"/>
                    </w:rPr>
                    <w:t>30</w:t>
                  </w:r>
                </w:p>
              </w:tc>
              <w:tc>
                <w:tcPr>
                  <w:tcW w:w="461" w:type="pct"/>
                  <w:vAlign w:val="center"/>
                </w:tcPr>
                <w:p>
                  <w:pPr>
                    <w:pStyle w:val="103"/>
                    <w:adjustRightInd w:val="0"/>
                    <w:snapToGrid w:val="0"/>
                    <w:ind w:left="0" w:leftChars="0" w:right="0" w:rightChars="0"/>
                    <w:rPr>
                      <w:color w:val="auto"/>
                    </w:rPr>
                  </w:pPr>
                  <w:r>
                    <w:rPr>
                      <w:rFonts w:hint="eastAsia"/>
                      <w:color w:val="auto"/>
                    </w:rPr>
                    <w:t>0.5</w:t>
                  </w:r>
                </w:p>
              </w:tc>
              <w:tc>
                <w:tcPr>
                  <w:tcW w:w="697" w:type="pct"/>
                  <w:vAlign w:val="center"/>
                </w:tcPr>
                <w:p>
                  <w:pPr>
                    <w:pStyle w:val="103"/>
                    <w:adjustRightInd w:val="0"/>
                    <w:snapToGrid w:val="0"/>
                    <w:ind w:left="0" w:leftChars="0" w:right="0" w:rightChars="0"/>
                    <w:rPr>
                      <w:color w:val="auto"/>
                    </w:rPr>
                  </w:pPr>
                  <w:r>
                    <w:rPr>
                      <w:rFonts w:hint="eastAsia"/>
                      <w:color w:val="auto"/>
                    </w:rPr>
                    <w:t>80</w:t>
                  </w:r>
                </w:p>
              </w:tc>
              <w:tc>
                <w:tcPr>
                  <w:tcW w:w="700" w:type="pct"/>
                  <w:vMerge w:val="continue"/>
                  <w:vAlign w:val="center"/>
                </w:tcPr>
                <w:p>
                  <w:pPr>
                    <w:pStyle w:val="103"/>
                    <w:adjustRightInd w:val="0"/>
                    <w:snapToGrid w:val="0"/>
                    <w:ind w:left="0" w:leftChars="0" w:right="0" w:rightChars="0"/>
                    <w:rPr>
                      <w:color w:val="auto"/>
                    </w:rPr>
                  </w:pPr>
                </w:p>
              </w:tc>
              <w:tc>
                <w:tcPr>
                  <w:tcW w:w="547" w:type="pct"/>
                  <w:vMerge w:val="continue"/>
                  <w:vAlign w:val="center"/>
                </w:tcPr>
                <w:p>
                  <w:pPr>
                    <w:pStyle w:val="103"/>
                    <w:adjustRightInd w:val="0"/>
                    <w:snapToGrid w:val="0"/>
                    <w:ind w:left="0" w:leftChars="0" w:right="0" w:rightChars="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2" w:type="pct"/>
                  <w:vAlign w:val="center"/>
                </w:tcPr>
                <w:p>
                  <w:pPr>
                    <w:pStyle w:val="103"/>
                    <w:adjustRightInd w:val="0"/>
                    <w:snapToGrid w:val="0"/>
                    <w:ind w:left="0" w:leftChars="0" w:right="0" w:rightChars="0"/>
                    <w:rPr>
                      <w:color w:val="auto"/>
                    </w:rPr>
                  </w:pPr>
                  <w:r>
                    <w:rPr>
                      <w:rFonts w:hint="eastAsia"/>
                      <w:color w:val="auto"/>
                    </w:rPr>
                    <w:t>3</w:t>
                  </w:r>
                </w:p>
              </w:tc>
              <w:tc>
                <w:tcPr>
                  <w:tcW w:w="1286" w:type="pct"/>
                  <w:vAlign w:val="center"/>
                </w:tcPr>
                <w:p>
                  <w:pPr>
                    <w:pStyle w:val="103"/>
                    <w:adjustRightInd w:val="0"/>
                    <w:snapToGrid w:val="0"/>
                    <w:ind w:left="0" w:leftChars="0" w:right="0" w:rightChars="0"/>
                    <w:rPr>
                      <w:color w:val="auto"/>
                    </w:rPr>
                  </w:pPr>
                  <w:r>
                    <w:rPr>
                      <w:rFonts w:hint="eastAsia"/>
                      <w:color w:val="auto"/>
                    </w:rPr>
                    <w:t>搅拌设备</w:t>
                  </w:r>
                </w:p>
              </w:tc>
              <w:tc>
                <w:tcPr>
                  <w:tcW w:w="467" w:type="pct"/>
                  <w:vAlign w:val="center"/>
                </w:tcPr>
                <w:p>
                  <w:pPr>
                    <w:pStyle w:val="103"/>
                    <w:adjustRightInd w:val="0"/>
                    <w:snapToGrid w:val="0"/>
                    <w:ind w:left="0" w:leftChars="0" w:right="0" w:rightChars="0"/>
                    <w:rPr>
                      <w:color w:val="auto"/>
                    </w:rPr>
                  </w:pPr>
                  <w:r>
                    <w:rPr>
                      <w:rFonts w:hint="eastAsia"/>
                      <w:color w:val="auto"/>
                    </w:rPr>
                    <w:t>70</w:t>
                  </w:r>
                </w:p>
              </w:tc>
              <w:tc>
                <w:tcPr>
                  <w:tcW w:w="467" w:type="pct"/>
                  <w:vAlign w:val="center"/>
                </w:tcPr>
                <w:p>
                  <w:pPr>
                    <w:pStyle w:val="103"/>
                    <w:adjustRightInd w:val="0"/>
                    <w:snapToGrid w:val="0"/>
                    <w:ind w:left="0" w:leftChars="0" w:right="0" w:rightChars="0"/>
                    <w:rPr>
                      <w:color w:val="auto"/>
                    </w:rPr>
                  </w:pPr>
                  <w:r>
                    <w:rPr>
                      <w:rFonts w:hint="eastAsia"/>
                      <w:color w:val="auto"/>
                    </w:rPr>
                    <w:t>30</w:t>
                  </w:r>
                </w:p>
              </w:tc>
              <w:tc>
                <w:tcPr>
                  <w:tcW w:w="461" w:type="pct"/>
                  <w:vAlign w:val="center"/>
                </w:tcPr>
                <w:p>
                  <w:pPr>
                    <w:pStyle w:val="103"/>
                    <w:adjustRightInd w:val="0"/>
                    <w:snapToGrid w:val="0"/>
                    <w:ind w:left="0" w:leftChars="0" w:right="0" w:rightChars="0"/>
                    <w:rPr>
                      <w:color w:val="auto"/>
                    </w:rPr>
                  </w:pPr>
                  <w:r>
                    <w:rPr>
                      <w:rFonts w:hint="eastAsia"/>
                      <w:color w:val="auto"/>
                    </w:rPr>
                    <w:t>0.5</w:t>
                  </w:r>
                </w:p>
              </w:tc>
              <w:tc>
                <w:tcPr>
                  <w:tcW w:w="697" w:type="pct"/>
                  <w:vAlign w:val="center"/>
                </w:tcPr>
                <w:p>
                  <w:pPr>
                    <w:pStyle w:val="103"/>
                    <w:adjustRightInd w:val="0"/>
                    <w:snapToGrid w:val="0"/>
                    <w:ind w:left="0" w:leftChars="0" w:right="0" w:rightChars="0"/>
                    <w:rPr>
                      <w:color w:val="auto"/>
                    </w:rPr>
                  </w:pPr>
                  <w:r>
                    <w:rPr>
                      <w:rFonts w:hint="eastAsia"/>
                      <w:color w:val="auto"/>
                    </w:rPr>
                    <w:t>85</w:t>
                  </w:r>
                </w:p>
              </w:tc>
              <w:tc>
                <w:tcPr>
                  <w:tcW w:w="700" w:type="pct"/>
                  <w:vMerge w:val="continue"/>
                  <w:vAlign w:val="center"/>
                </w:tcPr>
                <w:p>
                  <w:pPr>
                    <w:pStyle w:val="103"/>
                    <w:adjustRightInd w:val="0"/>
                    <w:snapToGrid w:val="0"/>
                    <w:ind w:left="0" w:leftChars="0" w:right="0" w:rightChars="0"/>
                    <w:rPr>
                      <w:color w:val="auto"/>
                    </w:rPr>
                  </w:pPr>
                </w:p>
              </w:tc>
              <w:tc>
                <w:tcPr>
                  <w:tcW w:w="547" w:type="pct"/>
                  <w:vMerge w:val="continue"/>
                  <w:vAlign w:val="center"/>
                </w:tcPr>
                <w:p>
                  <w:pPr>
                    <w:pStyle w:val="103"/>
                    <w:adjustRightInd w:val="0"/>
                    <w:snapToGrid w:val="0"/>
                    <w:ind w:left="0" w:leftChars="0" w:right="0" w:rightChars="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2" w:type="pct"/>
                  <w:vAlign w:val="center"/>
                </w:tcPr>
                <w:p>
                  <w:pPr>
                    <w:pStyle w:val="103"/>
                    <w:adjustRightInd w:val="0"/>
                    <w:snapToGrid w:val="0"/>
                    <w:ind w:left="0" w:leftChars="0" w:right="0" w:rightChars="0"/>
                    <w:rPr>
                      <w:color w:val="auto"/>
                    </w:rPr>
                  </w:pPr>
                  <w:r>
                    <w:rPr>
                      <w:rFonts w:hint="eastAsia"/>
                      <w:color w:val="auto"/>
                    </w:rPr>
                    <w:t>4</w:t>
                  </w:r>
                </w:p>
              </w:tc>
              <w:tc>
                <w:tcPr>
                  <w:tcW w:w="1286" w:type="pct"/>
                  <w:vAlign w:val="center"/>
                </w:tcPr>
                <w:p>
                  <w:pPr>
                    <w:pStyle w:val="103"/>
                    <w:adjustRightInd w:val="0"/>
                    <w:snapToGrid w:val="0"/>
                    <w:ind w:left="0" w:leftChars="0" w:right="0" w:rightChars="0"/>
                    <w:rPr>
                      <w:color w:val="auto"/>
                    </w:rPr>
                  </w:pPr>
                  <w:r>
                    <w:rPr>
                      <w:rFonts w:hint="eastAsia"/>
                      <w:color w:val="auto"/>
                    </w:rPr>
                    <w:t>搅拌设备</w:t>
                  </w:r>
                </w:p>
              </w:tc>
              <w:tc>
                <w:tcPr>
                  <w:tcW w:w="467" w:type="pct"/>
                  <w:vAlign w:val="center"/>
                </w:tcPr>
                <w:p>
                  <w:pPr>
                    <w:pStyle w:val="103"/>
                    <w:adjustRightInd w:val="0"/>
                    <w:snapToGrid w:val="0"/>
                    <w:ind w:left="0" w:leftChars="0" w:right="0" w:rightChars="0"/>
                    <w:rPr>
                      <w:color w:val="auto"/>
                    </w:rPr>
                  </w:pPr>
                  <w:r>
                    <w:rPr>
                      <w:rFonts w:hint="eastAsia"/>
                      <w:color w:val="auto"/>
                    </w:rPr>
                    <w:t>90</w:t>
                  </w:r>
                </w:p>
              </w:tc>
              <w:tc>
                <w:tcPr>
                  <w:tcW w:w="467" w:type="pct"/>
                  <w:vAlign w:val="center"/>
                </w:tcPr>
                <w:p>
                  <w:pPr>
                    <w:pStyle w:val="103"/>
                    <w:adjustRightInd w:val="0"/>
                    <w:snapToGrid w:val="0"/>
                    <w:ind w:left="0" w:leftChars="0" w:right="0" w:rightChars="0"/>
                    <w:rPr>
                      <w:color w:val="auto"/>
                    </w:rPr>
                  </w:pPr>
                  <w:r>
                    <w:rPr>
                      <w:rFonts w:hint="eastAsia"/>
                      <w:color w:val="auto"/>
                    </w:rPr>
                    <w:t>30</w:t>
                  </w:r>
                </w:p>
              </w:tc>
              <w:tc>
                <w:tcPr>
                  <w:tcW w:w="461" w:type="pct"/>
                  <w:vAlign w:val="center"/>
                </w:tcPr>
                <w:p>
                  <w:pPr>
                    <w:pStyle w:val="103"/>
                    <w:adjustRightInd w:val="0"/>
                    <w:snapToGrid w:val="0"/>
                    <w:ind w:left="0" w:leftChars="0" w:right="0" w:rightChars="0"/>
                    <w:rPr>
                      <w:color w:val="auto"/>
                    </w:rPr>
                  </w:pPr>
                  <w:r>
                    <w:rPr>
                      <w:rFonts w:hint="eastAsia"/>
                      <w:color w:val="auto"/>
                    </w:rPr>
                    <w:t>0</w:t>
                  </w:r>
                  <w:r>
                    <w:rPr>
                      <w:color w:val="auto"/>
                    </w:rPr>
                    <w:t>.5</w:t>
                  </w:r>
                </w:p>
              </w:tc>
              <w:tc>
                <w:tcPr>
                  <w:tcW w:w="697" w:type="pct"/>
                  <w:vAlign w:val="center"/>
                </w:tcPr>
                <w:p>
                  <w:pPr>
                    <w:pStyle w:val="103"/>
                    <w:adjustRightInd w:val="0"/>
                    <w:snapToGrid w:val="0"/>
                    <w:ind w:left="0" w:leftChars="0" w:right="0" w:rightChars="0"/>
                    <w:rPr>
                      <w:color w:val="auto"/>
                    </w:rPr>
                  </w:pPr>
                  <w:r>
                    <w:rPr>
                      <w:rFonts w:hint="eastAsia"/>
                      <w:color w:val="auto"/>
                    </w:rPr>
                    <w:t>85</w:t>
                  </w:r>
                </w:p>
              </w:tc>
              <w:tc>
                <w:tcPr>
                  <w:tcW w:w="700" w:type="pct"/>
                  <w:vMerge w:val="continue"/>
                  <w:vAlign w:val="center"/>
                </w:tcPr>
                <w:p>
                  <w:pPr>
                    <w:pStyle w:val="103"/>
                    <w:adjustRightInd w:val="0"/>
                    <w:snapToGrid w:val="0"/>
                    <w:ind w:left="0" w:leftChars="0" w:right="0" w:rightChars="0"/>
                    <w:rPr>
                      <w:color w:val="auto"/>
                    </w:rPr>
                  </w:pPr>
                </w:p>
              </w:tc>
              <w:tc>
                <w:tcPr>
                  <w:tcW w:w="547" w:type="pct"/>
                  <w:vMerge w:val="continue"/>
                  <w:vAlign w:val="center"/>
                </w:tcPr>
                <w:p>
                  <w:pPr>
                    <w:pStyle w:val="103"/>
                    <w:adjustRightInd w:val="0"/>
                    <w:snapToGrid w:val="0"/>
                    <w:ind w:left="0" w:leftChars="0" w:right="0" w:rightChars="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2" w:type="pct"/>
                  <w:vAlign w:val="center"/>
                </w:tcPr>
                <w:p>
                  <w:pPr>
                    <w:pStyle w:val="103"/>
                    <w:adjustRightInd w:val="0"/>
                    <w:snapToGrid w:val="0"/>
                    <w:ind w:left="0" w:leftChars="0" w:right="0" w:rightChars="0"/>
                    <w:rPr>
                      <w:color w:val="auto"/>
                    </w:rPr>
                  </w:pPr>
                  <w:r>
                    <w:rPr>
                      <w:rFonts w:hint="eastAsia"/>
                      <w:color w:val="auto"/>
                    </w:rPr>
                    <w:t>5</w:t>
                  </w:r>
                </w:p>
              </w:tc>
              <w:tc>
                <w:tcPr>
                  <w:tcW w:w="1286" w:type="pct"/>
                  <w:vAlign w:val="center"/>
                </w:tcPr>
                <w:p>
                  <w:pPr>
                    <w:pStyle w:val="103"/>
                    <w:adjustRightInd w:val="0"/>
                    <w:snapToGrid w:val="0"/>
                    <w:ind w:left="0" w:leftChars="0" w:right="0" w:rightChars="0"/>
                    <w:rPr>
                      <w:color w:val="auto"/>
                    </w:rPr>
                  </w:pPr>
                  <w:r>
                    <w:rPr>
                      <w:rFonts w:hint="eastAsia"/>
                      <w:color w:val="auto"/>
                    </w:rPr>
                    <w:t>水泵</w:t>
                  </w:r>
                </w:p>
              </w:tc>
              <w:tc>
                <w:tcPr>
                  <w:tcW w:w="467" w:type="pct"/>
                  <w:vAlign w:val="center"/>
                </w:tcPr>
                <w:p>
                  <w:pPr>
                    <w:pStyle w:val="103"/>
                    <w:adjustRightInd w:val="0"/>
                    <w:snapToGrid w:val="0"/>
                    <w:ind w:left="0" w:leftChars="0" w:right="0" w:rightChars="0"/>
                    <w:rPr>
                      <w:color w:val="auto"/>
                    </w:rPr>
                  </w:pPr>
                  <w:r>
                    <w:rPr>
                      <w:rFonts w:hint="eastAsia"/>
                      <w:color w:val="auto"/>
                    </w:rPr>
                    <w:t>90</w:t>
                  </w:r>
                </w:p>
              </w:tc>
              <w:tc>
                <w:tcPr>
                  <w:tcW w:w="467" w:type="pct"/>
                  <w:vAlign w:val="center"/>
                </w:tcPr>
                <w:p>
                  <w:pPr>
                    <w:pStyle w:val="103"/>
                    <w:adjustRightInd w:val="0"/>
                    <w:snapToGrid w:val="0"/>
                    <w:ind w:left="0" w:leftChars="0" w:right="0" w:rightChars="0"/>
                    <w:rPr>
                      <w:color w:val="auto"/>
                    </w:rPr>
                  </w:pPr>
                  <w:r>
                    <w:rPr>
                      <w:rFonts w:hint="eastAsia"/>
                      <w:color w:val="auto"/>
                    </w:rPr>
                    <w:t>5</w:t>
                  </w:r>
                </w:p>
              </w:tc>
              <w:tc>
                <w:tcPr>
                  <w:tcW w:w="461" w:type="pct"/>
                  <w:vAlign w:val="center"/>
                </w:tcPr>
                <w:p>
                  <w:pPr>
                    <w:pStyle w:val="103"/>
                    <w:adjustRightInd w:val="0"/>
                    <w:snapToGrid w:val="0"/>
                    <w:ind w:left="0" w:leftChars="0" w:right="0" w:rightChars="0"/>
                    <w:rPr>
                      <w:color w:val="auto"/>
                    </w:rPr>
                  </w:pPr>
                  <w:r>
                    <w:rPr>
                      <w:rFonts w:hint="eastAsia"/>
                      <w:color w:val="auto"/>
                    </w:rPr>
                    <w:t>0.5</w:t>
                  </w:r>
                </w:p>
              </w:tc>
              <w:tc>
                <w:tcPr>
                  <w:tcW w:w="697" w:type="pct"/>
                  <w:vAlign w:val="center"/>
                </w:tcPr>
                <w:p>
                  <w:pPr>
                    <w:pStyle w:val="103"/>
                    <w:adjustRightInd w:val="0"/>
                    <w:snapToGrid w:val="0"/>
                    <w:ind w:left="0" w:leftChars="0" w:right="0" w:rightChars="0"/>
                    <w:rPr>
                      <w:color w:val="auto"/>
                    </w:rPr>
                  </w:pPr>
                  <w:r>
                    <w:rPr>
                      <w:rFonts w:hint="eastAsia"/>
                      <w:color w:val="auto"/>
                    </w:rPr>
                    <w:t>95</w:t>
                  </w:r>
                </w:p>
              </w:tc>
              <w:tc>
                <w:tcPr>
                  <w:tcW w:w="700" w:type="pct"/>
                  <w:vMerge w:val="continue"/>
                  <w:vAlign w:val="center"/>
                </w:tcPr>
                <w:p>
                  <w:pPr>
                    <w:pStyle w:val="103"/>
                    <w:adjustRightInd w:val="0"/>
                    <w:snapToGrid w:val="0"/>
                    <w:ind w:left="0" w:leftChars="0" w:right="0" w:rightChars="0"/>
                    <w:rPr>
                      <w:color w:val="auto"/>
                    </w:rPr>
                  </w:pPr>
                </w:p>
              </w:tc>
              <w:tc>
                <w:tcPr>
                  <w:tcW w:w="547" w:type="pct"/>
                  <w:vMerge w:val="continue"/>
                  <w:vAlign w:val="center"/>
                </w:tcPr>
                <w:p>
                  <w:pPr>
                    <w:pStyle w:val="103"/>
                    <w:adjustRightInd w:val="0"/>
                    <w:snapToGrid w:val="0"/>
                    <w:ind w:left="0" w:leftChars="0" w:right="0" w:rightChars="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372" w:type="pct"/>
                  <w:vAlign w:val="center"/>
                </w:tcPr>
                <w:p>
                  <w:pPr>
                    <w:pStyle w:val="103"/>
                    <w:adjustRightInd w:val="0"/>
                    <w:snapToGrid w:val="0"/>
                    <w:ind w:left="0" w:leftChars="0" w:right="0" w:rightChars="0"/>
                    <w:rPr>
                      <w:color w:val="auto"/>
                    </w:rPr>
                  </w:pPr>
                  <w:r>
                    <w:rPr>
                      <w:rFonts w:hint="eastAsia"/>
                      <w:color w:val="auto"/>
                    </w:rPr>
                    <w:t>6</w:t>
                  </w:r>
                </w:p>
              </w:tc>
              <w:tc>
                <w:tcPr>
                  <w:tcW w:w="1286" w:type="pct"/>
                  <w:vAlign w:val="center"/>
                </w:tcPr>
                <w:p>
                  <w:pPr>
                    <w:pStyle w:val="103"/>
                    <w:adjustRightInd w:val="0"/>
                    <w:snapToGrid w:val="0"/>
                    <w:ind w:left="0" w:leftChars="0" w:right="0" w:rightChars="0"/>
                    <w:rPr>
                      <w:color w:val="auto"/>
                    </w:rPr>
                  </w:pPr>
                  <w:r>
                    <w:rPr>
                      <w:rFonts w:hint="eastAsia"/>
                      <w:color w:val="auto"/>
                    </w:rPr>
                    <w:t>混凝土输送泵</w:t>
                  </w:r>
                </w:p>
              </w:tc>
              <w:tc>
                <w:tcPr>
                  <w:tcW w:w="467" w:type="pct"/>
                  <w:vAlign w:val="center"/>
                </w:tcPr>
                <w:p>
                  <w:pPr>
                    <w:pStyle w:val="103"/>
                    <w:adjustRightInd w:val="0"/>
                    <w:snapToGrid w:val="0"/>
                    <w:ind w:left="0" w:leftChars="0" w:right="0" w:rightChars="0"/>
                    <w:rPr>
                      <w:color w:val="auto"/>
                    </w:rPr>
                  </w:pPr>
                  <w:r>
                    <w:rPr>
                      <w:rFonts w:hint="eastAsia"/>
                      <w:color w:val="auto"/>
                    </w:rPr>
                    <w:t>65</w:t>
                  </w:r>
                </w:p>
              </w:tc>
              <w:tc>
                <w:tcPr>
                  <w:tcW w:w="467" w:type="pct"/>
                  <w:vAlign w:val="center"/>
                </w:tcPr>
                <w:p>
                  <w:pPr>
                    <w:pStyle w:val="103"/>
                    <w:adjustRightInd w:val="0"/>
                    <w:snapToGrid w:val="0"/>
                    <w:ind w:left="0" w:leftChars="0" w:right="0" w:rightChars="0"/>
                    <w:rPr>
                      <w:color w:val="auto"/>
                    </w:rPr>
                  </w:pPr>
                  <w:r>
                    <w:rPr>
                      <w:rFonts w:hint="eastAsia"/>
                      <w:color w:val="auto"/>
                    </w:rPr>
                    <w:t>45</w:t>
                  </w:r>
                </w:p>
              </w:tc>
              <w:tc>
                <w:tcPr>
                  <w:tcW w:w="461" w:type="pct"/>
                  <w:vAlign w:val="center"/>
                </w:tcPr>
                <w:p>
                  <w:pPr>
                    <w:pStyle w:val="103"/>
                    <w:adjustRightInd w:val="0"/>
                    <w:snapToGrid w:val="0"/>
                    <w:ind w:left="0" w:leftChars="0" w:right="0" w:rightChars="0"/>
                    <w:rPr>
                      <w:color w:val="auto"/>
                    </w:rPr>
                  </w:pPr>
                  <w:r>
                    <w:rPr>
                      <w:rFonts w:hint="eastAsia"/>
                      <w:color w:val="auto"/>
                    </w:rPr>
                    <w:t>0.5</w:t>
                  </w:r>
                </w:p>
              </w:tc>
              <w:tc>
                <w:tcPr>
                  <w:tcW w:w="697" w:type="pct"/>
                  <w:vAlign w:val="center"/>
                </w:tcPr>
                <w:p>
                  <w:pPr>
                    <w:pStyle w:val="103"/>
                    <w:adjustRightInd w:val="0"/>
                    <w:snapToGrid w:val="0"/>
                    <w:ind w:left="0" w:leftChars="0" w:right="0" w:rightChars="0"/>
                    <w:rPr>
                      <w:color w:val="auto"/>
                    </w:rPr>
                  </w:pPr>
                  <w:r>
                    <w:rPr>
                      <w:rFonts w:hint="eastAsia"/>
                      <w:color w:val="auto"/>
                    </w:rPr>
                    <w:t>95</w:t>
                  </w:r>
                </w:p>
              </w:tc>
              <w:tc>
                <w:tcPr>
                  <w:tcW w:w="700" w:type="pct"/>
                  <w:vMerge w:val="continue"/>
                  <w:vAlign w:val="center"/>
                </w:tcPr>
                <w:p>
                  <w:pPr>
                    <w:pStyle w:val="103"/>
                    <w:adjustRightInd w:val="0"/>
                    <w:snapToGrid w:val="0"/>
                    <w:ind w:left="0" w:leftChars="0" w:right="0" w:rightChars="0"/>
                    <w:rPr>
                      <w:color w:val="auto"/>
                    </w:rPr>
                  </w:pPr>
                </w:p>
              </w:tc>
              <w:tc>
                <w:tcPr>
                  <w:tcW w:w="547" w:type="pct"/>
                  <w:vMerge w:val="continue"/>
                  <w:vAlign w:val="center"/>
                </w:tcPr>
                <w:p>
                  <w:pPr>
                    <w:pStyle w:val="103"/>
                    <w:adjustRightInd w:val="0"/>
                    <w:snapToGrid w:val="0"/>
                    <w:ind w:left="0" w:leftChars="0" w:right="0" w:rightChars="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72" w:type="pct"/>
                  <w:vAlign w:val="center"/>
                </w:tcPr>
                <w:p>
                  <w:pPr>
                    <w:pStyle w:val="103"/>
                    <w:adjustRightInd w:val="0"/>
                    <w:snapToGrid w:val="0"/>
                    <w:ind w:left="0" w:leftChars="0" w:right="0" w:rightChars="0"/>
                    <w:rPr>
                      <w:color w:val="auto"/>
                    </w:rPr>
                  </w:pPr>
                  <w:r>
                    <w:rPr>
                      <w:rFonts w:hint="eastAsia"/>
                      <w:color w:val="auto"/>
                    </w:rPr>
                    <w:t>7</w:t>
                  </w:r>
                </w:p>
              </w:tc>
              <w:tc>
                <w:tcPr>
                  <w:tcW w:w="1286" w:type="pct"/>
                  <w:vAlign w:val="center"/>
                </w:tcPr>
                <w:p>
                  <w:pPr>
                    <w:pStyle w:val="103"/>
                    <w:adjustRightInd w:val="0"/>
                    <w:snapToGrid w:val="0"/>
                    <w:ind w:left="0" w:leftChars="0" w:right="0" w:rightChars="0"/>
                    <w:rPr>
                      <w:color w:val="auto"/>
                    </w:rPr>
                  </w:pPr>
                  <w:r>
                    <w:rPr>
                      <w:rFonts w:hint="eastAsia"/>
                      <w:color w:val="auto"/>
                    </w:rPr>
                    <w:t>混凝土输送泵</w:t>
                  </w:r>
                </w:p>
              </w:tc>
              <w:tc>
                <w:tcPr>
                  <w:tcW w:w="467" w:type="pct"/>
                  <w:vAlign w:val="center"/>
                </w:tcPr>
                <w:p>
                  <w:pPr>
                    <w:pStyle w:val="103"/>
                    <w:adjustRightInd w:val="0"/>
                    <w:snapToGrid w:val="0"/>
                    <w:ind w:left="0" w:leftChars="0" w:right="0" w:rightChars="0"/>
                    <w:rPr>
                      <w:color w:val="auto"/>
                    </w:rPr>
                  </w:pPr>
                  <w:r>
                    <w:rPr>
                      <w:rFonts w:hint="eastAsia"/>
                      <w:color w:val="auto"/>
                    </w:rPr>
                    <w:t>80</w:t>
                  </w:r>
                </w:p>
              </w:tc>
              <w:tc>
                <w:tcPr>
                  <w:tcW w:w="467" w:type="pct"/>
                  <w:vAlign w:val="center"/>
                </w:tcPr>
                <w:p>
                  <w:pPr>
                    <w:pStyle w:val="103"/>
                    <w:adjustRightInd w:val="0"/>
                    <w:snapToGrid w:val="0"/>
                    <w:ind w:left="0" w:leftChars="0" w:right="0" w:rightChars="0"/>
                    <w:rPr>
                      <w:color w:val="auto"/>
                    </w:rPr>
                  </w:pPr>
                  <w:r>
                    <w:rPr>
                      <w:rFonts w:hint="eastAsia"/>
                      <w:color w:val="auto"/>
                    </w:rPr>
                    <w:t>45</w:t>
                  </w:r>
                </w:p>
              </w:tc>
              <w:tc>
                <w:tcPr>
                  <w:tcW w:w="461" w:type="pct"/>
                  <w:vAlign w:val="center"/>
                </w:tcPr>
                <w:p>
                  <w:pPr>
                    <w:pStyle w:val="103"/>
                    <w:adjustRightInd w:val="0"/>
                    <w:snapToGrid w:val="0"/>
                    <w:ind w:left="0" w:leftChars="0" w:right="0" w:rightChars="0"/>
                    <w:rPr>
                      <w:color w:val="auto"/>
                    </w:rPr>
                  </w:pPr>
                  <w:r>
                    <w:rPr>
                      <w:rFonts w:hint="eastAsia"/>
                      <w:color w:val="auto"/>
                    </w:rPr>
                    <w:t>0.5</w:t>
                  </w:r>
                </w:p>
              </w:tc>
              <w:tc>
                <w:tcPr>
                  <w:tcW w:w="697" w:type="pct"/>
                  <w:vAlign w:val="center"/>
                </w:tcPr>
                <w:p>
                  <w:pPr>
                    <w:pStyle w:val="103"/>
                    <w:adjustRightInd w:val="0"/>
                    <w:snapToGrid w:val="0"/>
                    <w:ind w:left="0" w:leftChars="0" w:right="0" w:rightChars="0"/>
                    <w:rPr>
                      <w:color w:val="auto"/>
                    </w:rPr>
                  </w:pPr>
                  <w:r>
                    <w:rPr>
                      <w:rFonts w:hint="eastAsia"/>
                      <w:color w:val="auto"/>
                    </w:rPr>
                    <w:t>95</w:t>
                  </w:r>
                </w:p>
              </w:tc>
              <w:tc>
                <w:tcPr>
                  <w:tcW w:w="700" w:type="pct"/>
                  <w:vAlign w:val="center"/>
                </w:tcPr>
                <w:p>
                  <w:pPr>
                    <w:pStyle w:val="103"/>
                    <w:adjustRightInd w:val="0"/>
                    <w:snapToGrid w:val="0"/>
                    <w:ind w:left="0" w:leftChars="0" w:right="0" w:rightChars="0"/>
                    <w:rPr>
                      <w:color w:val="auto"/>
                    </w:rPr>
                  </w:pPr>
                </w:p>
              </w:tc>
              <w:tc>
                <w:tcPr>
                  <w:tcW w:w="547" w:type="pct"/>
                  <w:vAlign w:val="center"/>
                </w:tcPr>
                <w:p>
                  <w:pPr>
                    <w:pStyle w:val="103"/>
                    <w:adjustRightInd w:val="0"/>
                    <w:snapToGrid w:val="0"/>
                    <w:ind w:left="0" w:leftChars="0" w:right="0" w:rightChars="0"/>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5000" w:type="pct"/>
                  <w:gridSpan w:val="8"/>
                  <w:vAlign w:val="center"/>
                </w:tcPr>
                <w:p>
                  <w:pPr>
                    <w:pStyle w:val="103"/>
                    <w:adjustRightInd w:val="0"/>
                    <w:snapToGrid w:val="0"/>
                    <w:ind w:left="0" w:leftChars="0" w:right="0" w:rightChars="0"/>
                    <w:jc w:val="both"/>
                    <w:rPr>
                      <w:color w:val="auto"/>
                    </w:rPr>
                  </w:pPr>
                  <w:r>
                    <w:rPr>
                      <w:rFonts w:hint="eastAsia"/>
                      <w:color w:val="auto"/>
                    </w:rPr>
                    <w:t>以厂区西北角为原点</w:t>
                  </w:r>
                </w:p>
              </w:tc>
            </w:tr>
            <w:bookmarkEnd w:id="14"/>
          </w:tbl>
          <w:p>
            <w:pPr>
              <w:adjustRightInd w:val="0"/>
              <w:snapToGrid w:val="0"/>
              <w:spacing w:line="520" w:lineRule="exact"/>
              <w:ind w:firstLine="482" w:firstLineChars="200"/>
              <w:rPr>
                <w:b/>
                <w:bCs/>
                <w:color w:val="auto"/>
                <w:sz w:val="24"/>
              </w:rPr>
            </w:pPr>
            <w:r>
              <w:rPr>
                <w:rFonts w:hint="eastAsia"/>
                <w:b/>
                <w:bCs/>
                <w:color w:val="auto"/>
                <w:sz w:val="24"/>
              </w:rPr>
              <w:t>3.2 噪声预测与影响</w:t>
            </w:r>
          </w:p>
          <w:p>
            <w:pPr>
              <w:pStyle w:val="77"/>
              <w:rPr>
                <w:rFonts w:eastAsia="宋体"/>
                <w:color w:val="auto"/>
                <w:sz w:val="24"/>
                <w:szCs w:val="24"/>
              </w:rPr>
            </w:pPr>
            <w:r>
              <w:rPr>
                <w:rFonts w:eastAsia="宋体"/>
                <w:color w:val="auto"/>
                <w:sz w:val="24"/>
                <w:szCs w:val="24"/>
              </w:rPr>
              <w:t>（1）预测方法</w:t>
            </w:r>
          </w:p>
          <w:p>
            <w:pPr>
              <w:pStyle w:val="77"/>
              <w:rPr>
                <w:rFonts w:eastAsia="宋体"/>
                <w:color w:val="auto"/>
                <w:sz w:val="24"/>
                <w:szCs w:val="24"/>
              </w:rPr>
            </w:pPr>
            <w:r>
              <w:rPr>
                <w:rFonts w:eastAsia="宋体"/>
                <w:color w:val="auto"/>
                <w:sz w:val="24"/>
                <w:szCs w:val="24"/>
              </w:rPr>
              <w:t>本项目厂界声环境影响采取《环境影响评价技术导则 声环境》（HJ2.4-2021）中的噪声预测模式。</w:t>
            </w:r>
          </w:p>
          <w:p>
            <w:pPr>
              <w:pStyle w:val="109"/>
              <w:ind w:firstLine="480"/>
              <w:rPr>
                <w:color w:val="auto"/>
                <w:sz w:val="24"/>
              </w:rPr>
            </w:pPr>
            <w:r>
              <w:rPr>
                <w:color w:val="auto"/>
                <w:sz w:val="24"/>
              </w:rPr>
              <w:t>2）室外声源预测</w:t>
            </w:r>
          </w:p>
          <w:p>
            <w:pPr>
              <w:pStyle w:val="69"/>
              <w:rPr>
                <w:rFonts w:cs="Times New Roman"/>
                <w:color w:val="auto"/>
              </w:rPr>
            </w:pPr>
            <w:r>
              <w:rPr>
                <w:rFonts w:cs="Times New Roman"/>
                <w:color w:val="auto"/>
              </w:rPr>
              <w:drawing>
                <wp:anchor distT="0" distB="0" distL="114300" distR="114300" simplePos="0" relativeHeight="251751424" behindDoc="0" locked="0" layoutInCell="1" allowOverlap="1">
                  <wp:simplePos x="0" y="0"/>
                  <wp:positionH relativeFrom="column">
                    <wp:posOffset>251460</wp:posOffset>
                  </wp:positionH>
                  <wp:positionV relativeFrom="paragraph">
                    <wp:posOffset>220980</wp:posOffset>
                  </wp:positionV>
                  <wp:extent cx="2794635" cy="603250"/>
                  <wp:effectExtent l="0" t="0" r="5715"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94635" cy="603250"/>
                          </a:xfrm>
                          <a:prstGeom prst="rect">
                            <a:avLst/>
                          </a:prstGeom>
                          <a:noFill/>
                          <a:ln>
                            <a:noFill/>
                          </a:ln>
                        </pic:spPr>
                      </pic:pic>
                    </a:graphicData>
                  </a:graphic>
                </wp:anchor>
              </w:drawing>
            </w:r>
            <w:r>
              <w:rPr>
                <w:rFonts w:cs="Times New Roman"/>
                <w:color w:val="auto"/>
              </w:rPr>
              <w:t>计算某个声源在预测点的倍频带声压级：</w:t>
            </w:r>
          </w:p>
          <w:p>
            <w:pPr>
              <w:spacing w:line="520" w:lineRule="exact"/>
              <w:ind w:firstLine="480" w:firstLineChars="200"/>
              <w:rPr>
                <w:color w:val="auto"/>
                <w:sz w:val="24"/>
              </w:rPr>
            </w:pPr>
          </w:p>
          <w:p>
            <w:pPr>
              <w:pStyle w:val="69"/>
              <w:rPr>
                <w:rFonts w:cs="Times New Roman"/>
                <w:color w:val="auto"/>
              </w:rPr>
            </w:pPr>
            <w:r>
              <w:rPr>
                <w:rFonts w:cs="Times New Roman"/>
                <w:color w:val="auto"/>
              </w:rPr>
              <w:t>式中：L</w:t>
            </w:r>
            <w:r>
              <w:rPr>
                <w:rFonts w:cs="Times New Roman"/>
                <w:color w:val="auto"/>
                <w:vertAlign w:val="subscript"/>
              </w:rPr>
              <w:t>oct</w:t>
            </w:r>
            <w:r>
              <w:rPr>
                <w:rFonts w:cs="Times New Roman"/>
                <w:color w:val="auto"/>
              </w:rPr>
              <w:t>（r）—点声源在预测点产生的倍频带声压级；</w:t>
            </w:r>
          </w:p>
          <w:p>
            <w:pPr>
              <w:pStyle w:val="69"/>
              <w:rPr>
                <w:rFonts w:cs="Times New Roman"/>
                <w:color w:val="auto"/>
              </w:rPr>
            </w:pPr>
            <w:r>
              <w:rPr>
                <w:rFonts w:cs="Times New Roman"/>
                <w:color w:val="auto"/>
              </w:rPr>
              <w:t>L</w:t>
            </w:r>
            <w:r>
              <w:rPr>
                <w:rFonts w:cs="Times New Roman"/>
                <w:color w:val="auto"/>
                <w:vertAlign w:val="subscript"/>
              </w:rPr>
              <w:t>oct</w:t>
            </w:r>
            <w:r>
              <w:rPr>
                <w:rFonts w:cs="Times New Roman"/>
                <w:color w:val="auto"/>
              </w:rPr>
              <w:t>（r</w:t>
            </w:r>
            <w:r>
              <w:rPr>
                <w:rFonts w:cs="Times New Roman"/>
                <w:color w:val="auto"/>
                <w:vertAlign w:val="subscript"/>
              </w:rPr>
              <w:t>0</w:t>
            </w:r>
            <w:r>
              <w:rPr>
                <w:rFonts w:cs="Times New Roman"/>
                <w:color w:val="auto"/>
              </w:rPr>
              <w:t>）—参考位置r0处的倍频带声压级；</w:t>
            </w:r>
          </w:p>
          <w:p>
            <w:pPr>
              <w:pStyle w:val="69"/>
              <w:rPr>
                <w:rFonts w:cs="Times New Roman"/>
                <w:color w:val="auto"/>
              </w:rPr>
            </w:pPr>
            <w:r>
              <w:rPr>
                <w:rFonts w:cs="Times New Roman"/>
                <w:color w:val="auto"/>
              </w:rPr>
              <w:t>r—预测点距声源的距离，m；</w:t>
            </w:r>
          </w:p>
          <w:p>
            <w:pPr>
              <w:pStyle w:val="69"/>
              <w:rPr>
                <w:rFonts w:cs="Times New Roman"/>
                <w:color w:val="auto"/>
              </w:rPr>
            </w:pPr>
            <w:r>
              <w:rPr>
                <w:rFonts w:cs="Times New Roman"/>
                <w:color w:val="auto"/>
              </w:rPr>
              <w:t>r</w:t>
            </w:r>
            <w:r>
              <w:rPr>
                <w:rFonts w:cs="Times New Roman"/>
                <w:color w:val="auto"/>
                <w:vertAlign w:val="subscript"/>
              </w:rPr>
              <w:t>0</w:t>
            </w:r>
            <w:r>
              <w:rPr>
                <w:rFonts w:cs="Times New Roman"/>
                <w:color w:val="auto"/>
              </w:rPr>
              <w:t>—参考位置距声源的距离，m；</w:t>
            </w:r>
          </w:p>
          <w:p>
            <w:pPr>
              <w:pStyle w:val="69"/>
              <w:rPr>
                <w:rFonts w:cs="Times New Roman"/>
                <w:color w:val="auto"/>
              </w:rPr>
            </w:pPr>
            <w:r>
              <w:rPr>
                <w:rFonts w:cs="Times New Roman"/>
                <w:color w:val="auto"/>
              </w:rPr>
              <w:t>ΔL</w:t>
            </w:r>
            <w:r>
              <w:rPr>
                <w:rFonts w:cs="Times New Roman"/>
                <w:color w:val="auto"/>
                <w:vertAlign w:val="subscript"/>
              </w:rPr>
              <w:t>oct</w:t>
            </w:r>
            <w:r>
              <w:rPr>
                <w:rFonts w:cs="Times New Roman"/>
                <w:color w:val="auto"/>
              </w:rPr>
              <w:t>—各种因素引起的衰减量。</w:t>
            </w:r>
          </w:p>
          <w:p>
            <w:pPr>
              <w:pStyle w:val="69"/>
              <w:rPr>
                <w:rFonts w:cs="Times New Roman"/>
                <w:color w:val="auto"/>
              </w:rPr>
            </w:pPr>
            <w:r>
              <w:rPr>
                <w:rFonts w:cs="Times New Roman"/>
                <w:color w:val="auto"/>
              </w:rPr>
              <w:t>3）声源叠加贡献值（L</w:t>
            </w:r>
            <w:r>
              <w:rPr>
                <w:rFonts w:cs="Times New Roman"/>
                <w:color w:val="auto"/>
                <w:vertAlign w:val="subscript"/>
              </w:rPr>
              <w:t>eqg</w:t>
            </w:r>
            <w:r>
              <w:rPr>
                <w:rFonts w:cs="Times New Roman"/>
                <w:color w:val="auto"/>
              </w:rPr>
              <w:t>）公式：</w:t>
            </w:r>
          </w:p>
          <w:p>
            <w:pPr>
              <w:spacing w:line="520" w:lineRule="exact"/>
              <w:ind w:firstLine="1200" w:firstLineChars="500"/>
              <w:rPr>
                <w:color w:val="auto"/>
                <w:sz w:val="24"/>
              </w:rPr>
            </w:pPr>
            <w:r>
              <w:rPr>
                <w:color w:val="auto"/>
                <w:sz w:val="24"/>
              </w:rPr>
              <w:drawing>
                <wp:anchor distT="0" distB="0" distL="114300" distR="114300" simplePos="0" relativeHeight="251752448" behindDoc="0" locked="0" layoutInCell="1" allowOverlap="1">
                  <wp:simplePos x="0" y="0"/>
                  <wp:positionH relativeFrom="column">
                    <wp:posOffset>732155</wp:posOffset>
                  </wp:positionH>
                  <wp:positionV relativeFrom="paragraph">
                    <wp:posOffset>128905</wp:posOffset>
                  </wp:positionV>
                  <wp:extent cx="2469515" cy="471170"/>
                  <wp:effectExtent l="0" t="0" r="0" b="508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469515" cy="471170"/>
                          </a:xfrm>
                          <a:prstGeom prst="rect">
                            <a:avLst/>
                          </a:prstGeom>
                          <a:noFill/>
                          <a:ln>
                            <a:noFill/>
                          </a:ln>
                        </pic:spPr>
                      </pic:pic>
                    </a:graphicData>
                  </a:graphic>
                </wp:anchor>
              </w:drawing>
            </w:r>
          </w:p>
          <w:p>
            <w:pPr>
              <w:rPr>
                <w:color w:val="auto"/>
                <w:sz w:val="24"/>
              </w:rPr>
            </w:pPr>
          </w:p>
          <w:p>
            <w:pPr>
              <w:rPr>
                <w:color w:val="auto"/>
                <w:sz w:val="24"/>
              </w:rPr>
            </w:pPr>
          </w:p>
          <w:p>
            <w:pPr>
              <w:pStyle w:val="69"/>
              <w:rPr>
                <w:rFonts w:cs="Times New Roman"/>
                <w:color w:val="auto"/>
              </w:rPr>
            </w:pPr>
            <w:r>
              <w:rPr>
                <w:rFonts w:cs="Times New Roman"/>
                <w:color w:val="auto"/>
              </w:rPr>
              <w:t>式中：L</w:t>
            </w:r>
            <w:r>
              <w:rPr>
                <w:rFonts w:cs="Times New Roman"/>
                <w:color w:val="auto"/>
                <w:vertAlign w:val="subscript"/>
              </w:rPr>
              <w:t>eqg</w:t>
            </w:r>
            <w:r>
              <w:rPr>
                <w:rFonts w:cs="Times New Roman"/>
                <w:color w:val="auto"/>
              </w:rPr>
              <w:t>—建设项目声源在预测点的等效声级贡献值，dB（A）；</w:t>
            </w:r>
          </w:p>
          <w:p>
            <w:pPr>
              <w:pStyle w:val="69"/>
              <w:rPr>
                <w:rFonts w:cs="Times New Roman"/>
                <w:color w:val="auto"/>
              </w:rPr>
            </w:pPr>
            <w:r>
              <w:rPr>
                <w:rFonts w:cs="Times New Roman"/>
                <w:color w:val="auto"/>
              </w:rPr>
              <w:t>L</w:t>
            </w:r>
            <w:r>
              <w:rPr>
                <w:rFonts w:cs="Times New Roman"/>
                <w:color w:val="auto"/>
                <w:vertAlign w:val="subscript"/>
              </w:rPr>
              <w:t>Ai</w:t>
            </w:r>
            <w:r>
              <w:rPr>
                <w:rFonts w:cs="Times New Roman"/>
                <w:color w:val="auto"/>
              </w:rPr>
              <w:t>—i声源在预测点产生的A声级，dB（A）；</w:t>
            </w:r>
          </w:p>
          <w:p>
            <w:pPr>
              <w:pStyle w:val="69"/>
              <w:rPr>
                <w:rFonts w:cs="Times New Roman"/>
                <w:color w:val="auto"/>
              </w:rPr>
            </w:pPr>
            <w:r>
              <w:rPr>
                <w:rFonts w:cs="Times New Roman"/>
                <w:color w:val="auto"/>
              </w:rPr>
              <w:t>T—预测计算的时间段，s；</w:t>
            </w:r>
          </w:p>
          <w:p>
            <w:pPr>
              <w:pStyle w:val="69"/>
              <w:rPr>
                <w:rFonts w:cs="Times New Roman"/>
                <w:color w:val="auto"/>
              </w:rPr>
            </w:pPr>
            <w:r>
              <w:rPr>
                <w:rFonts w:cs="Times New Roman"/>
                <w:color w:val="auto"/>
              </w:rPr>
              <w:t>t</w:t>
            </w:r>
            <w:r>
              <w:rPr>
                <w:rFonts w:cs="Times New Roman"/>
                <w:color w:val="auto"/>
                <w:vertAlign w:val="subscript"/>
              </w:rPr>
              <w:t>i</w:t>
            </w:r>
            <w:r>
              <w:rPr>
                <w:rFonts w:cs="Times New Roman"/>
                <w:color w:val="auto"/>
              </w:rPr>
              <w:t>—i声源在T时段内的运行时间，s。</w:t>
            </w:r>
          </w:p>
          <w:p>
            <w:pPr>
              <w:pStyle w:val="69"/>
              <w:rPr>
                <w:rFonts w:cs="Times New Roman"/>
                <w:color w:val="auto"/>
              </w:rPr>
            </w:pPr>
            <w:r>
              <w:rPr>
                <w:rFonts w:cs="Times New Roman"/>
                <w:color w:val="auto"/>
              </w:rPr>
              <w:t>4）预测值公式</w:t>
            </w:r>
          </w:p>
          <w:p>
            <w:pPr>
              <w:spacing w:line="520" w:lineRule="exact"/>
              <w:ind w:firstLine="527"/>
              <w:rPr>
                <w:color w:val="auto"/>
                <w:sz w:val="24"/>
              </w:rPr>
            </w:pPr>
            <w:r>
              <w:rPr>
                <w:color w:val="auto"/>
                <w:sz w:val="24"/>
              </w:rPr>
              <w:t>①点声源随传播距离增加引起其衰减值预测模式，计算公式如下：</w:t>
            </w:r>
          </w:p>
          <w:p>
            <w:pPr>
              <w:widowControl/>
              <w:autoSpaceDE w:val="0"/>
              <w:autoSpaceDN w:val="0"/>
              <w:spacing w:line="520" w:lineRule="exact"/>
              <w:ind w:firstLine="480" w:firstLineChars="200"/>
              <w:jc w:val="center"/>
              <w:rPr>
                <w:color w:val="auto"/>
                <w:sz w:val="24"/>
              </w:rPr>
            </w:pPr>
            <w:r>
              <w:rPr>
                <w:color w:val="auto"/>
                <w:sz w:val="24"/>
              </w:rPr>
              <w:t>Lp</w:t>
            </w:r>
            <w:r>
              <w:rPr>
                <w:color w:val="auto"/>
                <w:sz w:val="24"/>
                <w:vertAlign w:val="subscript"/>
              </w:rPr>
              <w:t>(r)</w:t>
            </w:r>
            <w:r>
              <w:rPr>
                <w:color w:val="auto"/>
                <w:sz w:val="24"/>
              </w:rPr>
              <w:t>=Lp</w:t>
            </w:r>
            <w:r>
              <w:rPr>
                <w:color w:val="auto"/>
                <w:sz w:val="24"/>
                <w:vertAlign w:val="subscript"/>
              </w:rPr>
              <w:t>(r0)</w:t>
            </w:r>
            <w:r>
              <w:rPr>
                <w:color w:val="auto"/>
                <w:sz w:val="24"/>
              </w:rPr>
              <w:t>－20lg（r/r</w:t>
            </w:r>
            <w:r>
              <w:rPr>
                <w:color w:val="auto"/>
                <w:sz w:val="24"/>
                <w:vertAlign w:val="subscript"/>
              </w:rPr>
              <w:t>0</w:t>
            </w:r>
            <w:r>
              <w:rPr>
                <w:color w:val="auto"/>
                <w:sz w:val="24"/>
              </w:rPr>
              <w:t>）</w:t>
            </w:r>
          </w:p>
          <w:p>
            <w:pPr>
              <w:widowControl/>
              <w:autoSpaceDE w:val="0"/>
              <w:autoSpaceDN w:val="0"/>
              <w:spacing w:line="520" w:lineRule="exact"/>
              <w:ind w:firstLine="480" w:firstLineChars="200"/>
              <w:rPr>
                <w:color w:val="auto"/>
                <w:sz w:val="24"/>
              </w:rPr>
            </w:pPr>
            <w:r>
              <w:rPr>
                <w:color w:val="auto"/>
                <w:sz w:val="24"/>
              </w:rPr>
              <w:t>式中：Lp</w:t>
            </w:r>
            <w:r>
              <w:rPr>
                <w:color w:val="auto"/>
                <w:sz w:val="24"/>
                <w:vertAlign w:val="subscript"/>
              </w:rPr>
              <w:t>(r)</w:t>
            </w:r>
            <w:r>
              <w:rPr>
                <w:color w:val="auto"/>
                <w:sz w:val="24"/>
              </w:rPr>
              <w:t>--－预测点处声压级，dB；</w:t>
            </w:r>
          </w:p>
          <w:p>
            <w:pPr>
              <w:widowControl/>
              <w:autoSpaceDE w:val="0"/>
              <w:autoSpaceDN w:val="0"/>
              <w:spacing w:line="520" w:lineRule="exact"/>
              <w:ind w:firstLine="480" w:firstLineChars="200"/>
              <w:rPr>
                <w:color w:val="auto"/>
                <w:sz w:val="24"/>
              </w:rPr>
            </w:pPr>
            <w:r>
              <w:rPr>
                <w:color w:val="auto"/>
                <w:sz w:val="24"/>
              </w:rPr>
              <w:t>Lp</w:t>
            </w:r>
            <w:r>
              <w:rPr>
                <w:color w:val="auto"/>
                <w:sz w:val="24"/>
                <w:vertAlign w:val="subscript"/>
              </w:rPr>
              <w:t>(r0)</w:t>
            </w:r>
            <w:r>
              <w:rPr>
                <w:color w:val="auto"/>
                <w:sz w:val="24"/>
              </w:rPr>
              <w:t>--－参考位置r</w:t>
            </w:r>
            <w:r>
              <w:rPr>
                <w:color w:val="auto"/>
                <w:sz w:val="24"/>
                <w:vertAlign w:val="subscript"/>
              </w:rPr>
              <w:t>0</w:t>
            </w:r>
            <w:r>
              <w:rPr>
                <w:color w:val="auto"/>
                <w:sz w:val="24"/>
              </w:rPr>
              <w:t>处的声压级，dB；</w:t>
            </w:r>
          </w:p>
          <w:p>
            <w:pPr>
              <w:widowControl/>
              <w:autoSpaceDE w:val="0"/>
              <w:autoSpaceDN w:val="0"/>
              <w:spacing w:line="520" w:lineRule="exact"/>
              <w:ind w:firstLine="480" w:firstLineChars="200"/>
              <w:rPr>
                <w:color w:val="auto"/>
                <w:sz w:val="24"/>
              </w:rPr>
            </w:pPr>
            <w:r>
              <w:rPr>
                <w:color w:val="auto"/>
                <w:sz w:val="24"/>
              </w:rPr>
              <w:t>r--－预测点距噪声源的距离，m；</w:t>
            </w:r>
          </w:p>
          <w:p>
            <w:pPr>
              <w:widowControl/>
              <w:autoSpaceDE w:val="0"/>
              <w:autoSpaceDN w:val="0"/>
              <w:spacing w:line="520" w:lineRule="exact"/>
              <w:ind w:firstLine="480" w:firstLineChars="200"/>
              <w:rPr>
                <w:color w:val="auto"/>
                <w:sz w:val="24"/>
              </w:rPr>
            </w:pPr>
            <w:r>
              <w:rPr>
                <w:color w:val="auto"/>
                <w:sz w:val="24"/>
              </w:rPr>
              <w:t>r</w:t>
            </w:r>
            <w:r>
              <w:rPr>
                <w:color w:val="auto"/>
                <w:sz w:val="24"/>
                <w:vertAlign w:val="subscript"/>
              </w:rPr>
              <w:t>0</w:t>
            </w:r>
            <w:r>
              <w:rPr>
                <w:color w:val="auto"/>
                <w:sz w:val="24"/>
              </w:rPr>
              <w:t>--－参考位置距噪声源的距离，m。</w:t>
            </w:r>
          </w:p>
          <w:p>
            <w:pPr>
              <w:spacing w:line="520" w:lineRule="exact"/>
              <w:ind w:firstLine="480" w:firstLineChars="200"/>
              <w:rPr>
                <w:color w:val="auto"/>
                <w:sz w:val="24"/>
              </w:rPr>
            </w:pPr>
            <w:r>
              <w:rPr>
                <w:color w:val="auto"/>
                <w:sz w:val="24"/>
              </w:rPr>
              <w:t>②预测点的噪声预测值</w:t>
            </w:r>
          </w:p>
          <w:p>
            <w:pPr>
              <w:spacing w:line="520" w:lineRule="exact"/>
              <w:ind w:firstLine="480" w:firstLineChars="200"/>
              <w:rPr>
                <w:color w:val="auto"/>
                <w:sz w:val="24"/>
              </w:rPr>
            </w:pPr>
            <w:r>
              <w:rPr>
                <w:color w:val="auto"/>
                <w:position w:val="-14"/>
                <w:sz w:val="24"/>
              </w:rPr>
              <w:object>
                <v:shape id="_x0000_i1036" o:spt="75" type="#_x0000_t75" style="height:21pt;width:141pt;" o:ole="t" filled="f" o:preferrelative="f" stroked="f" coordsize="21600,21600">
                  <v:path/>
                  <v:fill on="f" focussize="0,0"/>
                  <v:stroke on="f" joinstyle="miter"/>
                  <v:imagedata r:id="rId34" o:title=""/>
                  <o:lock v:ext="edit" rotation="t" aspectratio="f"/>
                  <w10:wrap type="none"/>
                  <w10:anchorlock/>
                </v:shape>
                <o:OLEObject Type="Embed" ProgID="Equation.3" ShapeID="_x0000_i1036" DrawAspect="Content" ObjectID="_1468075737" r:id="rId33">
                  <o:LockedField>false</o:LockedField>
                </o:OLEObject>
              </w:object>
            </w:r>
          </w:p>
          <w:p>
            <w:pPr>
              <w:spacing w:line="520" w:lineRule="exact"/>
              <w:ind w:firstLine="480" w:firstLineChars="200"/>
              <w:rPr>
                <w:color w:val="auto"/>
                <w:sz w:val="24"/>
                <w:lang w:val="pt-BR"/>
              </w:rPr>
            </w:pPr>
            <w:r>
              <w:rPr>
                <w:color w:val="auto"/>
                <w:sz w:val="24"/>
              </w:rPr>
              <w:t>式中：</w:t>
            </w:r>
            <w:r>
              <w:rPr>
                <w:color w:val="auto"/>
                <w:position w:val="-14"/>
                <w:sz w:val="24"/>
              </w:rPr>
              <w:object>
                <v:shape id="_x0000_i1037" o:spt="75" type="#_x0000_t75" style="height:18.75pt;width:21pt;" o:ole="t" filled="f" o:preferrelative="f" stroked="f" coordsize="21600,21600">
                  <v:path/>
                  <v:fill on="f" focussize="0,0"/>
                  <v:stroke on="f" joinstyle="miter"/>
                  <v:imagedata r:id="rId36" o:title=""/>
                  <o:lock v:ext="edit" rotation="t" aspectratio="f"/>
                  <w10:wrap type="none"/>
                  <w10:anchorlock/>
                </v:shape>
                <o:OLEObject Type="Embed" ProgID="Equation.3" ShapeID="_x0000_i1037" DrawAspect="Content" ObjectID="_1468075738" r:id="rId35">
                  <o:LockedField>false</o:LockedField>
                </o:OLEObject>
              </w:object>
            </w:r>
            <w:r>
              <w:rPr>
                <w:color w:val="auto"/>
                <w:sz w:val="24"/>
                <w:lang w:val="pt-BR"/>
              </w:rPr>
              <w:t>——建设项目声源在预测点的等效声级贡献值，dB(A)；</w:t>
            </w:r>
          </w:p>
          <w:p>
            <w:pPr>
              <w:spacing w:line="520" w:lineRule="exact"/>
              <w:ind w:firstLine="480" w:firstLineChars="200"/>
              <w:rPr>
                <w:color w:val="auto"/>
                <w:sz w:val="24"/>
                <w:lang w:val="pt-BR"/>
              </w:rPr>
            </w:pPr>
            <w:r>
              <w:rPr>
                <w:color w:val="auto"/>
                <w:position w:val="-14"/>
                <w:sz w:val="24"/>
              </w:rPr>
              <w:object>
                <v:shape id="_x0000_i1038" o:spt="75" type="#_x0000_t75" style="height:18.75pt;width:21pt;" o:ole="t" filled="f" o:preferrelative="f" stroked="f" coordsize="21600,21600">
                  <v:path/>
                  <v:fill on="f" focussize="0,0"/>
                  <v:stroke on="f" joinstyle="miter"/>
                  <v:imagedata r:id="rId38" o:title=""/>
                  <o:lock v:ext="edit" rotation="t" aspectratio="f"/>
                  <w10:wrap type="none"/>
                  <w10:anchorlock/>
                </v:shape>
                <o:OLEObject Type="Embed" ProgID="Equation.3" ShapeID="_x0000_i1038" DrawAspect="Content" ObjectID="_1468075739" r:id="rId37">
                  <o:LockedField>false</o:LockedField>
                </o:OLEObject>
              </w:object>
            </w:r>
            <w:r>
              <w:rPr>
                <w:color w:val="auto"/>
                <w:sz w:val="24"/>
                <w:lang w:val="pt-BR"/>
              </w:rPr>
              <w:t>——预测点的背景值，dB(A)。</w:t>
            </w:r>
          </w:p>
          <w:p>
            <w:pPr>
              <w:spacing w:line="520" w:lineRule="exact"/>
              <w:ind w:firstLine="480" w:firstLineChars="200"/>
              <w:rPr>
                <w:color w:val="auto"/>
                <w:sz w:val="24"/>
                <w:lang w:val="pt-BR"/>
              </w:rPr>
            </w:pPr>
            <w:r>
              <w:rPr>
                <w:color w:val="auto"/>
                <w:sz w:val="24"/>
              </w:rPr>
              <w:t>5</w:t>
            </w:r>
            <w:r>
              <w:rPr>
                <w:color w:val="auto"/>
                <w:sz w:val="24"/>
                <w:lang w:val="pt-BR"/>
              </w:rPr>
              <w:t>）噪声预测点位</w:t>
            </w:r>
          </w:p>
          <w:p>
            <w:pPr>
              <w:pStyle w:val="109"/>
              <w:ind w:firstLine="480"/>
              <w:rPr>
                <w:color w:val="auto"/>
                <w:sz w:val="24"/>
              </w:rPr>
            </w:pPr>
            <w:r>
              <w:rPr>
                <w:color w:val="auto"/>
                <w:sz w:val="24"/>
              </w:rPr>
              <w:t>根据《环境影响评价技术导则 声环境》（HJ2.4-2021），项目周边50m范围内无声环境保护目标，本次评价以四周厂界贡献值作为企业噪声影响预测值。</w:t>
            </w:r>
          </w:p>
          <w:p>
            <w:pPr>
              <w:spacing w:line="520" w:lineRule="exact"/>
              <w:ind w:firstLine="480" w:firstLineChars="200"/>
              <w:rPr>
                <w:color w:val="auto"/>
                <w:sz w:val="24"/>
              </w:rPr>
            </w:pPr>
            <w:r>
              <w:rPr>
                <w:color w:val="auto"/>
                <w:sz w:val="24"/>
              </w:rPr>
              <w:t>（2）预测结果及分析</w:t>
            </w:r>
          </w:p>
          <w:p>
            <w:pPr>
              <w:spacing w:line="520" w:lineRule="exact"/>
              <w:ind w:firstLine="480" w:firstLineChars="200"/>
              <w:rPr>
                <w:color w:val="auto"/>
                <w:sz w:val="24"/>
              </w:rPr>
            </w:pPr>
            <w:r>
              <w:rPr>
                <w:color w:val="auto"/>
                <w:sz w:val="24"/>
              </w:rPr>
              <w:t>本项目夜间不进行生产，经基础减振等选用低噪声设备等措施降噪后，生产设备同时运行时，并经距离衰减后，对厂界的影响见表4-</w:t>
            </w:r>
            <w:r>
              <w:rPr>
                <w:rFonts w:hint="eastAsia"/>
                <w:color w:val="auto"/>
                <w:sz w:val="24"/>
              </w:rPr>
              <w:t>1</w:t>
            </w:r>
            <w:r>
              <w:rPr>
                <w:rFonts w:hint="eastAsia"/>
                <w:color w:val="auto"/>
                <w:sz w:val="24"/>
                <w:lang w:val="en-US" w:eastAsia="zh-CN"/>
              </w:rPr>
              <w:t>4</w:t>
            </w:r>
            <w:r>
              <w:rPr>
                <w:color w:val="auto"/>
                <w:sz w:val="24"/>
              </w:rPr>
              <w:t>所示：</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表4-1</w:t>
            </w:r>
            <w:r>
              <w:rPr>
                <w:rFonts w:hint="eastAsia" w:cs="Times New Roman"/>
                <w:b/>
                <w:color w:val="auto"/>
                <w:szCs w:val="21"/>
                <w:lang w:val="en-US" w:eastAsia="zh-CN"/>
              </w:rPr>
              <w:t>4</w:t>
            </w:r>
            <w:r>
              <w:rPr>
                <w:rFonts w:hint="eastAsia" w:ascii="Times New Roman" w:hAnsi="Times New Roman" w:eastAsia="宋体" w:cs="Times New Roman"/>
                <w:b/>
                <w:color w:val="auto"/>
                <w:szCs w:val="21"/>
              </w:rPr>
              <w:t xml:space="preserve">    项目各厂界噪声贡献值</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847"/>
              <w:gridCol w:w="32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31" w:type="pct"/>
                  <w:vAlign w:val="center"/>
                </w:tcPr>
                <w:p>
                  <w:pPr>
                    <w:pStyle w:val="103"/>
                    <w:ind w:left="-63" w:right="-63"/>
                    <w:rPr>
                      <w:color w:val="auto"/>
                    </w:rPr>
                  </w:pPr>
                  <w:r>
                    <w:rPr>
                      <w:color w:val="auto"/>
                    </w:rPr>
                    <w:t>预测点</w:t>
                  </w:r>
                </w:p>
              </w:tc>
              <w:tc>
                <w:tcPr>
                  <w:tcW w:w="1727" w:type="pct"/>
                  <w:vAlign w:val="center"/>
                </w:tcPr>
                <w:p>
                  <w:pPr>
                    <w:pStyle w:val="103"/>
                    <w:ind w:left="-63" w:right="-63"/>
                    <w:rPr>
                      <w:color w:val="auto"/>
                    </w:rPr>
                  </w:pPr>
                  <w:r>
                    <w:rPr>
                      <w:color w:val="auto"/>
                    </w:rPr>
                    <w:t>贡献值dB（A）</w:t>
                  </w:r>
                </w:p>
              </w:tc>
              <w:tc>
                <w:tcPr>
                  <w:tcW w:w="1941" w:type="pct"/>
                  <w:vAlign w:val="center"/>
                </w:tcPr>
                <w:p>
                  <w:pPr>
                    <w:pStyle w:val="103"/>
                    <w:ind w:left="-63" w:right="-63"/>
                    <w:rPr>
                      <w:color w:val="auto"/>
                    </w:rPr>
                  </w:pPr>
                  <w:r>
                    <w:rPr>
                      <w:color w:val="auto"/>
                    </w:rPr>
                    <w:t>标准值dB（A）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31" w:type="pct"/>
                  <w:vAlign w:val="center"/>
                </w:tcPr>
                <w:p>
                  <w:pPr>
                    <w:pStyle w:val="103"/>
                    <w:ind w:left="-63" w:right="-63"/>
                    <w:rPr>
                      <w:color w:val="auto"/>
                    </w:rPr>
                  </w:pPr>
                  <w:r>
                    <w:rPr>
                      <w:color w:val="auto"/>
                    </w:rPr>
                    <w:t>东厂界</w:t>
                  </w:r>
                </w:p>
              </w:tc>
              <w:tc>
                <w:tcPr>
                  <w:tcW w:w="1727" w:type="pct"/>
                  <w:vAlign w:val="center"/>
                </w:tcPr>
                <w:p>
                  <w:pPr>
                    <w:pStyle w:val="103"/>
                    <w:ind w:left="-63" w:right="-63"/>
                    <w:rPr>
                      <w:color w:val="auto"/>
                    </w:rPr>
                  </w:pPr>
                  <w:r>
                    <w:rPr>
                      <w:rFonts w:hint="eastAsia"/>
                      <w:color w:val="auto"/>
                    </w:rPr>
                    <w:t>42</w:t>
                  </w:r>
                </w:p>
              </w:tc>
              <w:tc>
                <w:tcPr>
                  <w:tcW w:w="1941" w:type="pct"/>
                  <w:vAlign w:val="center"/>
                </w:tcPr>
                <w:p>
                  <w:pPr>
                    <w:pStyle w:val="103"/>
                    <w:ind w:left="-63" w:right="-63"/>
                    <w:rPr>
                      <w:color w:val="auto"/>
                    </w:rPr>
                  </w:pPr>
                  <w:r>
                    <w:rPr>
                      <w:color w:val="auto"/>
                    </w:rPr>
                    <w:t>昼间≤60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31" w:type="pct"/>
                  <w:vAlign w:val="center"/>
                </w:tcPr>
                <w:p>
                  <w:pPr>
                    <w:pStyle w:val="103"/>
                    <w:ind w:left="-63" w:right="-63"/>
                    <w:rPr>
                      <w:color w:val="auto"/>
                    </w:rPr>
                  </w:pPr>
                  <w:r>
                    <w:rPr>
                      <w:color w:val="auto"/>
                    </w:rPr>
                    <w:t>南厂界</w:t>
                  </w:r>
                </w:p>
              </w:tc>
              <w:tc>
                <w:tcPr>
                  <w:tcW w:w="1727" w:type="pct"/>
                  <w:vAlign w:val="center"/>
                </w:tcPr>
                <w:p>
                  <w:pPr>
                    <w:pStyle w:val="103"/>
                    <w:ind w:left="-63" w:right="-63"/>
                    <w:rPr>
                      <w:color w:val="auto"/>
                    </w:rPr>
                  </w:pPr>
                  <w:r>
                    <w:rPr>
                      <w:rFonts w:hint="eastAsia"/>
                      <w:color w:val="auto"/>
                    </w:rPr>
                    <w:t>45</w:t>
                  </w:r>
                </w:p>
              </w:tc>
              <w:tc>
                <w:tcPr>
                  <w:tcW w:w="1941" w:type="pct"/>
                  <w:vAlign w:val="center"/>
                </w:tcPr>
                <w:p>
                  <w:pPr>
                    <w:pStyle w:val="103"/>
                    <w:ind w:left="-63" w:right="-63"/>
                    <w:rPr>
                      <w:color w:val="auto"/>
                    </w:rPr>
                  </w:pPr>
                  <w:r>
                    <w:rPr>
                      <w:color w:val="auto"/>
                    </w:rPr>
                    <w:t>昼间≤60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31" w:type="pct"/>
                  <w:vAlign w:val="center"/>
                </w:tcPr>
                <w:p>
                  <w:pPr>
                    <w:pStyle w:val="103"/>
                    <w:ind w:left="-63" w:right="-63"/>
                    <w:rPr>
                      <w:color w:val="auto"/>
                    </w:rPr>
                  </w:pPr>
                  <w:r>
                    <w:rPr>
                      <w:color w:val="auto"/>
                    </w:rPr>
                    <w:t>西厂界</w:t>
                  </w:r>
                </w:p>
              </w:tc>
              <w:tc>
                <w:tcPr>
                  <w:tcW w:w="1727" w:type="pct"/>
                  <w:vAlign w:val="center"/>
                </w:tcPr>
                <w:p>
                  <w:pPr>
                    <w:pStyle w:val="103"/>
                    <w:ind w:left="-63" w:right="-63"/>
                    <w:rPr>
                      <w:color w:val="auto"/>
                    </w:rPr>
                  </w:pPr>
                  <w:r>
                    <w:rPr>
                      <w:rFonts w:hint="eastAsia"/>
                      <w:color w:val="auto"/>
                    </w:rPr>
                    <w:t>43</w:t>
                  </w:r>
                </w:p>
              </w:tc>
              <w:tc>
                <w:tcPr>
                  <w:tcW w:w="1941" w:type="pct"/>
                  <w:vAlign w:val="center"/>
                </w:tcPr>
                <w:p>
                  <w:pPr>
                    <w:pStyle w:val="103"/>
                    <w:ind w:left="-63" w:right="-63"/>
                    <w:rPr>
                      <w:color w:val="auto"/>
                    </w:rPr>
                  </w:pPr>
                  <w:r>
                    <w:rPr>
                      <w:color w:val="auto"/>
                    </w:rPr>
                    <w:t>昼间≤60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331" w:type="pct"/>
                  <w:vAlign w:val="center"/>
                </w:tcPr>
                <w:p>
                  <w:pPr>
                    <w:pStyle w:val="103"/>
                    <w:ind w:left="-63" w:right="-63"/>
                    <w:rPr>
                      <w:color w:val="auto"/>
                    </w:rPr>
                  </w:pPr>
                  <w:r>
                    <w:rPr>
                      <w:color w:val="auto"/>
                    </w:rPr>
                    <w:t>北厂界</w:t>
                  </w:r>
                </w:p>
              </w:tc>
              <w:tc>
                <w:tcPr>
                  <w:tcW w:w="1727" w:type="pct"/>
                  <w:vAlign w:val="center"/>
                </w:tcPr>
                <w:p>
                  <w:pPr>
                    <w:pStyle w:val="103"/>
                    <w:ind w:left="-63" w:right="-63"/>
                    <w:rPr>
                      <w:color w:val="auto"/>
                    </w:rPr>
                  </w:pPr>
                  <w:r>
                    <w:rPr>
                      <w:rFonts w:hint="eastAsia"/>
                      <w:color w:val="auto"/>
                    </w:rPr>
                    <w:t>49</w:t>
                  </w:r>
                </w:p>
              </w:tc>
              <w:tc>
                <w:tcPr>
                  <w:tcW w:w="1941" w:type="pct"/>
                  <w:vAlign w:val="center"/>
                </w:tcPr>
                <w:p>
                  <w:pPr>
                    <w:pStyle w:val="103"/>
                    <w:ind w:left="-63" w:right="-63"/>
                    <w:rPr>
                      <w:color w:val="auto"/>
                    </w:rPr>
                  </w:pPr>
                  <w:r>
                    <w:rPr>
                      <w:color w:val="auto"/>
                    </w:rPr>
                    <w:t>昼间≤60</w:t>
                  </w:r>
                </w:p>
              </w:tc>
            </w:tr>
          </w:tbl>
          <w:p>
            <w:pPr>
              <w:pStyle w:val="69"/>
              <w:rPr>
                <w:color w:val="auto"/>
              </w:rPr>
            </w:pPr>
            <w:r>
              <w:rPr>
                <w:rFonts w:hint="eastAsia"/>
                <w:color w:val="auto"/>
              </w:rPr>
              <w:t>项目仅昼间生产，</w:t>
            </w:r>
            <w:r>
              <w:rPr>
                <w:color w:val="auto"/>
              </w:rPr>
              <w:t>项</w:t>
            </w:r>
            <w:r>
              <w:rPr>
                <w:rFonts w:hint="eastAsia"/>
                <w:color w:val="auto"/>
              </w:rPr>
              <w:t>目在厂界可满足</w:t>
            </w:r>
            <w:r>
              <w:rPr>
                <w:color w:val="auto"/>
              </w:rPr>
              <w:t>《工业企业厂界环境噪声排放标准》（GB12348-2008）中2类标准</w:t>
            </w:r>
            <w:r>
              <w:rPr>
                <w:rFonts w:hint="eastAsia"/>
                <w:color w:val="auto"/>
              </w:rPr>
              <w:t>昼间标准限值。</w:t>
            </w:r>
          </w:p>
          <w:p>
            <w:pPr>
              <w:pStyle w:val="69"/>
              <w:ind w:firstLine="482"/>
              <w:rPr>
                <w:b/>
                <w:bCs/>
                <w:color w:val="auto"/>
              </w:rPr>
            </w:pPr>
            <w:r>
              <w:rPr>
                <w:rFonts w:hint="eastAsia"/>
                <w:b/>
                <w:bCs/>
                <w:color w:val="auto"/>
              </w:rPr>
              <w:t>3</w:t>
            </w:r>
            <w:r>
              <w:rPr>
                <w:b/>
                <w:bCs/>
                <w:color w:val="auto"/>
              </w:rPr>
              <w:t>.3</w:t>
            </w:r>
            <w:r>
              <w:rPr>
                <w:rFonts w:hint="eastAsia"/>
                <w:b/>
                <w:bCs/>
                <w:color w:val="auto"/>
              </w:rPr>
              <w:t>声环境影响及防治措施</w:t>
            </w:r>
          </w:p>
          <w:p>
            <w:pPr>
              <w:pStyle w:val="69"/>
              <w:rPr>
                <w:color w:val="auto"/>
              </w:rPr>
            </w:pPr>
            <w:r>
              <w:rPr>
                <w:rFonts w:hint="eastAsia"/>
                <w:color w:val="auto"/>
              </w:rPr>
              <w:t>根据现场调查，项目区周边50m范围内无声环境敏感目标，环评建议要求采取以下措施对运营期噪声进一步降低噪声影响：</w:t>
            </w:r>
          </w:p>
          <w:p>
            <w:pPr>
              <w:pStyle w:val="69"/>
              <w:rPr>
                <w:color w:val="auto"/>
              </w:rPr>
            </w:pPr>
            <w:r>
              <w:rPr>
                <w:rFonts w:hint="eastAsia"/>
                <w:color w:val="auto"/>
              </w:rPr>
              <w:t>（1）在满足工艺生产的前提下，选用设备加工精度高，装配质量好，低噪的设备，对设备基础进行隔振、减振，以减少噪声产生强度；</w:t>
            </w:r>
          </w:p>
          <w:p>
            <w:pPr>
              <w:pStyle w:val="69"/>
              <w:rPr>
                <w:color w:val="auto"/>
              </w:rPr>
            </w:pPr>
            <w:r>
              <w:rPr>
                <w:rFonts w:hint="eastAsia"/>
                <w:color w:val="auto"/>
              </w:rPr>
              <w:t>（2）加强管理，提高职工的环保意识教育，提倡文明生产，降低人为噪声；</w:t>
            </w:r>
          </w:p>
          <w:p>
            <w:pPr>
              <w:pStyle w:val="69"/>
              <w:rPr>
                <w:color w:val="auto"/>
              </w:rPr>
            </w:pPr>
            <w:r>
              <w:rPr>
                <w:rFonts w:hint="eastAsia"/>
                <w:color w:val="auto"/>
              </w:rPr>
              <w:t>（3）建立设备定期维护、保养的管理制度，以防止设备故障形成的非正常生产噪声；</w:t>
            </w:r>
          </w:p>
          <w:p>
            <w:pPr>
              <w:pStyle w:val="69"/>
              <w:rPr>
                <w:color w:val="auto"/>
              </w:rPr>
            </w:pPr>
            <w:r>
              <w:rPr>
                <w:rFonts w:hint="eastAsia"/>
                <w:color w:val="auto"/>
              </w:rPr>
              <w:t>（4）物料装卸、入料、出料时车辆做到低速运行，降低转运噪声；</w:t>
            </w:r>
          </w:p>
          <w:p>
            <w:pPr>
              <w:pStyle w:val="69"/>
              <w:rPr>
                <w:color w:val="auto"/>
              </w:rPr>
            </w:pPr>
            <w:r>
              <w:rPr>
                <w:rFonts w:hint="eastAsia"/>
                <w:color w:val="auto"/>
              </w:rPr>
              <w:t>（5）加强厂区车间外绿化，降低噪声传播。</w:t>
            </w:r>
          </w:p>
          <w:p>
            <w:pPr>
              <w:pStyle w:val="9"/>
              <w:spacing w:before="0" w:after="0" w:line="520" w:lineRule="exact"/>
              <w:ind w:right="0" w:firstLine="482" w:firstLineChars="200"/>
              <w:rPr>
                <w:b/>
                <w:bCs/>
                <w:color w:val="auto"/>
                <w:kern w:val="2"/>
                <w:sz w:val="24"/>
                <w:szCs w:val="24"/>
              </w:rPr>
            </w:pPr>
            <w:r>
              <w:rPr>
                <w:rFonts w:hint="eastAsia"/>
                <w:b/>
                <w:bCs/>
                <w:color w:val="auto"/>
                <w:kern w:val="2"/>
                <w:sz w:val="24"/>
                <w:szCs w:val="24"/>
              </w:rPr>
              <w:t>3.4</w:t>
            </w:r>
            <w:r>
              <w:rPr>
                <w:rFonts w:hint="eastAsia"/>
                <w:b/>
                <w:bCs/>
                <w:color w:val="auto"/>
                <w:kern w:val="2"/>
                <w:sz w:val="24"/>
                <w:szCs w:val="24"/>
                <w:lang w:val="en-US" w:eastAsia="zh-CN"/>
              </w:rPr>
              <w:t>噪声</w:t>
            </w:r>
            <w:r>
              <w:rPr>
                <w:rFonts w:hint="eastAsia"/>
                <w:b/>
                <w:bCs/>
                <w:color w:val="auto"/>
                <w:kern w:val="2"/>
                <w:sz w:val="24"/>
                <w:szCs w:val="24"/>
              </w:rPr>
              <w:t>监测计划</w:t>
            </w:r>
          </w:p>
          <w:p>
            <w:pPr>
              <w:pStyle w:val="9"/>
              <w:spacing w:before="0" w:after="0" w:line="520" w:lineRule="exact"/>
              <w:ind w:right="0" w:firstLine="480" w:firstLineChars="200"/>
              <w:rPr>
                <w:color w:val="auto"/>
                <w:kern w:val="2"/>
                <w:sz w:val="24"/>
                <w:szCs w:val="24"/>
              </w:rPr>
            </w:pPr>
            <w:r>
              <w:rPr>
                <w:rFonts w:hint="eastAsia"/>
                <w:color w:val="auto"/>
                <w:sz w:val="24"/>
              </w:rPr>
              <w:t>根据《排污单位自行监测技术指南 水泥工业》（H</w:t>
            </w:r>
            <w:r>
              <w:rPr>
                <w:color w:val="auto"/>
                <w:sz w:val="24"/>
              </w:rPr>
              <w:t>J</w:t>
            </w:r>
            <w:r>
              <w:rPr>
                <w:rFonts w:hint="eastAsia"/>
                <w:color w:val="auto"/>
                <w:sz w:val="24"/>
              </w:rPr>
              <w:t>848</w:t>
            </w:r>
            <w:r>
              <w:rPr>
                <w:color w:val="auto"/>
                <w:sz w:val="24"/>
              </w:rPr>
              <w:t>-2017</w:t>
            </w:r>
            <w:r>
              <w:rPr>
                <w:rFonts w:hint="eastAsia"/>
                <w:color w:val="auto"/>
                <w:sz w:val="24"/>
              </w:rPr>
              <w:t>）相关规定，本次评价确定本项目</w:t>
            </w:r>
            <w:r>
              <w:rPr>
                <w:rFonts w:hint="eastAsia"/>
                <w:color w:val="auto"/>
                <w:kern w:val="2"/>
                <w:sz w:val="24"/>
                <w:szCs w:val="24"/>
              </w:rPr>
              <w:t>声环境监测计划见表4-1</w:t>
            </w:r>
            <w:r>
              <w:rPr>
                <w:rFonts w:hint="eastAsia"/>
                <w:color w:val="auto"/>
                <w:kern w:val="2"/>
                <w:sz w:val="24"/>
                <w:szCs w:val="24"/>
                <w:lang w:val="en-US" w:eastAsia="zh-CN"/>
              </w:rPr>
              <w:t>5</w:t>
            </w:r>
            <w:r>
              <w:rPr>
                <w:rFonts w:hint="eastAsia"/>
                <w:color w:val="auto"/>
                <w:kern w:val="2"/>
                <w:sz w:val="24"/>
                <w:szCs w:val="24"/>
              </w:rPr>
              <w:t>。</w:t>
            </w:r>
          </w:p>
          <w:p>
            <w:pPr>
              <w:widowControl/>
              <w:topLinePunct/>
              <w:adjustRightInd w:val="0"/>
              <w:snapToGrid w:val="0"/>
              <w:jc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表4-1</w:t>
            </w:r>
            <w:r>
              <w:rPr>
                <w:rFonts w:hint="eastAsia" w:cs="Times New Roman"/>
                <w:b/>
                <w:color w:val="auto"/>
                <w:szCs w:val="21"/>
                <w:lang w:val="en-US" w:eastAsia="zh-CN"/>
              </w:rPr>
              <w:t>5</w:t>
            </w:r>
            <w:r>
              <w:rPr>
                <w:rFonts w:hint="eastAsia" w:ascii="Times New Roman" w:hAnsi="Times New Roman" w:eastAsia="宋体" w:cs="Times New Roman"/>
                <w:b/>
                <w:color w:val="auto"/>
                <w:szCs w:val="21"/>
              </w:rPr>
              <w:t xml:space="preserve">    声环境监测计划</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526"/>
              <w:gridCol w:w="1110"/>
              <w:gridCol w:w="1364"/>
              <w:gridCol w:w="28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0" w:type="pct"/>
                </w:tcPr>
                <w:p>
                  <w:pPr>
                    <w:pStyle w:val="9"/>
                    <w:spacing w:before="0" w:after="0" w:line="240" w:lineRule="auto"/>
                    <w:ind w:right="0"/>
                    <w:jc w:val="center"/>
                    <w:rPr>
                      <w:color w:val="auto"/>
                      <w:kern w:val="2"/>
                      <w:sz w:val="21"/>
                      <w:szCs w:val="21"/>
                    </w:rPr>
                  </w:pPr>
                  <w:r>
                    <w:rPr>
                      <w:color w:val="auto"/>
                      <w:kern w:val="2"/>
                      <w:sz w:val="21"/>
                      <w:szCs w:val="21"/>
                    </w:rPr>
                    <w:t>类别</w:t>
                  </w:r>
                </w:p>
              </w:tc>
              <w:tc>
                <w:tcPr>
                  <w:tcW w:w="925" w:type="pct"/>
                </w:tcPr>
                <w:p>
                  <w:pPr>
                    <w:pStyle w:val="9"/>
                    <w:spacing w:before="0" w:after="0" w:line="240" w:lineRule="auto"/>
                    <w:ind w:right="0"/>
                    <w:jc w:val="center"/>
                    <w:rPr>
                      <w:color w:val="auto"/>
                      <w:kern w:val="2"/>
                      <w:sz w:val="21"/>
                      <w:szCs w:val="21"/>
                    </w:rPr>
                  </w:pPr>
                  <w:r>
                    <w:rPr>
                      <w:color w:val="auto"/>
                      <w:kern w:val="2"/>
                      <w:sz w:val="21"/>
                      <w:szCs w:val="21"/>
                    </w:rPr>
                    <w:t>监测位置</w:t>
                  </w:r>
                </w:p>
              </w:tc>
              <w:tc>
                <w:tcPr>
                  <w:tcW w:w="673" w:type="pct"/>
                </w:tcPr>
                <w:p>
                  <w:pPr>
                    <w:pStyle w:val="9"/>
                    <w:spacing w:before="0" w:after="0" w:line="240" w:lineRule="auto"/>
                    <w:ind w:right="0"/>
                    <w:jc w:val="center"/>
                    <w:rPr>
                      <w:color w:val="auto"/>
                      <w:kern w:val="2"/>
                      <w:sz w:val="21"/>
                      <w:szCs w:val="21"/>
                    </w:rPr>
                  </w:pPr>
                  <w:r>
                    <w:rPr>
                      <w:color w:val="auto"/>
                      <w:kern w:val="2"/>
                      <w:sz w:val="21"/>
                      <w:szCs w:val="21"/>
                    </w:rPr>
                    <w:t>监测项目</w:t>
                  </w:r>
                </w:p>
              </w:tc>
              <w:tc>
                <w:tcPr>
                  <w:tcW w:w="827" w:type="pct"/>
                </w:tcPr>
                <w:p>
                  <w:pPr>
                    <w:pStyle w:val="9"/>
                    <w:spacing w:before="0" w:after="0" w:line="240" w:lineRule="auto"/>
                    <w:ind w:right="0"/>
                    <w:jc w:val="center"/>
                    <w:rPr>
                      <w:color w:val="auto"/>
                      <w:kern w:val="2"/>
                      <w:sz w:val="21"/>
                      <w:szCs w:val="21"/>
                    </w:rPr>
                  </w:pPr>
                  <w:r>
                    <w:rPr>
                      <w:color w:val="auto"/>
                      <w:kern w:val="2"/>
                      <w:sz w:val="21"/>
                      <w:szCs w:val="21"/>
                    </w:rPr>
                    <w:t>监测频率</w:t>
                  </w:r>
                </w:p>
              </w:tc>
              <w:tc>
                <w:tcPr>
                  <w:tcW w:w="1732" w:type="pct"/>
                </w:tcPr>
                <w:p>
                  <w:pPr>
                    <w:pStyle w:val="9"/>
                    <w:spacing w:before="0" w:after="0" w:line="240" w:lineRule="auto"/>
                    <w:ind w:right="0"/>
                    <w:jc w:val="center"/>
                    <w:rPr>
                      <w:color w:val="auto"/>
                      <w:kern w:val="2"/>
                      <w:sz w:val="21"/>
                      <w:szCs w:val="21"/>
                    </w:rPr>
                  </w:pPr>
                  <w:r>
                    <w:rPr>
                      <w:color w:val="auto"/>
                      <w:kern w:val="2"/>
                      <w:sz w:val="21"/>
                      <w:szCs w:val="21"/>
                    </w:rPr>
                    <w:t>监测方式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40" w:type="pct"/>
                </w:tcPr>
                <w:p>
                  <w:pPr>
                    <w:pStyle w:val="9"/>
                    <w:spacing w:before="0" w:after="0" w:line="240" w:lineRule="auto"/>
                    <w:ind w:right="0"/>
                    <w:jc w:val="center"/>
                    <w:rPr>
                      <w:color w:val="auto"/>
                      <w:kern w:val="2"/>
                      <w:sz w:val="21"/>
                      <w:szCs w:val="21"/>
                    </w:rPr>
                  </w:pPr>
                  <w:r>
                    <w:rPr>
                      <w:rFonts w:hint="eastAsia"/>
                      <w:color w:val="auto"/>
                      <w:kern w:val="2"/>
                      <w:sz w:val="21"/>
                      <w:szCs w:val="21"/>
                    </w:rPr>
                    <w:t>污染源监测</w:t>
                  </w:r>
                </w:p>
              </w:tc>
              <w:tc>
                <w:tcPr>
                  <w:tcW w:w="925" w:type="pct"/>
                </w:tcPr>
                <w:p>
                  <w:pPr>
                    <w:pStyle w:val="9"/>
                    <w:spacing w:before="0" w:after="0" w:line="240" w:lineRule="auto"/>
                    <w:ind w:right="0"/>
                    <w:jc w:val="center"/>
                    <w:rPr>
                      <w:color w:val="auto"/>
                      <w:kern w:val="2"/>
                      <w:sz w:val="21"/>
                      <w:szCs w:val="21"/>
                    </w:rPr>
                  </w:pPr>
                  <w:r>
                    <w:rPr>
                      <w:rFonts w:hint="eastAsia"/>
                      <w:color w:val="auto"/>
                      <w:kern w:val="2"/>
                      <w:sz w:val="21"/>
                      <w:szCs w:val="21"/>
                    </w:rPr>
                    <w:t>厂界外1m处</w:t>
                  </w:r>
                </w:p>
              </w:tc>
              <w:tc>
                <w:tcPr>
                  <w:tcW w:w="673" w:type="pct"/>
                </w:tcPr>
                <w:p>
                  <w:pPr>
                    <w:pStyle w:val="9"/>
                    <w:spacing w:before="0" w:after="0" w:line="240" w:lineRule="auto"/>
                    <w:ind w:right="0"/>
                    <w:jc w:val="center"/>
                    <w:rPr>
                      <w:color w:val="auto"/>
                      <w:kern w:val="2"/>
                      <w:sz w:val="21"/>
                      <w:szCs w:val="21"/>
                    </w:rPr>
                  </w:pPr>
                  <w:r>
                    <w:rPr>
                      <w:rFonts w:hint="eastAsia"/>
                      <w:color w:val="auto"/>
                      <w:kern w:val="2"/>
                      <w:sz w:val="21"/>
                      <w:szCs w:val="21"/>
                    </w:rPr>
                    <w:t>Leq(A)</w:t>
                  </w:r>
                </w:p>
              </w:tc>
              <w:tc>
                <w:tcPr>
                  <w:tcW w:w="827" w:type="pct"/>
                </w:tcPr>
                <w:p>
                  <w:pPr>
                    <w:pStyle w:val="9"/>
                    <w:spacing w:before="0" w:after="0" w:line="240" w:lineRule="auto"/>
                    <w:ind w:right="0"/>
                    <w:jc w:val="center"/>
                    <w:rPr>
                      <w:color w:val="auto"/>
                      <w:kern w:val="2"/>
                      <w:sz w:val="21"/>
                      <w:szCs w:val="21"/>
                    </w:rPr>
                  </w:pPr>
                  <w:r>
                    <w:rPr>
                      <w:rFonts w:hint="eastAsia"/>
                      <w:color w:val="auto"/>
                      <w:kern w:val="2"/>
                      <w:sz w:val="21"/>
                      <w:szCs w:val="21"/>
                    </w:rPr>
                    <w:t>每季度一次</w:t>
                  </w:r>
                </w:p>
              </w:tc>
              <w:tc>
                <w:tcPr>
                  <w:tcW w:w="1732" w:type="pct"/>
                </w:tcPr>
                <w:p>
                  <w:pPr>
                    <w:pStyle w:val="9"/>
                    <w:spacing w:before="0" w:after="0" w:line="240" w:lineRule="auto"/>
                    <w:ind w:right="0"/>
                    <w:jc w:val="center"/>
                    <w:rPr>
                      <w:color w:val="auto"/>
                      <w:kern w:val="2"/>
                      <w:sz w:val="21"/>
                      <w:szCs w:val="21"/>
                    </w:rPr>
                  </w:pPr>
                  <w:r>
                    <w:rPr>
                      <w:rFonts w:hint="eastAsia"/>
                      <w:color w:val="auto"/>
                      <w:kern w:val="2"/>
                      <w:sz w:val="21"/>
                      <w:szCs w:val="21"/>
                    </w:rPr>
                    <w:t>委托第三方监测单位监测</w:t>
                  </w:r>
                </w:p>
              </w:tc>
            </w:tr>
          </w:tbl>
          <w:p>
            <w:pPr>
              <w:adjustRightInd w:val="0"/>
              <w:snapToGrid w:val="0"/>
              <w:spacing w:line="520" w:lineRule="exact"/>
              <w:ind w:firstLine="482" w:firstLineChars="200"/>
              <w:rPr>
                <w:b/>
                <w:bCs/>
                <w:color w:val="auto"/>
                <w:sz w:val="24"/>
              </w:rPr>
            </w:pPr>
            <w:r>
              <w:rPr>
                <w:rFonts w:hint="eastAsia"/>
                <w:b/>
                <w:bCs/>
                <w:color w:val="auto"/>
                <w:sz w:val="24"/>
              </w:rPr>
              <w:t>4、固废</w:t>
            </w:r>
          </w:p>
          <w:p>
            <w:pPr>
              <w:autoSpaceDE w:val="0"/>
              <w:autoSpaceDN w:val="0"/>
              <w:spacing w:line="560" w:lineRule="exact"/>
              <w:ind w:firstLine="480" w:firstLineChars="200"/>
              <w:rPr>
                <w:color w:val="auto"/>
                <w:sz w:val="24"/>
              </w:rPr>
            </w:pPr>
            <w:r>
              <w:rPr>
                <w:color w:val="auto"/>
                <w:sz w:val="24"/>
              </w:rPr>
              <w:t>本项目产生的固体废物主要为生产车间产生的固废和办公人员生活垃圾。</w:t>
            </w:r>
          </w:p>
          <w:p>
            <w:pPr>
              <w:spacing w:line="560" w:lineRule="exact"/>
              <w:ind w:firstLine="480" w:firstLineChars="200"/>
              <w:rPr>
                <w:color w:val="auto"/>
                <w:sz w:val="24"/>
              </w:rPr>
            </w:pPr>
            <w:r>
              <w:rPr>
                <w:color w:val="auto"/>
                <w:sz w:val="24"/>
              </w:rPr>
              <w:t>（</w:t>
            </w:r>
            <w:r>
              <w:rPr>
                <w:rFonts w:hint="eastAsia"/>
                <w:color w:val="auto"/>
                <w:sz w:val="24"/>
              </w:rPr>
              <w:t>1</w:t>
            </w:r>
            <w:r>
              <w:rPr>
                <w:color w:val="auto"/>
                <w:sz w:val="24"/>
              </w:rPr>
              <w:t>）生活垃圾</w:t>
            </w:r>
          </w:p>
          <w:p>
            <w:pPr>
              <w:pStyle w:val="69"/>
              <w:rPr>
                <w:color w:val="auto"/>
              </w:rPr>
            </w:pPr>
            <w:r>
              <w:rPr>
                <w:color w:val="auto"/>
              </w:rPr>
              <w:t>本项目</w:t>
            </w:r>
            <w:r>
              <w:rPr>
                <w:rFonts w:hint="eastAsia"/>
                <w:color w:val="auto"/>
              </w:rPr>
              <w:t>劳动定员50</w:t>
            </w:r>
            <w:r>
              <w:rPr>
                <w:color w:val="auto"/>
              </w:rPr>
              <w:t>人，按每人每日0.</w:t>
            </w:r>
            <w:r>
              <w:rPr>
                <w:rFonts w:hint="eastAsia"/>
                <w:color w:val="auto"/>
              </w:rPr>
              <w:t>5</w:t>
            </w:r>
            <w:r>
              <w:rPr>
                <w:color w:val="auto"/>
              </w:rPr>
              <w:t>kg计，年产生活垃圾</w:t>
            </w:r>
            <w:r>
              <w:rPr>
                <w:rFonts w:hint="eastAsia"/>
                <w:color w:val="auto"/>
              </w:rPr>
              <w:t>6.5t</w:t>
            </w:r>
            <w:r>
              <w:rPr>
                <w:color w:val="auto"/>
              </w:rPr>
              <w:t>/a，统一收集后交由环卫部门统一清运处理。</w:t>
            </w:r>
          </w:p>
          <w:p>
            <w:pPr>
              <w:pStyle w:val="69"/>
              <w:rPr>
                <w:color w:val="auto"/>
                <w:kern w:val="0"/>
              </w:rPr>
            </w:pPr>
            <w:r>
              <w:rPr>
                <w:color w:val="auto"/>
              </w:rPr>
              <w:t>生活垃圾有机物成分较高，含水率大，极易腐烂，影响环境卫生，可导致病原微生物的传播，同时还向大气释放出大量的氨、硫化物等污染物，据资料介绍，生活垃圾堆放时，仅有机挥发性气体就多达100多种，其中含有许多致癌、致畸物。生活垃圾应</w:t>
            </w:r>
            <w:r>
              <w:rPr>
                <w:color w:val="auto"/>
                <w:lang w:val="en-GB"/>
              </w:rPr>
              <w:t>及时清理，交</w:t>
            </w:r>
            <w:r>
              <w:rPr>
                <w:color w:val="auto"/>
                <w:kern w:val="0"/>
              </w:rPr>
              <w:t>由</w:t>
            </w:r>
            <w:r>
              <w:rPr>
                <w:color w:val="auto"/>
              </w:rPr>
              <w:t>环卫部门统一清运至当地生活垃圾</w:t>
            </w:r>
            <w:r>
              <w:rPr>
                <w:color w:val="auto"/>
                <w:lang w:val="en-GB"/>
              </w:rPr>
              <w:t>填埋场进行卫生填埋处置，</w:t>
            </w:r>
            <w:r>
              <w:rPr>
                <w:color w:val="auto"/>
                <w:kern w:val="0"/>
              </w:rPr>
              <w:t>以最大限度的减少生活垃圾对环境的影响。</w:t>
            </w:r>
          </w:p>
          <w:p>
            <w:pPr>
              <w:pStyle w:val="37"/>
              <w:spacing w:line="560" w:lineRule="exact"/>
              <w:ind w:left="420" w:leftChars="200"/>
              <w:jc w:val="both"/>
              <w:rPr>
                <w:rFonts w:ascii="宋体" w:hAnsi="宋体" w:cs="宋体"/>
                <w:color w:val="auto"/>
                <w:kern w:val="0"/>
                <w:sz w:val="24"/>
                <w:szCs w:val="24"/>
                <w:lang w:bidi="ar"/>
              </w:rPr>
            </w:pPr>
            <w:r>
              <w:rPr>
                <w:rFonts w:hint="eastAsia" w:ascii="宋体" w:hAnsi="宋体" w:cs="宋体"/>
                <w:color w:val="auto"/>
                <w:kern w:val="0"/>
                <w:sz w:val="24"/>
                <w:szCs w:val="24"/>
                <w:lang w:bidi="ar"/>
              </w:rPr>
              <w:t>（2）一般固废</w:t>
            </w:r>
          </w:p>
          <w:p>
            <w:pPr>
              <w:pStyle w:val="37"/>
              <w:spacing w:line="560" w:lineRule="exact"/>
              <w:ind w:left="420" w:leftChars="200"/>
              <w:jc w:val="both"/>
              <w:rPr>
                <w:rFonts w:ascii="宋体" w:hAnsi="宋体" w:cs="宋体"/>
                <w:color w:val="auto"/>
                <w:kern w:val="0"/>
                <w:sz w:val="24"/>
                <w:szCs w:val="24"/>
                <w:lang w:bidi="ar"/>
              </w:rPr>
            </w:pPr>
            <w:r>
              <w:rPr>
                <w:rFonts w:ascii="Times New Roman" w:hAnsi="Times New Roman"/>
                <w:color w:val="auto"/>
                <w:kern w:val="0"/>
                <w:sz w:val="24"/>
                <w:szCs w:val="24"/>
                <w:lang w:bidi="ar"/>
              </w:rPr>
              <w:t>①</w:t>
            </w:r>
            <w:r>
              <w:rPr>
                <w:rFonts w:hint="eastAsia" w:ascii="宋体" w:hAnsi="宋体" w:cs="宋体"/>
                <w:color w:val="auto"/>
                <w:kern w:val="0"/>
                <w:sz w:val="24"/>
                <w:szCs w:val="24"/>
                <w:lang w:bidi="ar"/>
              </w:rPr>
              <w:t>袋式除尘器收集粉尘</w:t>
            </w:r>
          </w:p>
          <w:p>
            <w:pPr>
              <w:pStyle w:val="37"/>
              <w:spacing w:line="560" w:lineRule="exact"/>
              <w:ind w:firstLine="480" w:firstLineChars="200"/>
              <w:jc w:val="left"/>
              <w:rPr>
                <w:rFonts w:ascii="Times New Roman" w:hAnsi="Times New Roman"/>
                <w:snapToGrid/>
                <w:color w:val="auto"/>
                <w:sz w:val="24"/>
                <w:szCs w:val="24"/>
              </w:rPr>
            </w:pPr>
            <w:r>
              <w:rPr>
                <w:rFonts w:hint="eastAsia" w:ascii="Times New Roman" w:hAnsi="Times New Roman"/>
                <w:snapToGrid/>
                <w:color w:val="auto"/>
                <w:sz w:val="24"/>
                <w:szCs w:val="24"/>
              </w:rPr>
              <w:t>根据</w:t>
            </w:r>
            <w:r>
              <w:rPr>
                <w:rFonts w:ascii="Times New Roman" w:hAnsi="Times New Roman"/>
                <w:snapToGrid/>
                <w:color w:val="auto"/>
                <w:sz w:val="24"/>
                <w:szCs w:val="24"/>
              </w:rPr>
              <w:t>运营期大气污染物影响分析，本项目</w:t>
            </w:r>
            <w:r>
              <w:rPr>
                <w:rFonts w:hint="eastAsia" w:ascii="Times New Roman" w:hAnsi="Times New Roman"/>
                <w:snapToGrid/>
                <w:color w:val="auto"/>
                <w:sz w:val="24"/>
                <w:szCs w:val="24"/>
              </w:rPr>
              <w:t>粉料筒仓产生</w:t>
            </w:r>
            <w:r>
              <w:rPr>
                <w:rFonts w:ascii="Times New Roman" w:hAnsi="Times New Roman"/>
                <w:snapToGrid/>
                <w:color w:val="auto"/>
                <w:sz w:val="24"/>
                <w:szCs w:val="24"/>
              </w:rPr>
              <w:t>颗粒物采用袋式除尘器除尘，除尘灰的产生量为</w:t>
            </w:r>
            <w:r>
              <w:rPr>
                <w:rFonts w:hint="eastAsia" w:ascii="Times New Roman" w:hAnsi="Times New Roman"/>
                <w:snapToGrid/>
                <w:color w:val="auto"/>
                <w:sz w:val="24"/>
                <w:szCs w:val="24"/>
              </w:rPr>
              <w:t>41.296</w:t>
            </w:r>
            <w:r>
              <w:rPr>
                <w:rFonts w:ascii="Times New Roman" w:hAnsi="Times New Roman"/>
                <w:snapToGrid/>
                <w:color w:val="auto"/>
                <w:sz w:val="24"/>
                <w:szCs w:val="24"/>
              </w:rPr>
              <w:t>t/a，收集后回用于生产。</w:t>
            </w:r>
          </w:p>
          <w:p>
            <w:pPr>
              <w:spacing w:line="560" w:lineRule="exact"/>
              <w:ind w:firstLine="480" w:firstLineChars="200"/>
              <w:rPr>
                <w:color w:val="auto"/>
                <w:sz w:val="24"/>
              </w:rPr>
            </w:pPr>
            <w:r>
              <w:rPr>
                <w:color w:val="auto"/>
                <w:sz w:val="24"/>
              </w:rPr>
              <w:t>②沉淀池沉淀物</w:t>
            </w:r>
          </w:p>
          <w:p>
            <w:pPr>
              <w:spacing w:line="560" w:lineRule="exact"/>
              <w:ind w:firstLine="480" w:firstLineChars="200"/>
              <w:rPr>
                <w:color w:val="auto"/>
                <w:sz w:val="24"/>
              </w:rPr>
            </w:pPr>
            <w:r>
              <w:rPr>
                <w:color w:val="auto"/>
                <w:sz w:val="24"/>
              </w:rPr>
              <w:t>对设备、车辆、场地冲洗产生的废水采用沉淀池沉淀处理后废水回用，由此产生沉渣，清洗废水中SS浓度约为1000mg/L，经沉淀后去除效率按95%计，根据水量及SS排放浓度可以估算出，沉渣产生量约为</w:t>
            </w:r>
            <w:r>
              <w:rPr>
                <w:rFonts w:hint="eastAsia"/>
                <w:color w:val="auto"/>
                <w:sz w:val="24"/>
              </w:rPr>
              <w:t>2.80t</w:t>
            </w:r>
            <w:r>
              <w:rPr>
                <w:color w:val="auto"/>
                <w:sz w:val="24"/>
              </w:rPr>
              <w:t>/a，回用于生产。</w:t>
            </w:r>
          </w:p>
          <w:p>
            <w:pPr>
              <w:spacing w:line="560" w:lineRule="exact"/>
              <w:ind w:firstLine="480" w:firstLineChars="200"/>
              <w:rPr>
                <w:color w:val="auto"/>
                <w:sz w:val="24"/>
              </w:rPr>
            </w:pPr>
            <w:r>
              <w:rPr>
                <w:color w:val="auto"/>
                <w:sz w:val="24"/>
              </w:rPr>
              <w:t>③</w:t>
            </w:r>
            <w:r>
              <w:rPr>
                <w:rFonts w:hint="eastAsia"/>
                <w:color w:val="auto"/>
                <w:sz w:val="24"/>
              </w:rPr>
              <w:t>钢筋边角料</w:t>
            </w:r>
          </w:p>
          <w:p>
            <w:pPr>
              <w:spacing w:line="560" w:lineRule="exact"/>
              <w:ind w:firstLine="480" w:firstLineChars="200"/>
              <w:rPr>
                <w:rFonts w:hint="eastAsia"/>
                <w:color w:val="auto"/>
                <w:sz w:val="24"/>
              </w:rPr>
            </w:pPr>
            <w:r>
              <w:rPr>
                <w:rFonts w:hint="eastAsia"/>
                <w:color w:val="auto"/>
                <w:sz w:val="24"/>
              </w:rPr>
              <w:t>项目预制混凝土钢筋制作过程会产生少量钢筋边角料，产生量约占钢筋用量的3%。则钢筋边角料为855t/a，收集后出售给废品回收站。</w:t>
            </w:r>
          </w:p>
          <w:p>
            <w:pPr>
              <w:spacing w:line="560" w:lineRule="exact"/>
              <w:ind w:firstLine="480" w:firstLineChars="200"/>
              <w:rPr>
                <w:rFonts w:hint="eastAsia"/>
                <w:color w:val="auto"/>
                <w:sz w:val="24"/>
                <w:lang w:val="en-US" w:eastAsia="zh-CN"/>
              </w:rPr>
            </w:pPr>
            <w:r>
              <w:rPr>
                <w:rFonts w:hint="eastAsia"/>
                <w:color w:val="auto"/>
                <w:sz w:val="24"/>
              </w:rPr>
              <w:t>④</w:t>
            </w:r>
            <w:r>
              <w:rPr>
                <w:rFonts w:hint="eastAsia"/>
                <w:color w:val="auto"/>
                <w:sz w:val="24"/>
                <w:lang w:val="en-US" w:eastAsia="zh-CN"/>
              </w:rPr>
              <w:t>实验后的混凝土</w:t>
            </w:r>
          </w:p>
          <w:p>
            <w:pPr>
              <w:spacing w:line="560" w:lineRule="exact"/>
              <w:ind w:firstLine="480" w:firstLineChars="200"/>
              <w:rPr>
                <w:rFonts w:hint="eastAsia"/>
                <w:color w:val="auto"/>
                <w:sz w:val="24"/>
                <w:lang w:val="en-US" w:eastAsia="zh-CN"/>
              </w:rPr>
            </w:pPr>
            <w:r>
              <w:rPr>
                <w:rFonts w:hint="eastAsia"/>
                <w:color w:val="auto"/>
                <w:sz w:val="24"/>
                <w:lang w:val="en-US" w:eastAsia="zh-CN"/>
              </w:rPr>
              <w:t>依据建设单位提供数据，试验后的混凝土约5t/a，可作为厂区道路建设的路面铺垫料或地面平整的填料综合利用。</w:t>
            </w:r>
          </w:p>
          <w:p>
            <w:pPr>
              <w:spacing w:line="560" w:lineRule="exact"/>
              <w:ind w:firstLine="480" w:firstLineChars="200"/>
              <w:rPr>
                <w:rFonts w:hint="eastAsia"/>
                <w:color w:val="auto"/>
                <w:sz w:val="24"/>
                <w:lang w:val="en-US" w:eastAsia="zh-CN"/>
              </w:rPr>
            </w:pPr>
            <w:r>
              <w:rPr>
                <w:rFonts w:hint="eastAsia"/>
                <w:color w:val="auto"/>
                <w:sz w:val="24"/>
                <w:lang w:val="en-US" w:eastAsia="zh-CN"/>
              </w:rPr>
              <w:t>⑤食堂隔油池废油</w:t>
            </w:r>
          </w:p>
          <w:p>
            <w:pPr>
              <w:pStyle w:val="25"/>
              <w:keepNext w:val="0"/>
              <w:keepLines w:val="0"/>
              <w:pageBreakBefore w:val="0"/>
              <w:widowControl w:val="0"/>
              <w:kinsoku/>
              <w:wordWrap/>
              <w:overflowPunct/>
              <w:topLinePunct w:val="0"/>
              <w:autoSpaceDE/>
              <w:autoSpaceDN/>
              <w:bidi w:val="0"/>
              <w:adjustRightInd/>
              <w:snapToGrid/>
              <w:spacing w:after="0" w:line="580" w:lineRule="exact"/>
              <w:ind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项目设一座食堂，餐饮废水先经隔油池隔油后与生活污水一起排至</w:t>
            </w:r>
            <w:r>
              <w:rPr>
                <w:rFonts w:hint="default" w:ascii="Times New Roman" w:hAnsi="Times New Roman" w:eastAsia="宋体" w:cs="Times New Roman"/>
                <w:color w:val="auto"/>
                <w:kern w:val="2"/>
                <w:sz w:val="24"/>
                <w:szCs w:val="24"/>
                <w:lang w:val="en-US" w:eastAsia="zh-CN" w:bidi="ar-SA"/>
              </w:rPr>
              <w:t>一同排入化粪池处理，</w:t>
            </w:r>
            <w:r>
              <w:rPr>
                <w:rFonts w:hint="eastAsia" w:ascii="Times New Roman" w:hAnsi="Times New Roman" w:eastAsia="宋体" w:cs="Times New Roman"/>
                <w:color w:val="auto"/>
                <w:kern w:val="2"/>
                <w:sz w:val="24"/>
                <w:szCs w:val="24"/>
                <w:lang w:val="en-US" w:eastAsia="zh-CN" w:bidi="ar-SA"/>
              </w:rPr>
              <w:t>定期</w:t>
            </w:r>
            <w:r>
              <w:rPr>
                <w:rFonts w:hint="default" w:ascii="Times New Roman" w:hAnsi="Times New Roman" w:eastAsia="宋体" w:cs="Times New Roman"/>
                <w:color w:val="auto"/>
                <w:kern w:val="2"/>
                <w:sz w:val="24"/>
                <w:szCs w:val="24"/>
                <w:lang w:val="en-US" w:eastAsia="zh-CN" w:bidi="ar-SA"/>
              </w:rPr>
              <w:t>由吸污车清运至奎屯市中区污水处理厂处理。</w:t>
            </w:r>
            <w:r>
              <w:rPr>
                <w:rFonts w:hint="eastAsia" w:cs="Times New Roman"/>
                <w:color w:val="auto"/>
                <w:kern w:val="2"/>
                <w:sz w:val="24"/>
                <w:szCs w:val="24"/>
                <w:lang w:val="en-US" w:eastAsia="zh-CN" w:bidi="ar-SA"/>
              </w:rPr>
              <w:t>隔油池废油产生量约为0.02t/a。隔油池废油定期清掏委托有资质单位进行处置。</w:t>
            </w:r>
          </w:p>
          <w:p>
            <w:pPr>
              <w:keepNext w:val="0"/>
              <w:keepLines w:val="0"/>
              <w:pageBreakBefore w:val="0"/>
              <w:widowControl w:val="0"/>
              <w:kinsoku/>
              <w:wordWrap/>
              <w:overflowPunct/>
              <w:topLinePunct w:val="0"/>
              <w:autoSpaceDE/>
              <w:autoSpaceDN/>
              <w:bidi w:val="0"/>
              <w:spacing w:line="520" w:lineRule="exact"/>
              <w:ind w:firstLine="480" w:firstLineChars="200"/>
              <w:rPr>
                <w:color w:val="auto"/>
                <w:sz w:val="24"/>
              </w:rPr>
            </w:pPr>
            <w:r>
              <w:rPr>
                <w:rFonts w:hint="eastAsia"/>
                <w:color w:val="auto"/>
                <w:sz w:val="24"/>
                <w:lang w:eastAsia="zh-CN"/>
              </w:rPr>
              <w:t>（</w:t>
            </w:r>
            <w:r>
              <w:rPr>
                <w:rFonts w:hint="eastAsia"/>
                <w:color w:val="auto"/>
                <w:sz w:val="24"/>
                <w:lang w:val="en-US" w:eastAsia="zh-CN"/>
              </w:rPr>
              <w:t>3</w:t>
            </w:r>
            <w:r>
              <w:rPr>
                <w:rFonts w:hint="eastAsia"/>
                <w:color w:val="auto"/>
                <w:sz w:val="24"/>
                <w:lang w:eastAsia="zh-CN"/>
              </w:rPr>
              <w:t>）</w:t>
            </w:r>
            <w:r>
              <w:rPr>
                <w:rFonts w:hint="eastAsia"/>
                <w:color w:val="auto"/>
                <w:sz w:val="24"/>
              </w:rPr>
              <w:t>危险废物</w:t>
            </w:r>
          </w:p>
          <w:p>
            <w:pPr>
              <w:keepNext w:val="0"/>
              <w:keepLines w:val="0"/>
              <w:pageBreakBefore w:val="0"/>
              <w:widowControl w:val="0"/>
              <w:kinsoku/>
              <w:wordWrap/>
              <w:overflowPunct/>
              <w:topLinePunct w:val="0"/>
              <w:autoSpaceDE/>
              <w:autoSpaceDN/>
              <w:bidi w:val="0"/>
              <w:spacing w:line="520" w:lineRule="exact"/>
              <w:ind w:firstLine="480" w:firstLineChars="200"/>
              <w:rPr>
                <w:color w:val="auto"/>
                <w:sz w:val="24"/>
                <w:szCs w:val="24"/>
              </w:rPr>
            </w:pPr>
            <w:r>
              <w:rPr>
                <w:rFonts w:hint="eastAsia"/>
                <w:color w:val="auto"/>
                <w:sz w:val="24"/>
                <w:szCs w:val="24"/>
                <w:lang w:val="en-US" w:eastAsia="zh-CN"/>
              </w:rPr>
              <w:t>本项目设备检修过程会产生少量废润滑油、废油桶及</w:t>
            </w:r>
            <w:r>
              <w:rPr>
                <w:rFonts w:hint="default" w:ascii="Times New Roman" w:hAnsi="Times New Roman" w:eastAsia="仿宋_GB2312" w:cs="Times New Roman"/>
                <w:color w:val="auto"/>
                <w:szCs w:val="32"/>
                <w:highlight w:val="none"/>
                <w:lang w:val="en-US" w:eastAsia="zh-CN"/>
              </w:rPr>
              <w:t>废含油抹布及手套</w:t>
            </w:r>
            <w:r>
              <w:rPr>
                <w:rFonts w:hint="eastAsia"/>
                <w:color w:val="auto"/>
                <w:sz w:val="24"/>
                <w:szCs w:val="24"/>
                <w:lang w:val="en-US" w:eastAsia="zh-CN"/>
              </w:rPr>
              <w:t>等，废润滑油年产生量约0.1t/a，废油桶产生量约为0.02t/a，</w:t>
            </w:r>
            <w:r>
              <w:rPr>
                <w:rFonts w:hint="default" w:ascii="Times New Roman" w:hAnsi="Times New Roman" w:eastAsia="仿宋_GB2312" w:cs="Times New Roman"/>
                <w:color w:val="auto"/>
                <w:szCs w:val="32"/>
                <w:highlight w:val="none"/>
                <w:lang w:val="en-US" w:eastAsia="zh-CN"/>
              </w:rPr>
              <w:t>废含油抹布及手套</w:t>
            </w:r>
            <w:r>
              <w:rPr>
                <w:rFonts w:hint="eastAsia" w:eastAsia="仿宋_GB2312" w:cs="Times New Roman"/>
                <w:color w:val="auto"/>
                <w:szCs w:val="32"/>
                <w:highlight w:val="none"/>
                <w:lang w:val="en-US" w:eastAsia="zh-CN"/>
              </w:rPr>
              <w:t>产生量约0.0</w:t>
            </w:r>
            <w:r>
              <w:rPr>
                <w:rFonts w:hint="eastAsia"/>
                <w:color w:val="auto"/>
                <w:sz w:val="24"/>
                <w:szCs w:val="24"/>
                <w:lang w:val="en-US" w:eastAsia="zh-CN"/>
              </w:rPr>
              <w:t>3t/a，依据《国家危险废物名录》（2021年版），废润滑油代码为HW08 900-214-08，废油桶代码为（HW08 900-249-08），</w:t>
            </w:r>
            <w:r>
              <w:rPr>
                <w:rFonts w:hint="default"/>
                <w:color w:val="auto"/>
                <w:sz w:val="24"/>
                <w:szCs w:val="24"/>
                <w:lang w:val="en-US" w:eastAsia="zh-CN"/>
              </w:rPr>
              <w:t>废含油抹布及手套</w:t>
            </w:r>
            <w:r>
              <w:rPr>
                <w:rFonts w:hint="eastAsia"/>
                <w:color w:val="auto"/>
                <w:sz w:val="24"/>
                <w:szCs w:val="24"/>
                <w:lang w:val="en-US" w:eastAsia="zh-CN"/>
              </w:rPr>
              <w:t>代码为</w:t>
            </w:r>
            <w:r>
              <w:rPr>
                <w:rFonts w:hint="default"/>
                <w:color w:val="auto"/>
                <w:sz w:val="24"/>
                <w:szCs w:val="24"/>
                <w:lang w:val="en-US" w:eastAsia="zh-CN"/>
              </w:rPr>
              <w:t>HW49，900-041-49</w:t>
            </w:r>
            <w:r>
              <w:rPr>
                <w:rFonts w:hint="eastAsia"/>
                <w:color w:val="auto"/>
                <w:sz w:val="24"/>
                <w:szCs w:val="24"/>
                <w:lang w:val="en-US" w:eastAsia="zh-CN"/>
              </w:rPr>
              <w:t>。</w:t>
            </w:r>
            <w:r>
              <w:rPr>
                <w:rFonts w:hint="eastAsia" w:cs="Times New Roman"/>
                <w:snapToGrid/>
                <w:color w:val="auto"/>
                <w:sz w:val="24"/>
                <w:szCs w:val="24"/>
              </w:rPr>
              <w:t>本环评要求在厂区设置一间危废暂存间</w:t>
            </w:r>
            <w:r>
              <w:rPr>
                <w:rFonts w:hint="eastAsia"/>
                <w:color w:val="auto"/>
                <w:sz w:val="24"/>
                <w:szCs w:val="24"/>
              </w:rPr>
              <w:t>，用于危险废物临时贮存，危废暂存间占地面积约为</w:t>
            </w:r>
            <w:r>
              <w:rPr>
                <w:color w:val="auto"/>
                <w:sz w:val="24"/>
                <w:szCs w:val="24"/>
              </w:rPr>
              <w:t>10m</w:t>
            </w:r>
            <w:r>
              <w:rPr>
                <w:color w:val="auto"/>
                <w:sz w:val="24"/>
                <w:szCs w:val="24"/>
                <w:vertAlign w:val="superscript"/>
              </w:rPr>
              <w:t>2</w:t>
            </w:r>
            <w:r>
              <w:rPr>
                <w:rFonts w:hint="eastAsia"/>
                <w:color w:val="auto"/>
                <w:sz w:val="24"/>
                <w:szCs w:val="24"/>
              </w:rPr>
              <w:t>，按照《危险废物贮存污染控制标准》（</w:t>
            </w:r>
            <w:r>
              <w:rPr>
                <w:color w:val="auto"/>
                <w:sz w:val="24"/>
                <w:szCs w:val="24"/>
              </w:rPr>
              <w:t>GB18597-20</w:t>
            </w:r>
            <w:r>
              <w:rPr>
                <w:rFonts w:hint="eastAsia"/>
                <w:color w:val="auto"/>
                <w:sz w:val="24"/>
                <w:szCs w:val="24"/>
              </w:rPr>
              <w:t>23）的相关要求建设，危废暂存间必须满足</w:t>
            </w:r>
            <w:r>
              <w:rPr>
                <w:rFonts w:ascii="宋体" w:hAnsi="宋体"/>
                <w:color w:val="auto"/>
                <w:sz w:val="24"/>
                <w:szCs w:val="24"/>
              </w:rPr>
              <w:t>防风、防晒、防雨、防漏、防渗、防腐</w:t>
            </w:r>
            <w:r>
              <w:rPr>
                <w:rFonts w:hint="eastAsia" w:ascii="宋体" w:hAnsi="宋体"/>
                <w:color w:val="auto"/>
                <w:sz w:val="24"/>
                <w:szCs w:val="24"/>
              </w:rPr>
              <w:t>等要求</w:t>
            </w:r>
            <w:r>
              <w:rPr>
                <w:rFonts w:ascii="宋体" w:hAnsi="宋体"/>
                <w:color w:val="auto"/>
                <w:sz w:val="24"/>
                <w:szCs w:val="24"/>
              </w:rPr>
              <w:t>，贮存设施或贮存分区内地面、墙面裙脚、堵截泄漏的围堰、接触危险废物的隔板和墙体等应采用坚固的材料建造，表面无裂缝。</w:t>
            </w:r>
            <w:r>
              <w:rPr>
                <w:rFonts w:hint="eastAsia"/>
                <w:color w:val="auto"/>
                <w:sz w:val="24"/>
                <w:szCs w:val="24"/>
              </w:rPr>
              <w:t>地面采取基础防渗，防渗层为至少1m厚黏土层（渗透系数不大于10</w:t>
            </w:r>
            <w:r>
              <w:rPr>
                <w:rFonts w:hint="eastAsia"/>
                <w:color w:val="auto"/>
                <w:sz w:val="24"/>
                <w:szCs w:val="24"/>
                <w:vertAlign w:val="superscript"/>
              </w:rPr>
              <w:t>-7</w:t>
            </w:r>
            <w:r>
              <w:rPr>
                <w:rFonts w:hint="eastAsia"/>
                <w:color w:val="auto"/>
                <w:sz w:val="24"/>
                <w:szCs w:val="24"/>
              </w:rPr>
              <w:t>cm/s），或至少2mm厚高密度聚乙烯膜等人工防渗材料（渗透系数不大于10</w:t>
            </w:r>
            <w:r>
              <w:rPr>
                <w:rFonts w:hint="eastAsia"/>
                <w:color w:val="auto"/>
                <w:sz w:val="24"/>
                <w:szCs w:val="24"/>
                <w:vertAlign w:val="superscript"/>
              </w:rPr>
              <w:t>-10</w:t>
            </w:r>
            <w:r>
              <w:rPr>
                <w:rFonts w:hint="eastAsia"/>
                <w:color w:val="auto"/>
                <w:sz w:val="24"/>
                <w:szCs w:val="24"/>
              </w:rPr>
              <w:t>cm/s），或其他防渗性能等效的材料，四周壁及裙角铺设土工膜，再用水泥硬化，并与地面防渗层连成整体，并在周边设置围堰，在围堰内涂环氧树脂防渗，渗透系数≤1.0×10</w:t>
            </w:r>
            <w:r>
              <w:rPr>
                <w:rFonts w:hint="eastAsia"/>
                <w:color w:val="auto"/>
                <w:sz w:val="24"/>
                <w:szCs w:val="24"/>
                <w:vertAlign w:val="superscript"/>
              </w:rPr>
              <w:t>-10</w:t>
            </w:r>
            <w:r>
              <w:rPr>
                <w:rFonts w:hint="eastAsia"/>
                <w:color w:val="auto"/>
                <w:sz w:val="24"/>
                <w:szCs w:val="24"/>
              </w:rPr>
              <w:t>cm/s。</w:t>
            </w:r>
          </w:p>
          <w:p>
            <w:pPr>
              <w:pStyle w:val="69"/>
              <w:keepNext w:val="0"/>
              <w:keepLines w:val="0"/>
              <w:pageBreakBefore w:val="0"/>
              <w:widowControl w:val="0"/>
              <w:kinsoku/>
              <w:wordWrap/>
              <w:overflowPunct/>
              <w:topLinePunct w:val="0"/>
              <w:autoSpaceDE/>
              <w:autoSpaceDN/>
              <w:bidi w:val="0"/>
              <w:adjustRightInd w:val="0"/>
              <w:snapToGrid w:val="0"/>
              <w:spacing w:line="520" w:lineRule="exact"/>
              <w:ind w:left="0" w:leftChars="0" w:firstLine="480" w:firstLineChars="200"/>
              <w:textAlignment w:val="baseline"/>
              <w:rPr>
                <w:color w:val="auto"/>
              </w:rPr>
            </w:pPr>
            <w:r>
              <w:rPr>
                <w:rFonts w:hint="eastAsia"/>
                <w:color w:val="auto"/>
              </w:rPr>
              <w:t>本项目危险废物经危废暂存间临时贮存，定期交由有资质单位进行运输及处置。</w:t>
            </w:r>
          </w:p>
          <w:p>
            <w:pPr>
              <w:pStyle w:val="69"/>
              <w:keepNext w:val="0"/>
              <w:keepLines w:val="0"/>
              <w:pageBreakBefore w:val="0"/>
              <w:widowControl w:val="0"/>
              <w:kinsoku/>
              <w:wordWrap/>
              <w:overflowPunct/>
              <w:topLinePunct w:val="0"/>
              <w:autoSpaceDE/>
              <w:autoSpaceDN/>
              <w:bidi w:val="0"/>
              <w:adjustRightInd w:val="0"/>
              <w:snapToGrid w:val="0"/>
              <w:ind w:left="0" w:leftChars="0" w:firstLine="476" w:firstLineChars="200"/>
              <w:textAlignment w:val="baseline"/>
              <w:rPr>
                <w:color w:val="auto"/>
                <w:spacing w:val="-1"/>
              </w:rPr>
            </w:pPr>
            <w:r>
              <w:rPr>
                <w:rFonts w:hint="eastAsia"/>
                <w:color w:val="auto"/>
                <w:spacing w:val="-1"/>
              </w:rPr>
              <w:t>（4）固体废物环境管理要求</w:t>
            </w:r>
          </w:p>
          <w:p>
            <w:pPr>
              <w:pStyle w:val="69"/>
              <w:keepNext w:val="0"/>
              <w:keepLines w:val="0"/>
              <w:pageBreakBefore w:val="0"/>
              <w:widowControl w:val="0"/>
              <w:kinsoku/>
              <w:wordWrap/>
              <w:overflowPunct/>
              <w:topLinePunct w:val="0"/>
              <w:autoSpaceDE/>
              <w:autoSpaceDN/>
              <w:bidi w:val="0"/>
              <w:adjustRightInd w:val="0"/>
              <w:snapToGrid w:val="0"/>
              <w:ind w:left="0" w:leftChars="0" w:firstLine="480" w:firstLineChars="200"/>
              <w:textAlignment w:val="baseline"/>
              <w:rPr>
                <w:color w:val="auto"/>
              </w:rPr>
            </w:pPr>
            <w:r>
              <w:rPr>
                <w:rFonts w:hint="eastAsia"/>
                <w:color w:val="auto"/>
              </w:rPr>
              <w:t>建设单位应根据《一般工业固体废物管理台账制定指南（试行）》和《</w:t>
            </w:r>
            <w:r>
              <w:rPr>
                <w:color w:val="auto"/>
              </w:rPr>
              <w:fldChar w:fldCharType="begin"/>
            </w:r>
            <w:r>
              <w:rPr>
                <w:color w:val="auto"/>
              </w:rPr>
              <w:instrText xml:space="preserve"> HYPERLINK "https://www.mee.gov.cn/gkml/hbb/bgg/201601/W020160128385366835993.pdf" </w:instrText>
            </w:r>
            <w:r>
              <w:rPr>
                <w:color w:val="auto"/>
              </w:rPr>
              <w:fldChar w:fldCharType="separate"/>
            </w:r>
            <w:r>
              <w:rPr>
                <w:rFonts w:hint="eastAsia"/>
                <w:color w:val="auto"/>
              </w:rPr>
              <w:t>危险废物管理计划和</w:t>
            </w:r>
            <w:r>
              <w:rPr>
                <w:rFonts w:hint="eastAsia"/>
                <w:color w:val="auto"/>
              </w:rPr>
              <w:fldChar w:fldCharType="end"/>
            </w:r>
            <w:r>
              <w:rPr>
                <w:rFonts w:hint="eastAsia"/>
                <w:color w:val="auto"/>
              </w:rPr>
              <w:t>管理台账制定技术导则》制定一般工业固体废物及危险废物管理台账。</w:t>
            </w:r>
          </w:p>
          <w:p>
            <w:pPr>
              <w:pStyle w:val="69"/>
              <w:rPr>
                <w:color w:val="auto"/>
              </w:rPr>
            </w:pPr>
            <w:r>
              <w:rPr>
                <w:rFonts w:hint="eastAsia"/>
                <w:color w:val="auto"/>
              </w:rPr>
              <w:t>一般工业固体废物管理台账实施分级管理。主要用于记录固体废物的基础信息及流向信息，固体废物的产生、贮存、利用、处置数量和利用、处置方式等信息。具体填写要求依据《一般工业固体废物管理台账制定指南（试行）》中的附表格式要求填写。</w:t>
            </w:r>
          </w:p>
          <w:p>
            <w:pPr>
              <w:pStyle w:val="69"/>
              <w:rPr>
                <w:color w:val="auto"/>
              </w:rPr>
            </w:pPr>
            <w:r>
              <w:rPr>
                <w:rFonts w:hint="eastAsia"/>
                <w:color w:val="auto"/>
              </w:rPr>
              <w:t>建设单位应当设立专人负责台账的管理与归档，一般工业固体废物管理台账保存期限不少于5年。</w:t>
            </w:r>
          </w:p>
          <w:p>
            <w:pPr>
              <w:pStyle w:val="69"/>
              <w:ind w:firstLine="476"/>
              <w:rPr>
                <w:color w:val="auto"/>
                <w:spacing w:val="-1"/>
              </w:rPr>
            </w:pPr>
            <w:r>
              <w:rPr>
                <w:rFonts w:hint="eastAsia"/>
                <w:color w:val="auto"/>
                <w:spacing w:val="-1"/>
              </w:rPr>
              <w:t>建设单位应当于每年3月31日前通过国家危险废物信息管理系统在线填写并提交当年度的危险废物管理计划，由国家危险废物信息管理系统自动生成备案编号和回执，完成备案。危险废物管理计划备案内容需要调整的，产生危险废物的单位应当及时变更。</w:t>
            </w:r>
          </w:p>
          <w:p>
            <w:pPr>
              <w:pStyle w:val="69"/>
              <w:ind w:firstLine="476"/>
              <w:rPr>
                <w:color w:val="auto"/>
                <w:spacing w:val="-1"/>
              </w:rPr>
            </w:pPr>
            <w:r>
              <w:rPr>
                <w:rFonts w:hint="eastAsia"/>
                <w:color w:val="auto"/>
                <w:spacing w:val="-1"/>
              </w:rPr>
              <w:t>建设单位应建立危险废物管理台账，落实危险废物管理台账记录的责任人，明确工作职责，并对危险废物管理台账的真实性、准确性和完整性负法律责任。 建设单位应根据危险废物产生、贮存、利用、处置等环节的动态流向，如实建立各环节的危险废物管理台账，记录内容参见《</w:t>
            </w:r>
            <w:r>
              <w:rPr>
                <w:color w:val="auto"/>
              </w:rPr>
              <w:fldChar w:fldCharType="begin"/>
            </w:r>
            <w:r>
              <w:rPr>
                <w:color w:val="auto"/>
              </w:rPr>
              <w:instrText xml:space="preserve"> HYPERLINK "https://www.mee.gov.cn/gkml/hbb/bgg/201601/W020160128385366835993.pdf" </w:instrText>
            </w:r>
            <w:r>
              <w:rPr>
                <w:color w:val="auto"/>
              </w:rPr>
              <w:fldChar w:fldCharType="separate"/>
            </w:r>
            <w:r>
              <w:rPr>
                <w:rFonts w:hint="eastAsia"/>
                <w:color w:val="auto"/>
                <w:spacing w:val="-1"/>
              </w:rPr>
              <w:t>危险废物管理计划和</w:t>
            </w:r>
            <w:r>
              <w:rPr>
                <w:rFonts w:hint="eastAsia"/>
                <w:color w:val="auto"/>
                <w:spacing w:val="-1"/>
              </w:rPr>
              <w:fldChar w:fldCharType="end"/>
            </w:r>
            <w:r>
              <w:rPr>
                <w:rFonts w:hint="eastAsia"/>
                <w:color w:val="auto"/>
                <w:spacing w:val="-1"/>
              </w:rPr>
              <w:t>管理台账制定技术导则》附录B。危险废物管理台账分为电子管理台账和纸质管理台账两种形式。产生危险废物的单位可通过国家危险废物信息管理系统、企业自建信息管理系统或第三方平台等方式记录电子管理台账。</w:t>
            </w:r>
          </w:p>
          <w:p>
            <w:pPr>
              <w:pStyle w:val="112"/>
              <w:snapToGrid w:val="0"/>
              <w:ind w:firstLine="480"/>
              <w:rPr>
                <w:rFonts w:ascii="Times New Roman" w:hAnsi="Times New Roman"/>
                <w:color w:val="auto"/>
                <w:kern w:val="2"/>
              </w:rPr>
            </w:pPr>
            <w:r>
              <w:rPr>
                <w:rFonts w:ascii="Times New Roman" w:hAnsi="Times New Roman"/>
                <w:color w:val="auto"/>
                <w:kern w:val="2"/>
              </w:rPr>
              <w:t>按照《危险废物贮存污染控制标准》（GB18597-20</w:t>
            </w:r>
            <w:r>
              <w:rPr>
                <w:rFonts w:hint="eastAsia" w:ascii="Times New Roman" w:hAnsi="Times New Roman"/>
                <w:color w:val="auto"/>
                <w:kern w:val="2"/>
              </w:rPr>
              <w:t>23</w:t>
            </w:r>
            <w:r>
              <w:rPr>
                <w:rFonts w:ascii="Times New Roman" w:hAnsi="Times New Roman"/>
                <w:color w:val="auto"/>
                <w:kern w:val="2"/>
              </w:rPr>
              <w:t>）</w:t>
            </w:r>
            <w:r>
              <w:rPr>
                <w:rFonts w:hint="eastAsia" w:ascii="Times New Roman" w:hAnsi="Times New Roman"/>
                <w:color w:val="auto"/>
                <w:kern w:val="2"/>
              </w:rPr>
              <w:t>《危险废物识别标志设置技术规范》（HJ1276-2022）</w:t>
            </w:r>
            <w:r>
              <w:rPr>
                <w:rFonts w:ascii="Times New Roman" w:hAnsi="Times New Roman"/>
                <w:color w:val="auto"/>
                <w:lang w:bidi="ar"/>
              </w:rPr>
              <w:t>《环境保护图形标志---固体废物贮存（处置）场》（GB15562.2</w:t>
            </w:r>
            <w:r>
              <w:rPr>
                <w:rFonts w:hint="eastAsia" w:ascii="Times New Roman" w:hAnsi="Times New Roman"/>
                <w:color w:val="auto"/>
                <w:lang w:bidi="ar"/>
              </w:rPr>
              <w:t>-</w:t>
            </w:r>
            <w:r>
              <w:rPr>
                <w:rFonts w:ascii="Times New Roman" w:hAnsi="Times New Roman"/>
                <w:color w:val="auto"/>
                <w:lang w:bidi="ar"/>
              </w:rPr>
              <w:t>1995）修改单及</w:t>
            </w:r>
            <w:r>
              <w:rPr>
                <w:rFonts w:ascii="Times New Roman" w:hAnsi="Times New Roman"/>
                <w:color w:val="auto"/>
                <w:kern w:val="2"/>
              </w:rPr>
              <w:t>相关规定要求，</w:t>
            </w:r>
            <w:r>
              <w:rPr>
                <w:rFonts w:hint="eastAsia" w:ascii="Times New Roman" w:hAnsi="Times New Roman"/>
                <w:color w:val="auto"/>
                <w:kern w:val="2"/>
              </w:rPr>
              <w:t>危废暂存间</w:t>
            </w:r>
            <w:r>
              <w:rPr>
                <w:rFonts w:ascii="Times New Roman" w:hAnsi="Times New Roman"/>
                <w:color w:val="auto"/>
                <w:kern w:val="2"/>
              </w:rPr>
              <w:t>及</w:t>
            </w:r>
            <w:r>
              <w:rPr>
                <w:color w:val="auto"/>
                <w:szCs w:val="32"/>
              </w:rPr>
              <w:t>废</w:t>
            </w:r>
            <w:r>
              <w:rPr>
                <w:rFonts w:hint="eastAsia"/>
                <w:color w:val="auto"/>
                <w:szCs w:val="32"/>
              </w:rPr>
              <w:t>润滑</w:t>
            </w:r>
            <w:r>
              <w:rPr>
                <w:color w:val="auto"/>
                <w:szCs w:val="32"/>
              </w:rPr>
              <w:t>油</w:t>
            </w:r>
            <w:r>
              <w:rPr>
                <w:rFonts w:ascii="Times New Roman" w:hAnsi="Times New Roman"/>
                <w:color w:val="auto"/>
                <w:kern w:val="2"/>
              </w:rPr>
              <w:t>贮存容器上需要张贴有毒、易燃危险废物种类</w:t>
            </w:r>
            <w:r>
              <w:rPr>
                <w:rFonts w:hint="eastAsia" w:ascii="Times New Roman" w:hAnsi="Times New Roman"/>
                <w:color w:val="auto"/>
                <w:kern w:val="2"/>
              </w:rPr>
              <w:t>标识</w:t>
            </w:r>
            <w:r>
              <w:rPr>
                <w:rFonts w:ascii="Times New Roman" w:hAnsi="Times New Roman"/>
                <w:color w:val="auto"/>
                <w:kern w:val="2"/>
              </w:rPr>
              <w:t>，标识的设计需符合</w:t>
            </w:r>
            <w:r>
              <w:rPr>
                <w:rFonts w:hint="eastAsia" w:ascii="Times New Roman" w:hAnsi="Times New Roman"/>
                <w:color w:val="auto"/>
                <w:kern w:val="2"/>
              </w:rPr>
              <w:t>HJ1276-2022</w:t>
            </w:r>
            <w:r>
              <w:rPr>
                <w:rFonts w:ascii="Times New Roman" w:hAnsi="Times New Roman"/>
                <w:color w:val="auto"/>
                <w:kern w:val="2"/>
              </w:rPr>
              <w:t>的规定</w:t>
            </w:r>
            <w:r>
              <w:rPr>
                <w:rFonts w:hint="eastAsia" w:ascii="Times New Roman" w:hAnsi="Times New Roman"/>
                <w:color w:val="auto"/>
                <w:kern w:val="2"/>
              </w:rPr>
              <w:t>，</w:t>
            </w:r>
            <w:r>
              <w:rPr>
                <w:rFonts w:ascii="Times New Roman" w:hAnsi="Times New Roman"/>
                <w:color w:val="auto"/>
                <w:kern w:val="2"/>
              </w:rPr>
              <w:t>如表4-</w:t>
            </w:r>
            <w:r>
              <w:rPr>
                <w:rFonts w:hint="eastAsia" w:ascii="Times New Roman" w:hAnsi="Times New Roman"/>
                <w:color w:val="auto"/>
                <w:kern w:val="2"/>
              </w:rPr>
              <w:t>1</w:t>
            </w:r>
            <w:r>
              <w:rPr>
                <w:rFonts w:hint="eastAsia" w:ascii="Times New Roman" w:hAnsi="Times New Roman"/>
                <w:color w:val="auto"/>
                <w:kern w:val="2"/>
                <w:lang w:val="en-US" w:eastAsia="zh-CN"/>
              </w:rPr>
              <w:t>6</w:t>
            </w:r>
            <w:r>
              <w:rPr>
                <w:rFonts w:ascii="Times New Roman" w:hAnsi="Times New Roman"/>
                <w:color w:val="auto"/>
                <w:kern w:val="2"/>
              </w:rPr>
              <w:t>、表4-</w:t>
            </w:r>
            <w:r>
              <w:rPr>
                <w:rFonts w:hint="eastAsia" w:ascii="Times New Roman" w:hAnsi="Times New Roman"/>
                <w:color w:val="auto"/>
                <w:kern w:val="2"/>
              </w:rPr>
              <w:t>1</w:t>
            </w:r>
            <w:r>
              <w:rPr>
                <w:rFonts w:hint="eastAsia" w:ascii="Times New Roman" w:hAnsi="Times New Roman"/>
                <w:color w:val="auto"/>
                <w:kern w:val="2"/>
                <w:lang w:val="en-US" w:eastAsia="zh-CN"/>
              </w:rPr>
              <w:t>7</w:t>
            </w:r>
            <w:r>
              <w:rPr>
                <w:rFonts w:ascii="Times New Roman" w:hAnsi="Times New Roman"/>
                <w:color w:val="auto"/>
                <w:kern w:val="2"/>
              </w:rPr>
              <w:t>所示。</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表4-</w:t>
            </w:r>
            <w:r>
              <w:rPr>
                <w:rFonts w:hint="eastAsia" w:ascii="Times New Roman" w:hAnsi="Times New Roman" w:eastAsia="宋体" w:cs="Times New Roman"/>
                <w:b/>
                <w:color w:val="auto"/>
                <w:szCs w:val="21"/>
              </w:rPr>
              <w:t>1</w:t>
            </w:r>
            <w:r>
              <w:rPr>
                <w:rFonts w:hint="eastAsia" w:cs="Times New Roman"/>
                <w:b/>
                <w:color w:val="auto"/>
                <w:szCs w:val="21"/>
                <w:lang w:val="en-US" w:eastAsia="zh-CN"/>
              </w:rPr>
              <w:t>6</w:t>
            </w:r>
            <w:r>
              <w:rPr>
                <w:rFonts w:ascii="Times New Roman" w:hAnsi="Times New Roman" w:eastAsia="宋体" w:cs="Times New Roman"/>
                <w:b/>
                <w:color w:val="auto"/>
                <w:szCs w:val="21"/>
              </w:rPr>
              <w:t xml:space="preserve">  危废暂存间标签示例</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13" w:type="dxa"/>
                <w:bottom w:w="0" w:type="dxa"/>
                <w:right w:w="0" w:type="dxa"/>
              </w:tblCellMar>
            </w:tblPr>
            <w:tblGrid>
              <w:gridCol w:w="1229"/>
              <w:gridCol w:w="3744"/>
              <w:gridCol w:w="37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90" w:hRule="atLeast"/>
                <w:jc w:val="center"/>
              </w:trPr>
              <w:tc>
                <w:tcPr>
                  <w:tcW w:w="1229" w:type="dxa"/>
                  <w:vAlign w:val="center"/>
                </w:tcPr>
                <w:p>
                  <w:pPr>
                    <w:pStyle w:val="113"/>
                    <w:snapToGrid w:val="0"/>
                    <w:rPr>
                      <w:rFonts w:ascii="Times New Roman" w:hAnsi="Times New Roman" w:cs="Times New Roman"/>
                      <w:color w:val="auto"/>
                    </w:rPr>
                  </w:pPr>
                  <w:r>
                    <w:rPr>
                      <w:rFonts w:ascii="Times New Roman" w:hAnsi="Times New Roman" w:cs="Times New Roman"/>
                      <w:color w:val="auto"/>
                    </w:rPr>
                    <w:t>场合</w:t>
                  </w:r>
                </w:p>
              </w:tc>
              <w:tc>
                <w:tcPr>
                  <w:tcW w:w="3744" w:type="dxa"/>
                  <w:vAlign w:val="center"/>
                </w:tcPr>
                <w:p>
                  <w:pPr>
                    <w:pStyle w:val="113"/>
                    <w:snapToGrid w:val="0"/>
                    <w:rPr>
                      <w:rFonts w:ascii="Times New Roman" w:hAnsi="Times New Roman" w:cs="Times New Roman"/>
                      <w:color w:val="auto"/>
                    </w:rPr>
                  </w:pPr>
                  <w:r>
                    <w:rPr>
                      <w:rFonts w:ascii="Times New Roman" w:hAnsi="Times New Roman" w:cs="Times New Roman"/>
                      <w:color w:val="auto"/>
                    </w:rPr>
                    <w:t>样式</w:t>
                  </w:r>
                </w:p>
              </w:tc>
              <w:tc>
                <w:tcPr>
                  <w:tcW w:w="3758" w:type="dxa"/>
                  <w:vAlign w:val="center"/>
                </w:tcPr>
                <w:p>
                  <w:pPr>
                    <w:pStyle w:val="113"/>
                    <w:snapToGrid w:val="0"/>
                    <w:rPr>
                      <w:rFonts w:ascii="Times New Roman" w:hAnsi="Times New Roman" w:cs="Times New Roman"/>
                      <w:color w:val="auto"/>
                    </w:rPr>
                  </w:pPr>
                  <w:r>
                    <w:rPr>
                      <w:rFonts w:ascii="Times New Roman" w:hAnsi="Times New Roman" w:cs="Times New Roman"/>
                      <w:color w:val="auto"/>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3" w:type="dxa"/>
                  <w:bottom w:w="0" w:type="dxa"/>
                  <w:right w:w="0" w:type="dxa"/>
                </w:tblCellMar>
              </w:tblPrEx>
              <w:trPr>
                <w:trHeight w:val="340" w:hRule="atLeast"/>
                <w:jc w:val="center"/>
              </w:trPr>
              <w:tc>
                <w:tcPr>
                  <w:tcW w:w="1229" w:type="dxa"/>
                  <w:vAlign w:val="center"/>
                </w:tcPr>
                <w:p>
                  <w:pPr>
                    <w:pStyle w:val="113"/>
                    <w:snapToGrid w:val="0"/>
                    <w:rPr>
                      <w:rFonts w:ascii="Times New Roman" w:hAnsi="Times New Roman" w:cs="Times New Roman"/>
                      <w:color w:val="auto"/>
                    </w:rPr>
                  </w:pPr>
                  <w:r>
                    <w:rPr>
                      <w:rFonts w:ascii="Times New Roman" w:hAnsi="Times New Roman" w:cs="Times New Roman"/>
                      <w:color w:val="auto"/>
                    </w:rPr>
                    <w:t>室外</w:t>
                  </w:r>
                </w:p>
                <w:p>
                  <w:pPr>
                    <w:pStyle w:val="113"/>
                    <w:snapToGrid w:val="0"/>
                    <w:rPr>
                      <w:rFonts w:ascii="Times New Roman" w:hAnsi="Times New Roman" w:cs="Times New Roman"/>
                      <w:color w:val="auto"/>
                    </w:rPr>
                  </w:pPr>
                  <w:r>
                    <w:rPr>
                      <w:rFonts w:ascii="Times New Roman" w:hAnsi="Times New Roman" w:cs="Times New Roman"/>
                      <w:color w:val="auto"/>
                    </w:rPr>
                    <w:t>（粘贴于门上或悬挂）</w:t>
                  </w:r>
                </w:p>
              </w:tc>
              <w:tc>
                <w:tcPr>
                  <w:tcW w:w="3744" w:type="dxa"/>
                  <w:vAlign w:val="center"/>
                </w:tcPr>
                <w:p>
                  <w:pPr>
                    <w:pStyle w:val="113"/>
                    <w:snapToGrid w:val="0"/>
                    <w:rPr>
                      <w:rFonts w:ascii="Times New Roman" w:hAnsi="Times New Roman" w:cs="Times New Roman"/>
                      <w:color w:val="auto"/>
                    </w:rPr>
                  </w:pPr>
                </w:p>
              </w:tc>
              <w:tc>
                <w:tcPr>
                  <w:tcW w:w="3758" w:type="dxa"/>
                  <w:vAlign w:val="center"/>
                </w:tcPr>
                <w:p>
                  <w:pPr>
                    <w:pStyle w:val="113"/>
                    <w:snapToGrid w:val="0"/>
                    <w:rPr>
                      <w:rFonts w:ascii="Times New Roman" w:hAnsi="Times New Roman" w:cs="Times New Roman"/>
                      <w:color w:val="auto"/>
                    </w:rPr>
                  </w:pPr>
                  <w:r>
                    <w:rPr>
                      <w:rFonts w:ascii="Times New Roman" w:hAnsi="Times New Roman" w:cs="Times New Roman"/>
                      <w:color w:val="auto"/>
                    </w:rPr>
                    <w:t>1、危险废物警告标志规格颜色：</w:t>
                  </w:r>
                </w:p>
                <w:p>
                  <w:pPr>
                    <w:pStyle w:val="113"/>
                    <w:snapToGrid w:val="0"/>
                    <w:rPr>
                      <w:rFonts w:ascii="Times New Roman" w:hAnsi="Times New Roman" w:cs="Times New Roman"/>
                      <w:color w:val="auto"/>
                    </w:rPr>
                  </w:pPr>
                  <w:r>
                    <w:rPr>
                      <w:rFonts w:ascii="Times New Roman" w:hAnsi="Times New Roman" w:cs="Times New Roman"/>
                      <w:color w:val="auto"/>
                    </w:rPr>
                    <w:t>形状：等边三角形，边长40cm</w:t>
                  </w:r>
                </w:p>
                <w:p>
                  <w:pPr>
                    <w:pStyle w:val="113"/>
                    <w:snapToGrid w:val="0"/>
                    <w:rPr>
                      <w:rFonts w:ascii="Times New Roman" w:hAnsi="Times New Roman" w:cs="Times New Roman"/>
                      <w:color w:val="auto"/>
                    </w:rPr>
                  </w:pPr>
                  <w:r>
                    <w:rPr>
                      <w:rFonts w:ascii="Times New Roman" w:hAnsi="Times New Roman" w:cs="Times New Roman"/>
                      <w:color w:val="auto"/>
                    </w:rPr>
                    <w:t>颜色：背景为黄色，图形为黑色</w:t>
                  </w:r>
                </w:p>
                <w:p>
                  <w:pPr>
                    <w:pStyle w:val="113"/>
                    <w:snapToGrid w:val="0"/>
                    <w:rPr>
                      <w:rFonts w:ascii="Times New Roman" w:hAnsi="Times New Roman" w:cs="Times New Roman"/>
                      <w:color w:val="auto"/>
                    </w:rPr>
                  </w:pPr>
                  <w:r>
                    <w:rPr>
                      <w:rFonts w:ascii="Times New Roman" w:hAnsi="Times New Roman" w:cs="Times New Roman"/>
                      <w:color w:val="auto"/>
                    </w:rPr>
                    <w:t>警告标志外檐2.5cm</w:t>
                  </w:r>
                </w:p>
                <w:p>
                  <w:pPr>
                    <w:pStyle w:val="113"/>
                    <w:snapToGrid w:val="0"/>
                    <w:rPr>
                      <w:rFonts w:ascii="Times New Roman" w:hAnsi="Times New Roman" w:cs="Times New Roman"/>
                      <w:color w:val="auto"/>
                    </w:rPr>
                  </w:pPr>
                  <w:r>
                    <w:rPr>
                      <w:rFonts w:ascii="Times New Roman" w:hAnsi="Times New Roman" w:cs="Times New Roman"/>
                      <w:color w:val="auto"/>
                    </w:rPr>
                    <w:t>适用于：危险废物贮存设施为房屋的，建有围墙或防护栅栏，且高度高于100cm时；部分危险废物利用、处置场所</w:t>
                  </w:r>
                  <w:r>
                    <w:rPr>
                      <w:rFonts w:hint="eastAsia" w:ascii="Times New Roman" w:hAnsi="Times New Roman" w:cs="Times New Roman"/>
                      <w:color w:val="auto"/>
                    </w:rPr>
                    <w:t>。</w:t>
                  </w:r>
                </w:p>
              </w:tc>
            </w:tr>
          </w:tbl>
          <w:p>
            <w:pPr>
              <w:widowControl/>
              <w:rPr>
                <w:rFonts w:eastAsia="黑体"/>
                <w:color w:val="auto"/>
                <w:szCs w:val="21"/>
              </w:rPr>
            </w:pPr>
          </w:p>
          <w:p>
            <w:pPr>
              <w:widowControl/>
              <w:jc w:val="center"/>
              <w:rPr>
                <w:rFonts w:eastAsia="黑体"/>
                <w:color w:val="auto"/>
                <w:szCs w:val="21"/>
              </w:rPr>
            </w:pPr>
            <w:r>
              <w:rPr>
                <w:rFonts w:eastAsia="黑体"/>
                <w:color w:val="auto"/>
                <w:szCs w:val="21"/>
              </w:rPr>
              <w:t>表4-</w:t>
            </w:r>
            <w:r>
              <w:rPr>
                <w:rFonts w:hint="eastAsia" w:eastAsia="黑体"/>
                <w:color w:val="auto"/>
                <w:szCs w:val="21"/>
              </w:rPr>
              <w:t>1</w:t>
            </w:r>
            <w:r>
              <w:rPr>
                <w:rFonts w:hint="eastAsia" w:eastAsia="黑体"/>
                <w:color w:val="auto"/>
                <w:szCs w:val="21"/>
                <w:lang w:val="en-US" w:eastAsia="zh-CN"/>
              </w:rPr>
              <w:t>7</w:t>
            </w:r>
            <w:r>
              <w:rPr>
                <w:rFonts w:eastAsia="黑体"/>
                <w:color w:val="auto"/>
                <w:szCs w:val="21"/>
              </w:rPr>
              <w:t xml:space="preserve">   危废储存容器标签示例</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13" w:type="dxa"/>
                <w:bottom w:w="0" w:type="dxa"/>
                <w:right w:w="0" w:type="dxa"/>
              </w:tblCellMar>
            </w:tblPr>
            <w:tblGrid>
              <w:gridCol w:w="950"/>
              <w:gridCol w:w="2896"/>
              <w:gridCol w:w="43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3" w:type="dxa"/>
                  <w:bottom w:w="0" w:type="dxa"/>
                  <w:right w:w="0" w:type="dxa"/>
                </w:tblCellMar>
              </w:tblPrEx>
              <w:trPr>
                <w:trHeight w:val="340" w:hRule="atLeast"/>
                <w:jc w:val="center"/>
              </w:trPr>
              <w:tc>
                <w:tcPr>
                  <w:tcW w:w="576" w:type="pct"/>
                  <w:vAlign w:val="center"/>
                </w:tcPr>
                <w:p>
                  <w:pPr>
                    <w:pStyle w:val="113"/>
                    <w:snapToGrid w:val="0"/>
                    <w:rPr>
                      <w:rFonts w:ascii="Times New Roman" w:hAnsi="Times New Roman" w:cs="Times New Roman"/>
                      <w:color w:val="auto"/>
                    </w:rPr>
                  </w:pPr>
                  <w:r>
                    <w:rPr>
                      <w:rFonts w:ascii="Times New Roman" w:hAnsi="Times New Roman" w:cs="Times New Roman"/>
                      <w:color w:val="auto"/>
                    </w:rPr>
                    <w:t>场合</w:t>
                  </w:r>
                </w:p>
              </w:tc>
              <w:tc>
                <w:tcPr>
                  <w:tcW w:w="1756" w:type="pct"/>
                  <w:vAlign w:val="center"/>
                </w:tcPr>
                <w:p>
                  <w:pPr>
                    <w:pStyle w:val="113"/>
                    <w:snapToGrid w:val="0"/>
                    <w:rPr>
                      <w:rFonts w:ascii="Times New Roman" w:hAnsi="Times New Roman" w:cs="Times New Roman"/>
                      <w:color w:val="auto"/>
                    </w:rPr>
                  </w:pPr>
                  <w:r>
                    <w:rPr>
                      <w:rFonts w:ascii="Times New Roman" w:hAnsi="Times New Roman" w:cs="Times New Roman"/>
                      <w:color w:val="auto"/>
                    </w:rPr>
                    <w:t>样式</w:t>
                  </w:r>
                </w:p>
              </w:tc>
              <w:tc>
                <w:tcPr>
                  <w:tcW w:w="2666" w:type="pct"/>
                  <w:vAlign w:val="center"/>
                </w:tcPr>
                <w:p>
                  <w:pPr>
                    <w:pStyle w:val="113"/>
                    <w:snapToGrid w:val="0"/>
                    <w:rPr>
                      <w:rFonts w:ascii="Times New Roman" w:hAnsi="Times New Roman" w:cs="Times New Roman"/>
                      <w:color w:val="auto"/>
                    </w:rPr>
                  </w:pPr>
                  <w:r>
                    <w:rPr>
                      <w:rFonts w:ascii="Times New Roman" w:hAnsi="Times New Roman" w:cs="Times New Roman"/>
                      <w:color w:val="auto"/>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3" w:type="dxa"/>
                  <w:bottom w:w="0" w:type="dxa"/>
                  <w:right w:w="0" w:type="dxa"/>
                </w:tblCellMar>
              </w:tblPrEx>
              <w:trPr>
                <w:trHeight w:val="340" w:hRule="atLeast"/>
                <w:jc w:val="center"/>
              </w:trPr>
              <w:tc>
                <w:tcPr>
                  <w:tcW w:w="576" w:type="pct"/>
                  <w:vAlign w:val="center"/>
                </w:tcPr>
                <w:p>
                  <w:pPr>
                    <w:pStyle w:val="113"/>
                    <w:snapToGrid w:val="0"/>
                    <w:rPr>
                      <w:rFonts w:ascii="Times New Roman" w:hAnsi="Times New Roman" w:cs="Times New Roman"/>
                      <w:color w:val="auto"/>
                    </w:rPr>
                  </w:pPr>
                  <w:r>
                    <w:rPr>
                      <w:rFonts w:ascii="Times New Roman" w:hAnsi="Times New Roman" w:cs="Times New Roman"/>
                      <w:color w:val="auto"/>
                    </w:rPr>
                    <w:t>粘贴于危险废物储存容器</w:t>
                  </w:r>
                </w:p>
              </w:tc>
              <w:tc>
                <w:tcPr>
                  <w:tcW w:w="1756" w:type="pct"/>
                  <w:vAlign w:val="center"/>
                </w:tcPr>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tc>
              <w:tc>
                <w:tcPr>
                  <w:tcW w:w="2666" w:type="pct"/>
                  <w:vAlign w:val="center"/>
                </w:tcPr>
                <w:p>
                  <w:pPr>
                    <w:pStyle w:val="113"/>
                    <w:snapToGrid w:val="0"/>
                    <w:jc w:val="left"/>
                    <w:rPr>
                      <w:rFonts w:ascii="Times New Roman" w:hAnsi="Times New Roman" w:cs="Times New Roman"/>
                      <w:color w:val="auto"/>
                    </w:rPr>
                  </w:pPr>
                  <w:r>
                    <w:rPr>
                      <w:rFonts w:hint="eastAsia" w:ascii="Times New Roman" w:hAnsi="Times New Roman" w:cs="Times New Roman"/>
                      <w:color w:val="auto"/>
                    </w:rPr>
                    <w:t>1.危险废物标签的内容要求：</w:t>
                  </w:r>
                </w:p>
                <w:p>
                  <w:pPr>
                    <w:pStyle w:val="113"/>
                    <w:snapToGrid w:val="0"/>
                    <w:jc w:val="left"/>
                    <w:rPr>
                      <w:rFonts w:ascii="Times New Roman" w:hAnsi="Times New Roman" w:cs="Times New Roman"/>
                      <w:color w:val="auto"/>
                    </w:rPr>
                  </w:pPr>
                  <w:r>
                    <w:rPr>
                      <w:rFonts w:hint="eastAsia" w:ascii="Times New Roman" w:hAnsi="Times New Roman" w:cs="Times New Roman"/>
                      <w:color w:val="auto"/>
                    </w:rPr>
                    <w:t>（1）危险废物标签应以醒目的字样标注“危险废物”</w:t>
                  </w:r>
                </w:p>
                <w:p>
                  <w:pPr>
                    <w:pStyle w:val="113"/>
                    <w:snapToGrid w:val="0"/>
                    <w:jc w:val="left"/>
                    <w:rPr>
                      <w:rFonts w:ascii="Times New Roman" w:hAnsi="Times New Roman" w:cs="Times New Roman"/>
                      <w:color w:val="auto"/>
                    </w:rPr>
                  </w:pPr>
                  <w:r>
                    <w:rPr>
                      <w:rFonts w:hint="eastAsia" w:ascii="Times New Roman" w:hAnsi="Times New Roman" w:cs="Times New Roman"/>
                      <w:color w:val="auto"/>
                    </w:rPr>
                    <w:t>（2）危险废物标签应包含废物名称、废物类别、废物代码、废物形态、危险特性、主要成分、有害成分、注意事项、产生收集单位名称、联系人、联系方式、产生日期、废物重量和备注。</w:t>
                  </w:r>
                </w:p>
                <w:p>
                  <w:pPr>
                    <w:pStyle w:val="113"/>
                    <w:snapToGrid w:val="0"/>
                    <w:jc w:val="left"/>
                    <w:rPr>
                      <w:rFonts w:ascii="Times New Roman" w:hAnsi="Times New Roman" w:cs="Times New Roman"/>
                      <w:color w:val="auto"/>
                    </w:rPr>
                  </w:pPr>
                  <w:r>
                    <w:rPr>
                      <w:rFonts w:hint="eastAsia" w:ascii="Times New Roman" w:hAnsi="Times New Roman" w:cs="Times New Roman"/>
                      <w:color w:val="auto"/>
                    </w:rPr>
                    <w:t>（3）危险废物标签宜设置危险废物数字识别和二维码。</w:t>
                  </w:r>
                </w:p>
                <w:p>
                  <w:pPr>
                    <w:pStyle w:val="113"/>
                    <w:snapToGrid w:val="0"/>
                    <w:jc w:val="left"/>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危险废物标签尺寸颜色：</w:t>
                  </w:r>
                </w:p>
                <w:p>
                  <w:pPr>
                    <w:pStyle w:val="113"/>
                    <w:snapToGrid w:val="0"/>
                    <w:jc w:val="left"/>
                    <w:rPr>
                      <w:rFonts w:ascii="Times New Roman" w:hAnsi="Times New Roman" w:cs="Times New Roman"/>
                      <w:color w:val="auto"/>
                    </w:rPr>
                  </w:pPr>
                  <w:r>
                    <w:rPr>
                      <w:color w:val="auto"/>
                    </w:rPr>
                    <w:drawing>
                      <wp:anchor distT="0" distB="0" distL="114300" distR="114300" simplePos="0" relativeHeight="251757568" behindDoc="0" locked="0" layoutInCell="1" allowOverlap="1">
                        <wp:simplePos x="0" y="0"/>
                        <wp:positionH relativeFrom="column">
                          <wp:posOffset>8255</wp:posOffset>
                        </wp:positionH>
                        <wp:positionV relativeFrom="paragraph">
                          <wp:posOffset>184785</wp:posOffset>
                        </wp:positionV>
                        <wp:extent cx="2272665" cy="751205"/>
                        <wp:effectExtent l="0" t="0" r="13335" b="10795"/>
                        <wp:wrapNone/>
                        <wp:docPr id="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
                                <pic:cNvPicPr>
                                  <a:picLocks noChangeAspect="1"/>
                                </pic:cNvPicPr>
                              </pic:nvPicPr>
                              <pic:blipFill>
                                <a:blip r:embed="rId39"/>
                                <a:srcRect t="15259"/>
                                <a:stretch>
                                  <a:fillRect/>
                                </a:stretch>
                              </pic:blipFill>
                              <pic:spPr>
                                <a:xfrm>
                                  <a:off x="0" y="0"/>
                                  <a:ext cx="2272665" cy="751205"/>
                                </a:xfrm>
                                <a:prstGeom prst="rect">
                                  <a:avLst/>
                                </a:prstGeom>
                                <a:noFill/>
                                <a:ln>
                                  <a:noFill/>
                                </a:ln>
                              </pic:spPr>
                            </pic:pic>
                          </a:graphicData>
                        </a:graphic>
                      </wp:anchor>
                    </w:drawing>
                  </w:r>
                  <w:r>
                    <w:rPr>
                      <w:rFonts w:ascii="Times New Roman" w:hAnsi="Times New Roman" w:cs="Times New Roman"/>
                      <w:color w:val="auto"/>
                    </w:rPr>
                    <w:t>尺寸：</w:t>
                  </w:r>
                </w:p>
                <w:p>
                  <w:pPr>
                    <w:pStyle w:val="113"/>
                    <w:snapToGrid w:val="0"/>
                    <w:jc w:val="left"/>
                    <w:rPr>
                      <w:rFonts w:ascii="Times New Roman" w:hAnsi="Times New Roman" w:cs="Times New Roman"/>
                      <w:color w:val="auto"/>
                    </w:rPr>
                  </w:pPr>
                </w:p>
                <w:p>
                  <w:pPr>
                    <w:pStyle w:val="113"/>
                    <w:snapToGrid w:val="0"/>
                    <w:jc w:val="left"/>
                    <w:rPr>
                      <w:rFonts w:ascii="Times New Roman" w:hAnsi="Times New Roman" w:cs="Times New Roman"/>
                      <w:color w:val="auto"/>
                    </w:rPr>
                  </w:pPr>
                </w:p>
                <w:p>
                  <w:pPr>
                    <w:pStyle w:val="113"/>
                    <w:snapToGrid w:val="0"/>
                    <w:jc w:val="left"/>
                    <w:rPr>
                      <w:rFonts w:ascii="Times New Roman" w:hAnsi="Times New Roman" w:cs="Times New Roman"/>
                      <w:color w:val="auto"/>
                    </w:rPr>
                  </w:pPr>
                </w:p>
                <w:p>
                  <w:pPr>
                    <w:pStyle w:val="113"/>
                    <w:snapToGrid w:val="0"/>
                    <w:jc w:val="left"/>
                    <w:rPr>
                      <w:rFonts w:ascii="Times New Roman" w:hAnsi="Times New Roman" w:cs="Times New Roman"/>
                      <w:color w:val="auto"/>
                    </w:rPr>
                  </w:pPr>
                </w:p>
                <w:p>
                  <w:pPr>
                    <w:pStyle w:val="113"/>
                    <w:snapToGrid w:val="0"/>
                    <w:jc w:val="left"/>
                    <w:rPr>
                      <w:rFonts w:ascii="Times New Roman" w:hAnsi="Times New Roman" w:cs="Times New Roman"/>
                      <w:color w:val="auto"/>
                    </w:rPr>
                  </w:pPr>
                  <w:r>
                    <w:rPr>
                      <w:rFonts w:ascii="Times New Roman" w:hAnsi="Times New Roman" w:cs="Times New Roman"/>
                      <w:color w:val="auto"/>
                    </w:rPr>
                    <w:t>底色：醒目的橘黄色</w:t>
                  </w:r>
                  <w:r>
                    <w:rPr>
                      <w:rFonts w:hint="eastAsia" w:ascii="Times New Roman" w:hAnsi="Times New Roman" w:cs="Times New Roman"/>
                      <w:color w:val="auto"/>
                    </w:rPr>
                    <w:t>，RGB颜色值为（255，150，0）</w:t>
                  </w:r>
                </w:p>
                <w:p>
                  <w:pPr>
                    <w:pStyle w:val="113"/>
                    <w:snapToGrid w:val="0"/>
                    <w:jc w:val="left"/>
                    <w:rPr>
                      <w:rFonts w:ascii="Times New Roman" w:hAnsi="Times New Roman" w:cs="Times New Roman"/>
                      <w:color w:val="auto"/>
                    </w:rPr>
                  </w:pPr>
                  <w:r>
                    <w:rPr>
                      <w:rFonts w:hint="eastAsia" w:ascii="Times New Roman" w:hAnsi="Times New Roman" w:cs="Times New Roman"/>
                      <w:color w:val="auto"/>
                    </w:rPr>
                    <w:t>边框和</w:t>
                  </w:r>
                  <w:r>
                    <w:rPr>
                      <w:rFonts w:ascii="Times New Roman" w:hAnsi="Times New Roman" w:cs="Times New Roman"/>
                      <w:color w:val="auto"/>
                    </w:rPr>
                    <w:t>字体：黑体字</w:t>
                  </w:r>
                  <w:r>
                    <w:rPr>
                      <w:rFonts w:hint="eastAsia" w:ascii="Times New Roman" w:hAnsi="Times New Roman" w:cs="Times New Roman"/>
                      <w:color w:val="auto"/>
                    </w:rPr>
                    <w:t>，RGB颜色值为（0，0，0）</w:t>
                  </w:r>
                </w:p>
                <w:p>
                  <w:pPr>
                    <w:pStyle w:val="113"/>
                    <w:snapToGrid w:val="0"/>
                    <w:jc w:val="both"/>
                    <w:rPr>
                      <w:rFonts w:ascii="Times New Roman" w:hAnsi="Times New Roman" w:cs="Times New Roman"/>
                      <w:color w:val="auto"/>
                    </w:rPr>
                  </w:pPr>
                  <w:r>
                    <w:rPr>
                      <w:rFonts w:ascii="Times New Roman" w:hAnsi="Times New Roman" w:cs="Times New Roman"/>
                      <w:color w:val="auto"/>
                    </w:rPr>
                    <w:t>2、危险类别：</w:t>
                  </w:r>
                  <w:r>
                    <w:rPr>
                      <w:rFonts w:hint="eastAsia" w:ascii="Times New Roman" w:hAnsi="Times New Roman" w:cs="Times New Roman"/>
                      <w:color w:val="auto"/>
                    </w:rPr>
                    <w:t>废润滑油</w:t>
                  </w:r>
                  <w:r>
                    <w:rPr>
                      <w:rFonts w:ascii="Times New Roman" w:hAnsi="Times New Roman" w:cs="Times New Roman"/>
                      <w:color w:val="auto"/>
                    </w:rPr>
                    <w:t xml:space="preserve">（HW08 </w:t>
                  </w:r>
                  <w:r>
                    <w:rPr>
                      <w:rFonts w:hint="eastAsia" w:ascii="Times New Roman" w:hAnsi="Times New Roman" w:cs="Times New Roman"/>
                      <w:color w:val="auto"/>
                      <w:lang w:eastAsia="zh-CN"/>
                    </w:rPr>
                    <w:t>900-214-08</w:t>
                  </w:r>
                  <w:r>
                    <w:rPr>
                      <w:rFonts w:ascii="Times New Roman" w:hAnsi="Times New Roman" w:cs="Times New Roman"/>
                      <w:color w:val="auto"/>
                    </w:rPr>
                    <w:t>）、废油桶（HW08 900-249-08）。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3" w:type="dxa"/>
                  <w:bottom w:w="0" w:type="dxa"/>
                  <w:right w:w="0" w:type="dxa"/>
                </w:tblCellMar>
              </w:tblPrEx>
              <w:trPr>
                <w:trHeight w:val="3905" w:hRule="atLeast"/>
                <w:jc w:val="center"/>
              </w:trPr>
              <w:tc>
                <w:tcPr>
                  <w:tcW w:w="576" w:type="pct"/>
                  <w:vAlign w:val="center"/>
                </w:tcPr>
                <w:p>
                  <w:pPr>
                    <w:pStyle w:val="113"/>
                    <w:snapToGrid w:val="0"/>
                    <w:rPr>
                      <w:rFonts w:ascii="Times New Roman" w:hAnsi="Times New Roman" w:cs="Times New Roman"/>
                      <w:color w:val="auto"/>
                    </w:rPr>
                  </w:pPr>
                  <w:r>
                    <w:rPr>
                      <w:rFonts w:hint="eastAsia" w:ascii="Times New Roman" w:hAnsi="Times New Roman" w:cs="Times New Roman"/>
                      <w:color w:val="auto"/>
                    </w:rPr>
                    <w:t>危险废物分区标识</w:t>
                  </w:r>
                </w:p>
              </w:tc>
              <w:tc>
                <w:tcPr>
                  <w:tcW w:w="1756" w:type="pct"/>
                  <w:vAlign w:val="center"/>
                </w:tcPr>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rPr>
                      <w:rFonts w:ascii="Times New Roman" w:hAnsi="Times New Roman" w:cs="Times New Roman"/>
                      <w:color w:val="auto"/>
                    </w:rPr>
                  </w:pPr>
                </w:p>
                <w:p>
                  <w:pPr>
                    <w:pStyle w:val="113"/>
                    <w:snapToGrid w:val="0"/>
                    <w:jc w:val="both"/>
                    <w:rPr>
                      <w:rFonts w:ascii="Times New Roman" w:hAnsi="Times New Roman" w:cs="Times New Roman"/>
                      <w:color w:val="auto"/>
                    </w:rPr>
                  </w:pPr>
                </w:p>
              </w:tc>
              <w:tc>
                <w:tcPr>
                  <w:tcW w:w="2666" w:type="pct"/>
                  <w:vAlign w:val="center"/>
                </w:tcPr>
                <w:p>
                  <w:pPr>
                    <w:pStyle w:val="113"/>
                    <w:snapToGrid w:val="0"/>
                    <w:jc w:val="left"/>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危险废物标签尺寸颜色：</w:t>
                  </w:r>
                </w:p>
                <w:p>
                  <w:pPr>
                    <w:pStyle w:val="113"/>
                    <w:snapToGrid w:val="0"/>
                    <w:jc w:val="left"/>
                    <w:rPr>
                      <w:rFonts w:ascii="Times New Roman" w:hAnsi="Times New Roman" w:cs="Times New Roman"/>
                      <w:color w:val="auto"/>
                    </w:rPr>
                  </w:pPr>
                  <w:r>
                    <w:rPr>
                      <w:color w:val="auto"/>
                    </w:rPr>
                    <w:drawing>
                      <wp:anchor distT="0" distB="0" distL="114300" distR="114300" simplePos="0" relativeHeight="251758592" behindDoc="0" locked="0" layoutInCell="1" allowOverlap="1">
                        <wp:simplePos x="0" y="0"/>
                        <wp:positionH relativeFrom="column">
                          <wp:posOffset>26035</wp:posOffset>
                        </wp:positionH>
                        <wp:positionV relativeFrom="paragraph">
                          <wp:posOffset>93980</wp:posOffset>
                        </wp:positionV>
                        <wp:extent cx="2476500" cy="622300"/>
                        <wp:effectExtent l="0" t="0" r="0" b="6350"/>
                        <wp:wrapNone/>
                        <wp:docPr id="1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
                                <pic:cNvPicPr>
                                  <a:picLocks noChangeAspect="1"/>
                                </pic:cNvPicPr>
                              </pic:nvPicPr>
                              <pic:blipFill>
                                <a:blip r:embed="rId40"/>
                                <a:stretch>
                                  <a:fillRect/>
                                </a:stretch>
                              </pic:blipFill>
                              <pic:spPr>
                                <a:xfrm>
                                  <a:off x="0" y="0"/>
                                  <a:ext cx="2476500" cy="622300"/>
                                </a:xfrm>
                                <a:prstGeom prst="rect">
                                  <a:avLst/>
                                </a:prstGeom>
                                <a:noFill/>
                                <a:ln>
                                  <a:noFill/>
                                </a:ln>
                              </pic:spPr>
                            </pic:pic>
                          </a:graphicData>
                        </a:graphic>
                      </wp:anchor>
                    </w:drawing>
                  </w:r>
                </w:p>
                <w:p>
                  <w:pPr>
                    <w:pStyle w:val="113"/>
                    <w:snapToGrid w:val="0"/>
                    <w:jc w:val="left"/>
                    <w:rPr>
                      <w:rFonts w:ascii="Times New Roman" w:hAnsi="Times New Roman" w:cs="Times New Roman"/>
                      <w:color w:val="auto"/>
                    </w:rPr>
                  </w:pPr>
                </w:p>
                <w:p>
                  <w:pPr>
                    <w:pStyle w:val="113"/>
                    <w:snapToGrid w:val="0"/>
                    <w:jc w:val="left"/>
                    <w:rPr>
                      <w:rFonts w:ascii="Times New Roman" w:hAnsi="Times New Roman" w:cs="Times New Roman"/>
                      <w:color w:val="auto"/>
                    </w:rPr>
                  </w:pPr>
                </w:p>
                <w:p>
                  <w:pPr>
                    <w:pStyle w:val="113"/>
                    <w:snapToGrid w:val="0"/>
                    <w:jc w:val="left"/>
                    <w:rPr>
                      <w:rFonts w:ascii="Times New Roman" w:hAnsi="Times New Roman" w:cs="Times New Roman"/>
                      <w:color w:val="auto"/>
                    </w:rPr>
                  </w:pPr>
                </w:p>
                <w:p>
                  <w:pPr>
                    <w:pStyle w:val="113"/>
                    <w:snapToGrid w:val="0"/>
                    <w:jc w:val="left"/>
                    <w:rPr>
                      <w:rFonts w:ascii="Times New Roman" w:hAnsi="Times New Roman" w:cs="Times New Roman"/>
                      <w:color w:val="auto"/>
                    </w:rPr>
                  </w:pPr>
                  <w:r>
                    <w:rPr>
                      <w:rFonts w:ascii="Times New Roman" w:hAnsi="Times New Roman" w:cs="Times New Roman"/>
                      <w:color w:val="auto"/>
                    </w:rPr>
                    <w:t>底色：醒目的黄色</w:t>
                  </w:r>
                  <w:r>
                    <w:rPr>
                      <w:rFonts w:hint="eastAsia" w:ascii="Times New Roman" w:hAnsi="Times New Roman" w:cs="Times New Roman"/>
                      <w:color w:val="auto"/>
                    </w:rPr>
                    <w:t>，RGB颜色值为（255，255，0）</w:t>
                  </w:r>
                </w:p>
                <w:p>
                  <w:pPr>
                    <w:pStyle w:val="113"/>
                    <w:snapToGrid w:val="0"/>
                    <w:jc w:val="both"/>
                    <w:rPr>
                      <w:rFonts w:ascii="Times New Roman" w:hAnsi="Times New Roman" w:cs="Times New Roman"/>
                      <w:color w:val="auto"/>
                    </w:rPr>
                  </w:pPr>
                  <w:r>
                    <w:rPr>
                      <w:rFonts w:hint="eastAsia" w:ascii="Times New Roman" w:hAnsi="Times New Roman" w:cs="Times New Roman"/>
                      <w:color w:val="auto"/>
                    </w:rPr>
                    <w:t>废物类信息应采用醒目的橘黄色，RGB颜色值为（255，150，0）</w:t>
                  </w:r>
                </w:p>
                <w:p>
                  <w:pPr>
                    <w:pStyle w:val="113"/>
                    <w:snapToGrid w:val="0"/>
                    <w:jc w:val="both"/>
                    <w:rPr>
                      <w:rFonts w:ascii="Times New Roman" w:hAnsi="Times New Roman" w:cs="Times New Roman"/>
                      <w:color w:val="auto"/>
                    </w:rPr>
                  </w:pPr>
                  <w:r>
                    <w:rPr>
                      <w:rFonts w:hint="eastAsia" w:ascii="Times New Roman" w:hAnsi="Times New Roman" w:cs="Times New Roman"/>
                      <w:color w:val="auto"/>
                    </w:rPr>
                    <w:t>字体颜色：</w:t>
                  </w:r>
                  <w:r>
                    <w:rPr>
                      <w:rFonts w:ascii="Times New Roman" w:hAnsi="Times New Roman" w:cs="Times New Roman"/>
                      <w:color w:val="auto"/>
                    </w:rPr>
                    <w:t>黑体</w:t>
                  </w:r>
                  <w:r>
                    <w:rPr>
                      <w:rFonts w:hint="eastAsia" w:ascii="Times New Roman" w:hAnsi="Times New Roman" w:cs="Times New Roman"/>
                      <w:color w:val="auto"/>
                    </w:rPr>
                    <w:t>，RGB颜色值为（0，0，0）。</w:t>
                  </w:r>
                </w:p>
              </w:tc>
            </w:tr>
          </w:tbl>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表4-</w:t>
            </w:r>
            <w:r>
              <w:rPr>
                <w:rFonts w:hint="eastAsia" w:cs="Times New Roman"/>
                <w:b/>
                <w:color w:val="auto"/>
                <w:szCs w:val="21"/>
                <w:lang w:val="en-US" w:eastAsia="zh-CN"/>
              </w:rPr>
              <w:t>18</w:t>
            </w:r>
            <w:r>
              <w:rPr>
                <w:rFonts w:ascii="Times New Roman" w:hAnsi="Times New Roman" w:eastAsia="宋体" w:cs="Times New Roman"/>
                <w:b/>
                <w:color w:val="auto"/>
                <w:szCs w:val="21"/>
              </w:rPr>
              <w:t xml:space="preserve">   固体废物排放量及处置设施</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69"/>
              <w:gridCol w:w="1704"/>
              <w:gridCol w:w="1196"/>
              <w:gridCol w:w="1376"/>
              <w:gridCol w:w="823"/>
              <w:gridCol w:w="1034"/>
              <w:gridCol w:w="7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类型</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产生源</w:t>
                  </w:r>
                </w:p>
              </w:tc>
              <w:tc>
                <w:tcPr>
                  <w:tcW w:w="10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名称</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Cs w:val="21"/>
                      <w:lang w:val="en-US" w:eastAsia="zh-CN"/>
                    </w:rPr>
                  </w:pPr>
                  <w:r>
                    <w:rPr>
                      <w:rFonts w:hint="eastAsia"/>
                      <w:color w:val="auto"/>
                      <w:szCs w:val="21"/>
                      <w:lang w:val="en-US" w:eastAsia="zh-CN"/>
                    </w:rPr>
                    <w:t>一般固废代码</w:t>
                  </w:r>
                </w:p>
              </w:tc>
              <w:tc>
                <w:tcPr>
                  <w:tcW w:w="8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Cs w:val="21"/>
                      <w:lang w:val="en-US" w:eastAsia="zh-CN"/>
                    </w:rPr>
                  </w:pPr>
                  <w:r>
                    <w:rPr>
                      <w:rFonts w:hint="eastAsia"/>
                      <w:color w:val="auto"/>
                      <w:szCs w:val="21"/>
                      <w:lang w:val="en-US" w:eastAsia="zh-CN"/>
                    </w:rPr>
                    <w:t>危险废物代码</w:t>
                  </w:r>
                </w:p>
              </w:tc>
              <w:tc>
                <w:tcPr>
                  <w:tcW w:w="4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排放量</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处置办法</w:t>
                  </w:r>
                </w:p>
              </w:tc>
              <w:tc>
                <w:tcPr>
                  <w:tcW w:w="428"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处置率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生活垃圾</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职工生活</w:t>
                  </w:r>
                </w:p>
              </w:tc>
              <w:tc>
                <w:tcPr>
                  <w:tcW w:w="10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生活垃圾</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Cs w:val="21"/>
                      <w:lang w:val="en-US" w:eastAsia="zh-CN"/>
                    </w:rPr>
                  </w:pPr>
                  <w:r>
                    <w:rPr>
                      <w:rFonts w:hint="eastAsia"/>
                      <w:color w:val="auto"/>
                      <w:szCs w:val="21"/>
                      <w:lang w:val="en-US" w:eastAsia="zh-CN"/>
                    </w:rPr>
                    <w:t>/</w:t>
                  </w:r>
                </w:p>
              </w:tc>
              <w:tc>
                <w:tcPr>
                  <w:tcW w:w="8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Cs w:val="21"/>
                      <w:lang w:val="en-US" w:eastAsia="zh-CN"/>
                    </w:rPr>
                  </w:pPr>
                  <w:r>
                    <w:rPr>
                      <w:rFonts w:hint="eastAsia"/>
                      <w:color w:val="auto"/>
                      <w:szCs w:val="21"/>
                      <w:lang w:val="en-US" w:eastAsia="zh-CN"/>
                    </w:rPr>
                    <w:t>/</w:t>
                  </w:r>
                </w:p>
              </w:tc>
              <w:tc>
                <w:tcPr>
                  <w:tcW w:w="4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6.5</w:t>
                  </w:r>
                  <w:r>
                    <w:rPr>
                      <w:color w:val="auto"/>
                      <w:szCs w:val="21"/>
                    </w:rPr>
                    <w:t>t/a</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收集后交由环卫部门统一清理</w:t>
                  </w:r>
                </w:p>
              </w:tc>
              <w:tc>
                <w:tcPr>
                  <w:tcW w:w="42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color w:val="auto"/>
                      <w:szCs w:val="21"/>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一般固废</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除尘装置</w:t>
                  </w:r>
                </w:p>
              </w:tc>
              <w:tc>
                <w:tcPr>
                  <w:tcW w:w="10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粉尘</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Cs w:val="21"/>
                    </w:rPr>
                  </w:pPr>
                  <w:r>
                    <w:rPr>
                      <w:rFonts w:hint="default" w:ascii="Times New Roman" w:hAnsi="Times New Roman" w:eastAsia="仿宋_GB2312" w:cs="Times New Roman"/>
                      <w:color w:val="auto"/>
                      <w:szCs w:val="32"/>
                      <w:highlight w:val="none"/>
                      <w:lang w:val="en-US" w:eastAsia="zh-CN"/>
                    </w:rPr>
                    <w:t>900</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999</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66</w:t>
                  </w:r>
                </w:p>
              </w:tc>
              <w:tc>
                <w:tcPr>
                  <w:tcW w:w="8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Cs w:val="21"/>
                      <w:lang w:val="en-US" w:eastAsia="zh-CN"/>
                    </w:rPr>
                  </w:pPr>
                  <w:r>
                    <w:rPr>
                      <w:rFonts w:hint="eastAsia"/>
                      <w:color w:val="auto"/>
                      <w:szCs w:val="21"/>
                      <w:lang w:val="en-US" w:eastAsia="zh-CN"/>
                    </w:rPr>
                    <w:t>/</w:t>
                  </w:r>
                </w:p>
              </w:tc>
              <w:tc>
                <w:tcPr>
                  <w:tcW w:w="4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41.296t/a</w:t>
                  </w:r>
                </w:p>
              </w:tc>
              <w:tc>
                <w:tcPr>
                  <w:tcW w:w="62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回用于生产</w:t>
                  </w:r>
                </w:p>
              </w:tc>
              <w:tc>
                <w:tcPr>
                  <w:tcW w:w="4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沉淀池</w:t>
                  </w:r>
                </w:p>
              </w:tc>
              <w:tc>
                <w:tcPr>
                  <w:tcW w:w="10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沉渣</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Cs w:val="21"/>
                    </w:rPr>
                  </w:pPr>
                  <w:r>
                    <w:rPr>
                      <w:rFonts w:hint="default" w:ascii="Times New Roman" w:hAnsi="Times New Roman" w:eastAsia="仿宋_GB2312" w:cs="Times New Roman"/>
                      <w:color w:val="auto"/>
                      <w:szCs w:val="32"/>
                      <w:highlight w:val="none"/>
                      <w:lang w:val="en-US" w:eastAsia="zh-CN"/>
                    </w:rPr>
                    <w:t>900</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999</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61</w:t>
                  </w:r>
                </w:p>
              </w:tc>
              <w:tc>
                <w:tcPr>
                  <w:tcW w:w="8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Cs w:val="21"/>
                      <w:lang w:val="en-US" w:eastAsia="zh-CN"/>
                    </w:rPr>
                  </w:pPr>
                  <w:r>
                    <w:rPr>
                      <w:rFonts w:hint="eastAsia"/>
                      <w:color w:val="auto"/>
                      <w:szCs w:val="21"/>
                      <w:lang w:val="en-US" w:eastAsia="zh-CN"/>
                    </w:rPr>
                    <w:t>/</w:t>
                  </w:r>
                </w:p>
              </w:tc>
              <w:tc>
                <w:tcPr>
                  <w:tcW w:w="4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2.80t</w:t>
                  </w:r>
                  <w:r>
                    <w:rPr>
                      <w:color w:val="auto"/>
                      <w:szCs w:val="21"/>
                    </w:rPr>
                    <w:t>/a</w:t>
                  </w:r>
                </w:p>
              </w:tc>
              <w:tc>
                <w:tcPr>
                  <w:tcW w:w="62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c>
                <w:tcPr>
                  <w:tcW w:w="4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钢筋制作</w:t>
                  </w:r>
                </w:p>
              </w:tc>
              <w:tc>
                <w:tcPr>
                  <w:tcW w:w="10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钢筋边角料</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Cs w:val="21"/>
                    </w:rPr>
                  </w:pPr>
                  <w:r>
                    <w:rPr>
                      <w:rFonts w:hint="default" w:ascii="Times New Roman" w:hAnsi="Times New Roman" w:eastAsia="仿宋_GB2312" w:cs="Times New Roman"/>
                      <w:color w:val="auto"/>
                      <w:szCs w:val="32"/>
                      <w:lang w:val="en-US" w:eastAsia="zh-CN"/>
                    </w:rPr>
                    <w:t>900-999-99</w:t>
                  </w:r>
                </w:p>
              </w:tc>
              <w:tc>
                <w:tcPr>
                  <w:tcW w:w="8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Cs w:val="21"/>
                      <w:lang w:val="en-US" w:eastAsia="zh-CN"/>
                    </w:rPr>
                  </w:pPr>
                  <w:r>
                    <w:rPr>
                      <w:rFonts w:hint="eastAsia"/>
                      <w:color w:val="auto"/>
                      <w:szCs w:val="21"/>
                      <w:lang w:val="en-US" w:eastAsia="zh-CN"/>
                    </w:rPr>
                    <w:t>/</w:t>
                  </w:r>
                </w:p>
              </w:tc>
              <w:tc>
                <w:tcPr>
                  <w:tcW w:w="4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855t/a</w:t>
                  </w:r>
                </w:p>
              </w:tc>
              <w:tc>
                <w:tcPr>
                  <w:tcW w:w="62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出售给废品回收站</w:t>
                  </w:r>
                </w:p>
              </w:tc>
              <w:tc>
                <w:tcPr>
                  <w:tcW w:w="4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466"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混凝土实验</w:t>
                  </w:r>
                </w:p>
              </w:tc>
              <w:tc>
                <w:tcPr>
                  <w:tcW w:w="1033"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实验废弃混凝土</w:t>
                  </w:r>
                </w:p>
              </w:tc>
              <w:tc>
                <w:tcPr>
                  <w:tcW w:w="725"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default" w:ascii="Times New Roman" w:hAnsi="Times New Roman" w:eastAsia="仿宋_GB2312" w:cs="Times New Roman"/>
                      <w:color w:val="auto"/>
                      <w:szCs w:val="32"/>
                      <w:lang w:val="en-US" w:eastAsia="zh-CN"/>
                    </w:rPr>
                    <w:t>900-999-99</w:t>
                  </w:r>
                </w:p>
              </w:tc>
              <w:tc>
                <w:tcPr>
                  <w:tcW w:w="834"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w:t>
                  </w:r>
                </w:p>
              </w:tc>
              <w:tc>
                <w:tcPr>
                  <w:tcW w:w="499"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color w:val="auto"/>
                      <w:lang w:val="en-US" w:eastAsia="zh-CN"/>
                    </w:rPr>
                  </w:pPr>
                  <w:r>
                    <w:rPr>
                      <w:rFonts w:hint="eastAsia"/>
                      <w:color w:val="auto"/>
                      <w:lang w:val="en-US" w:eastAsia="zh-CN"/>
                    </w:rPr>
                    <w:t>5t/a</w:t>
                  </w:r>
                </w:p>
              </w:tc>
              <w:tc>
                <w:tcPr>
                  <w:tcW w:w="627"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eastAsia"/>
                      <w:color w:val="auto"/>
                    </w:rPr>
                  </w:pPr>
                  <w:r>
                    <w:rPr>
                      <w:rFonts w:hint="eastAsia"/>
                      <w:color w:val="auto"/>
                      <w:lang w:val="en-US" w:eastAsia="zh-CN"/>
                    </w:rPr>
                    <w:t>作为厂区道路建设的路面铺垫料或地面平整的填料综合利用。</w:t>
                  </w:r>
                </w:p>
              </w:tc>
              <w:tc>
                <w:tcPr>
                  <w:tcW w:w="4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466"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食堂隔油池</w:t>
                  </w:r>
                </w:p>
              </w:tc>
              <w:tc>
                <w:tcPr>
                  <w:tcW w:w="1033"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隔油池废油</w:t>
                  </w:r>
                </w:p>
              </w:tc>
              <w:tc>
                <w:tcPr>
                  <w:tcW w:w="725"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default" w:ascii="Times New Roman" w:hAnsi="Times New Roman" w:eastAsia="仿宋_GB2312" w:cs="Times New Roman"/>
                      <w:color w:val="auto"/>
                      <w:szCs w:val="32"/>
                      <w:lang w:val="en-US" w:eastAsia="zh-CN"/>
                    </w:rPr>
                    <w:t>900-999-99</w:t>
                  </w:r>
                </w:p>
              </w:tc>
              <w:tc>
                <w:tcPr>
                  <w:tcW w:w="834"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jc w:val="center"/>
                    <w:textAlignment w:val="auto"/>
                    <w:rPr>
                      <w:rFonts w:hint="default"/>
                      <w:color w:val="auto"/>
                      <w:lang w:val="en-US" w:eastAsia="zh-CN"/>
                    </w:rPr>
                  </w:pPr>
                  <w:r>
                    <w:rPr>
                      <w:rFonts w:hint="eastAsia"/>
                      <w:color w:val="auto"/>
                      <w:lang w:val="en-US" w:eastAsia="zh-CN"/>
                    </w:rPr>
                    <w:t>/</w:t>
                  </w:r>
                </w:p>
              </w:tc>
              <w:tc>
                <w:tcPr>
                  <w:tcW w:w="499"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0.02t/a</w:t>
                  </w:r>
                </w:p>
              </w:tc>
              <w:tc>
                <w:tcPr>
                  <w:tcW w:w="627" w:type="pct"/>
                  <w:tcBorders>
                    <w:tl2br w:val="nil"/>
                    <w:tr2bl w:val="nil"/>
                  </w:tcBorders>
                  <w:vAlign w:val="center"/>
                </w:tcPr>
                <w:p>
                  <w:pPr>
                    <w:pStyle w:val="38"/>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color w:val="auto"/>
                      <w:lang w:val="en-US" w:eastAsia="zh-CN"/>
                    </w:rPr>
                    <w:t>委托有资质单位进行处置</w:t>
                  </w:r>
                </w:p>
              </w:tc>
              <w:tc>
                <w:tcPr>
                  <w:tcW w:w="4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rPr>
                  </w:pPr>
                  <w:r>
                    <w:rPr>
                      <w:rFonts w:hint="eastAsia"/>
                      <w:color w:val="auto"/>
                    </w:rPr>
                    <w:t>危险废物</w:t>
                  </w:r>
                </w:p>
              </w:tc>
              <w:tc>
                <w:tcPr>
                  <w:tcW w:w="46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机械维修</w:t>
                  </w:r>
                </w:p>
              </w:tc>
              <w:tc>
                <w:tcPr>
                  <w:tcW w:w="10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废润滑油</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Cs w:val="21"/>
                      <w:lang w:eastAsia="zh-CN"/>
                    </w:rPr>
                  </w:pPr>
                  <w:r>
                    <w:rPr>
                      <w:rFonts w:hint="eastAsia"/>
                      <w:color w:val="auto"/>
                      <w:szCs w:val="21"/>
                      <w:lang w:val="en-US" w:eastAsia="zh-CN"/>
                    </w:rPr>
                    <w:t>/</w:t>
                  </w:r>
                </w:p>
              </w:tc>
              <w:tc>
                <w:tcPr>
                  <w:tcW w:w="8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危险废物类别HW08</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Cs w:val="21"/>
                    </w:rPr>
                  </w:pPr>
                  <w:r>
                    <w:rPr>
                      <w:rFonts w:hint="eastAsia"/>
                      <w:color w:val="auto"/>
                      <w:szCs w:val="21"/>
                    </w:rPr>
                    <w:t>危险废物代码</w:t>
                  </w:r>
                  <w:r>
                    <w:rPr>
                      <w:color w:val="auto"/>
                    </w:rPr>
                    <w:t>900-</w:t>
                  </w:r>
                  <w:r>
                    <w:rPr>
                      <w:rFonts w:hint="eastAsia"/>
                      <w:color w:val="auto"/>
                    </w:rPr>
                    <w:t>214</w:t>
                  </w:r>
                  <w:r>
                    <w:rPr>
                      <w:color w:val="auto"/>
                    </w:rPr>
                    <w:t>-0</w:t>
                  </w:r>
                  <w:r>
                    <w:rPr>
                      <w:rFonts w:hint="eastAsia"/>
                      <w:color w:val="auto"/>
                    </w:rPr>
                    <w:t>8</w:t>
                  </w:r>
                  <w:r>
                    <w:rPr>
                      <w:rFonts w:hint="eastAsia"/>
                      <w:color w:val="auto"/>
                      <w:szCs w:val="21"/>
                    </w:rPr>
                    <w:t xml:space="preserve"> </w:t>
                  </w:r>
                </w:p>
              </w:tc>
              <w:tc>
                <w:tcPr>
                  <w:tcW w:w="4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0.</w:t>
                  </w:r>
                  <w:r>
                    <w:rPr>
                      <w:rFonts w:hint="eastAsia"/>
                      <w:color w:val="auto"/>
                      <w:szCs w:val="21"/>
                      <w:lang w:val="en-US" w:eastAsia="zh-CN"/>
                    </w:rPr>
                    <w:t>1</w:t>
                  </w:r>
                  <w:r>
                    <w:rPr>
                      <w:rFonts w:hint="eastAsia"/>
                      <w:color w:val="auto"/>
                      <w:szCs w:val="21"/>
                    </w:rPr>
                    <w:t>t/a</w:t>
                  </w:r>
                </w:p>
              </w:tc>
              <w:tc>
                <w:tcPr>
                  <w:tcW w:w="62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r>
                    <w:rPr>
                      <w:rFonts w:hint="eastAsia"/>
                      <w:color w:val="auto"/>
                      <w:szCs w:val="21"/>
                    </w:rPr>
                    <w:t>暂存于危险废物暂存间，定期委托有资质单位进行处置</w:t>
                  </w:r>
                </w:p>
              </w:tc>
              <w:tc>
                <w:tcPr>
                  <w:tcW w:w="4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46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c>
                <w:tcPr>
                  <w:tcW w:w="10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Cs w:val="21"/>
                    </w:rPr>
                  </w:pPr>
                  <w:r>
                    <w:rPr>
                      <w:rFonts w:hint="eastAsia"/>
                      <w:color w:val="auto"/>
                      <w:szCs w:val="21"/>
                    </w:rPr>
                    <w:t>废油桶废油桶</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color w:val="auto"/>
                      <w:szCs w:val="21"/>
                      <w:lang w:val="en-US" w:eastAsia="zh-CN"/>
                    </w:rPr>
                  </w:pPr>
                  <w:r>
                    <w:rPr>
                      <w:rFonts w:hint="eastAsia"/>
                      <w:color w:val="auto"/>
                      <w:szCs w:val="21"/>
                      <w:lang w:val="en-US" w:eastAsia="zh-CN"/>
                    </w:rPr>
                    <w:t>/</w:t>
                  </w:r>
                </w:p>
              </w:tc>
              <w:tc>
                <w:tcPr>
                  <w:tcW w:w="8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Cs w:val="21"/>
                    </w:rPr>
                  </w:pPr>
                  <w:r>
                    <w:rPr>
                      <w:rFonts w:hint="eastAsia"/>
                      <w:color w:val="auto"/>
                      <w:szCs w:val="21"/>
                    </w:rPr>
                    <w:t xml:space="preserve">危险废物类别HW08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Cs w:val="21"/>
                    </w:rPr>
                  </w:pPr>
                  <w:r>
                    <w:rPr>
                      <w:rFonts w:hint="eastAsia"/>
                      <w:color w:val="auto"/>
                      <w:szCs w:val="21"/>
                    </w:rPr>
                    <w:t>危险废物代码900-249-08</w:t>
                  </w:r>
                </w:p>
              </w:tc>
              <w:tc>
                <w:tcPr>
                  <w:tcW w:w="4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Cs w:val="21"/>
                      <w:lang w:val="en-US" w:eastAsia="zh-CN"/>
                    </w:rPr>
                  </w:pPr>
                  <w:r>
                    <w:rPr>
                      <w:rFonts w:hint="eastAsia"/>
                      <w:color w:val="auto"/>
                      <w:szCs w:val="21"/>
                      <w:lang w:val="en-US" w:eastAsia="zh-CN"/>
                    </w:rPr>
                    <w:t>0.02</w:t>
                  </w:r>
                  <w:r>
                    <w:rPr>
                      <w:rFonts w:hint="eastAsia"/>
                      <w:color w:val="auto"/>
                      <w:szCs w:val="21"/>
                    </w:rPr>
                    <w:t>t/a</w:t>
                  </w:r>
                </w:p>
              </w:tc>
              <w:tc>
                <w:tcPr>
                  <w:tcW w:w="62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c>
                <w:tcPr>
                  <w:tcW w:w="4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38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rPr>
                  </w:pPr>
                </w:p>
              </w:tc>
              <w:tc>
                <w:tcPr>
                  <w:tcW w:w="46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c>
                <w:tcPr>
                  <w:tcW w:w="10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Cs w:val="21"/>
                    </w:rPr>
                  </w:pPr>
                  <w:r>
                    <w:rPr>
                      <w:rFonts w:hint="default"/>
                      <w:color w:val="auto"/>
                      <w:szCs w:val="21"/>
                      <w:lang w:val="en-US" w:eastAsia="zh-CN"/>
                    </w:rPr>
                    <w:t>废含油抹布及手套</w:t>
                  </w:r>
                </w:p>
              </w:tc>
              <w:tc>
                <w:tcPr>
                  <w:tcW w:w="7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Cs w:val="21"/>
                      <w:lang w:val="en-US" w:eastAsia="zh-CN"/>
                    </w:rPr>
                  </w:pPr>
                  <w:r>
                    <w:rPr>
                      <w:rFonts w:hint="eastAsia"/>
                      <w:color w:val="auto"/>
                      <w:szCs w:val="21"/>
                      <w:lang w:val="en-US" w:eastAsia="zh-CN"/>
                    </w:rPr>
                    <w:t>/</w:t>
                  </w:r>
                </w:p>
              </w:tc>
              <w:tc>
                <w:tcPr>
                  <w:tcW w:w="8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Cs w:val="21"/>
                      <w:lang w:val="en-US" w:eastAsia="zh-CN"/>
                    </w:rPr>
                  </w:pPr>
                  <w:r>
                    <w:rPr>
                      <w:rFonts w:hint="eastAsia"/>
                      <w:color w:val="auto"/>
                      <w:szCs w:val="21"/>
                      <w:lang w:val="en-US" w:eastAsia="zh-CN"/>
                    </w:rPr>
                    <w:t>危险废物类别为</w:t>
                  </w:r>
                  <w:r>
                    <w:rPr>
                      <w:rFonts w:hint="default"/>
                      <w:color w:val="auto"/>
                      <w:szCs w:val="21"/>
                      <w:lang w:val="en-US" w:eastAsia="zh-CN"/>
                    </w:rPr>
                    <w:t>HW49，</w:t>
                  </w:r>
                  <w:r>
                    <w:rPr>
                      <w:rFonts w:hint="eastAsia"/>
                      <w:color w:val="auto"/>
                      <w:szCs w:val="21"/>
                      <w:lang w:val="en-US" w:eastAsia="zh-CN"/>
                    </w:rPr>
                    <w:t>危险废物代码为</w:t>
                  </w:r>
                  <w:r>
                    <w:rPr>
                      <w:rFonts w:hint="default"/>
                      <w:color w:val="auto"/>
                      <w:szCs w:val="21"/>
                      <w:lang w:val="en-US" w:eastAsia="zh-CN"/>
                    </w:rPr>
                    <w:t>900-041-49</w:t>
                  </w:r>
                </w:p>
              </w:tc>
              <w:tc>
                <w:tcPr>
                  <w:tcW w:w="49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Cs w:val="21"/>
                      <w:lang w:val="en-US" w:eastAsia="zh-CN"/>
                    </w:rPr>
                  </w:pPr>
                  <w:r>
                    <w:rPr>
                      <w:rFonts w:hint="eastAsia"/>
                      <w:color w:val="auto"/>
                      <w:szCs w:val="21"/>
                      <w:lang w:val="en-US" w:eastAsia="zh-CN"/>
                    </w:rPr>
                    <w:t>0.03</w:t>
                  </w:r>
                  <w:r>
                    <w:rPr>
                      <w:rFonts w:hint="eastAsia"/>
                      <w:color w:val="auto"/>
                      <w:szCs w:val="21"/>
                    </w:rPr>
                    <w:t>t/a</w:t>
                  </w:r>
                </w:p>
              </w:tc>
              <w:tc>
                <w:tcPr>
                  <w:tcW w:w="62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c>
                <w:tcPr>
                  <w:tcW w:w="42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color w:val="auto"/>
                      <w:szCs w:val="21"/>
                    </w:rPr>
                  </w:pPr>
                </w:p>
              </w:tc>
            </w:tr>
          </w:tbl>
          <w:p>
            <w:pPr>
              <w:pStyle w:val="69"/>
              <w:rPr>
                <w:color w:val="auto"/>
              </w:rPr>
            </w:pPr>
            <w:r>
              <w:rPr>
                <w:color w:val="auto"/>
              </w:rPr>
              <w:t>由上表可以得出该项目所产生的各种固体废物均具有良好的处置方法，处置率100%，符合固体废物减量化、资源化、无害化要求，防治措施可行，不会对周围环境产生影响。</w:t>
            </w:r>
          </w:p>
          <w:p>
            <w:pPr>
              <w:pStyle w:val="23"/>
              <w:spacing w:line="560" w:lineRule="exact"/>
              <w:ind w:left="420" w:leftChars="200" w:firstLine="0" w:firstLineChars="0"/>
              <w:rPr>
                <w:b/>
                <w:bCs/>
                <w:color w:val="auto"/>
                <w:sz w:val="24"/>
              </w:rPr>
            </w:pPr>
            <w:r>
              <w:rPr>
                <w:b/>
                <w:bCs/>
                <w:color w:val="auto"/>
                <w:sz w:val="24"/>
              </w:rPr>
              <w:t>5</w:t>
            </w:r>
            <w:r>
              <w:rPr>
                <w:rFonts w:hint="eastAsia"/>
                <w:b/>
                <w:bCs/>
                <w:color w:val="auto"/>
                <w:sz w:val="24"/>
              </w:rPr>
              <w:t>、</w:t>
            </w:r>
            <w:r>
              <w:rPr>
                <w:b/>
                <w:bCs/>
                <w:color w:val="auto"/>
                <w:sz w:val="24"/>
              </w:rPr>
              <w:t>地下水、土壤</w:t>
            </w:r>
            <w:r>
              <w:rPr>
                <w:rFonts w:hint="eastAsia"/>
                <w:b/>
                <w:bCs/>
                <w:color w:val="auto"/>
                <w:sz w:val="24"/>
              </w:rPr>
              <w:t>影响分析及治理措施</w:t>
            </w:r>
          </w:p>
          <w:p>
            <w:pPr>
              <w:pStyle w:val="69"/>
              <w:keepNext w:val="0"/>
              <w:keepLines w:val="0"/>
              <w:pageBreakBefore w:val="0"/>
              <w:widowControl w:val="0"/>
              <w:kinsoku/>
              <w:wordWrap/>
              <w:overflowPunct/>
              <w:topLinePunct w:val="0"/>
              <w:autoSpaceDE/>
              <w:autoSpaceDN/>
              <w:bidi w:val="0"/>
              <w:spacing w:line="520" w:lineRule="exact"/>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（1）污染途径</w:t>
            </w:r>
          </w:p>
          <w:p>
            <w:pPr>
              <w:pStyle w:val="69"/>
              <w:keepNext w:val="0"/>
              <w:keepLines w:val="0"/>
              <w:pageBreakBefore w:val="0"/>
              <w:widowControl w:val="0"/>
              <w:kinsoku/>
              <w:wordWrap/>
              <w:overflowPunct/>
              <w:topLinePunct w:val="0"/>
              <w:autoSpaceDE/>
              <w:autoSpaceDN/>
              <w:bidi w:val="0"/>
              <w:spacing w:line="520" w:lineRule="exact"/>
              <w:rPr>
                <w:color w:val="auto"/>
                <w:kern w:val="0"/>
              </w:rPr>
            </w:pPr>
            <w:r>
              <w:rPr>
                <w:rFonts w:hint="default" w:ascii="Times New Roman" w:hAnsi="Times New Roman" w:eastAsia="宋体" w:cs="Times New Roman"/>
                <w:color w:val="auto"/>
                <w:kern w:val="2"/>
                <w:sz w:val="24"/>
                <w:szCs w:val="24"/>
                <w:lang w:val="en-US" w:eastAsia="zh-CN" w:bidi="ar-SA"/>
              </w:rPr>
              <w:t>本项目</w:t>
            </w:r>
            <w:r>
              <w:rPr>
                <w:rFonts w:hint="eastAsia" w:ascii="Times New Roman" w:hAnsi="Times New Roman" w:eastAsia="宋体" w:cs="Times New Roman"/>
                <w:color w:val="auto"/>
                <w:kern w:val="2"/>
                <w:sz w:val="24"/>
                <w:szCs w:val="24"/>
                <w:lang w:val="en-US" w:eastAsia="zh-CN" w:bidi="ar-SA"/>
              </w:rPr>
              <w:t>库房及</w:t>
            </w:r>
            <w:r>
              <w:rPr>
                <w:rFonts w:hint="default" w:ascii="Times New Roman" w:hAnsi="Times New Roman" w:eastAsia="宋体" w:cs="Times New Roman"/>
                <w:color w:val="auto"/>
                <w:kern w:val="2"/>
                <w:sz w:val="24"/>
                <w:szCs w:val="24"/>
                <w:lang w:val="en-US" w:eastAsia="zh-CN" w:bidi="ar-SA"/>
              </w:rPr>
              <w:t>生产场所地面均采用硬化地面，</w:t>
            </w:r>
            <w:r>
              <w:rPr>
                <w:rFonts w:hint="eastAsia" w:ascii="Times New Roman" w:hAnsi="Times New Roman" w:eastAsia="宋体" w:cs="Times New Roman"/>
                <w:color w:val="auto"/>
                <w:kern w:val="2"/>
                <w:sz w:val="24"/>
                <w:szCs w:val="24"/>
                <w:lang w:val="en-US" w:eastAsia="zh-CN" w:bidi="ar-SA"/>
              </w:rPr>
              <w:t>危废暂存间及化粪池采取防渗处理，</w:t>
            </w:r>
            <w:r>
              <w:rPr>
                <w:rFonts w:hint="default" w:ascii="Times New Roman" w:hAnsi="Times New Roman" w:eastAsia="宋体" w:cs="Times New Roman"/>
                <w:color w:val="auto"/>
                <w:kern w:val="2"/>
                <w:sz w:val="24"/>
                <w:szCs w:val="24"/>
                <w:lang w:val="en-US" w:eastAsia="zh-CN" w:bidi="ar-SA"/>
              </w:rPr>
              <w:t>运营期少量未蒸发养护用水通过水槽排入循环水池，</w:t>
            </w:r>
            <w:r>
              <w:rPr>
                <w:rFonts w:hint="eastAsia" w:ascii="Times New Roman" w:hAnsi="Times New Roman" w:eastAsia="宋体" w:cs="Times New Roman"/>
                <w:color w:val="auto"/>
                <w:kern w:val="2"/>
                <w:sz w:val="24"/>
                <w:szCs w:val="24"/>
                <w:lang w:val="en-US" w:eastAsia="zh-CN" w:bidi="ar-SA"/>
              </w:rPr>
              <w:t>循环使用</w:t>
            </w:r>
            <w:r>
              <w:rPr>
                <w:rFonts w:hint="default" w:ascii="Times New Roman" w:hAnsi="Times New Roman" w:eastAsia="宋体" w:cs="Times New Roman"/>
                <w:color w:val="auto"/>
                <w:kern w:val="2"/>
                <w:sz w:val="24"/>
                <w:szCs w:val="24"/>
                <w:lang w:val="en-US" w:eastAsia="zh-CN" w:bidi="ar-SA"/>
              </w:rPr>
              <w:t>；生活污水排至新建防渗化粪池收集，由吸污车定期清运，正常情况下无地下水及土壤污染途径。</w:t>
            </w:r>
            <w:r>
              <w:rPr>
                <w:color w:val="auto"/>
              </w:rPr>
              <w:t>本项目对地下水、土壤产生污染的途径主要是</w:t>
            </w:r>
            <w:r>
              <w:rPr>
                <w:rFonts w:hint="eastAsia"/>
                <w:color w:val="auto"/>
              </w:rPr>
              <w:t>废润滑油泄露及生产废水沉淀池泄露导则地下水及土壤污染。</w:t>
            </w:r>
          </w:p>
          <w:p>
            <w:pPr>
              <w:pStyle w:val="69"/>
              <w:keepNext w:val="0"/>
              <w:keepLines w:val="0"/>
              <w:pageBreakBefore w:val="0"/>
              <w:widowControl w:val="0"/>
              <w:kinsoku/>
              <w:wordWrap/>
              <w:overflowPunct/>
              <w:topLinePunct w:val="0"/>
              <w:autoSpaceDE/>
              <w:autoSpaceDN/>
              <w:bidi w:val="0"/>
              <w:spacing w:line="520" w:lineRule="exact"/>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（2）预防措施</w:t>
            </w:r>
          </w:p>
          <w:p>
            <w:pPr>
              <w:keepNext w:val="0"/>
              <w:keepLines w:val="0"/>
              <w:pageBreakBefore w:val="0"/>
              <w:widowControl w:val="0"/>
              <w:kinsoku/>
              <w:wordWrap/>
              <w:overflowPunct/>
              <w:topLinePunct w:val="0"/>
              <w:autoSpaceDE/>
              <w:autoSpaceDN/>
              <w:bidi w:val="0"/>
              <w:spacing w:line="520" w:lineRule="exact"/>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防止地下水及土壤污染的主要措施就是切断污染物进入地下水及土壤环境的途径，防止污染物的跑、冒、滴、漏，将污染物泄漏的环境风险事故降到最低限度。</w:t>
            </w:r>
          </w:p>
          <w:p>
            <w:pPr>
              <w:keepNext w:val="0"/>
              <w:keepLines w:val="0"/>
              <w:pageBreakBefore w:val="0"/>
              <w:widowControl w:val="0"/>
              <w:kinsoku/>
              <w:wordWrap/>
              <w:overflowPunct/>
              <w:topLinePunct w:val="0"/>
              <w:autoSpaceDE/>
              <w:autoSpaceDN/>
              <w:bidi w:val="0"/>
              <w:spacing w:line="520" w:lineRule="exact"/>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项目地下水污染防治措施和对策坚持“源头控制、分区控制、污染监控、应急响应”的原则。</w:t>
            </w:r>
          </w:p>
          <w:p>
            <w:pPr>
              <w:keepNext w:val="0"/>
              <w:keepLines w:val="0"/>
              <w:pageBreakBefore w:val="0"/>
              <w:widowControl w:val="0"/>
              <w:kinsoku/>
              <w:wordWrap/>
              <w:overflowPunct/>
              <w:topLinePunct w:val="0"/>
              <w:autoSpaceDE/>
              <w:autoSpaceDN/>
              <w:bidi w:val="0"/>
              <w:spacing w:line="520" w:lineRule="exact"/>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①源头控制</w:t>
            </w:r>
          </w:p>
          <w:p>
            <w:pPr>
              <w:keepNext w:val="0"/>
              <w:keepLines w:val="0"/>
              <w:pageBreakBefore w:val="0"/>
              <w:widowControl w:val="0"/>
              <w:kinsoku/>
              <w:wordWrap/>
              <w:overflowPunct/>
              <w:topLinePunct w:val="0"/>
              <w:autoSpaceDE/>
              <w:autoSpaceDN/>
              <w:bidi w:val="0"/>
              <w:spacing w:line="520" w:lineRule="exact"/>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本项目应尽可能从源头上减少污染物产生；严格按照国家相关规范要求，对工艺、设备及处理构筑物采取相应的措施，以防止和降低污染物的跑、冒、滴、漏，将污染物泄漏的环境风险事故降到最低程度。</w:t>
            </w:r>
          </w:p>
          <w:p>
            <w:pPr>
              <w:keepNext w:val="0"/>
              <w:keepLines w:val="0"/>
              <w:pageBreakBefore w:val="0"/>
              <w:widowControl w:val="0"/>
              <w:kinsoku/>
              <w:wordWrap/>
              <w:overflowPunct/>
              <w:topLinePunct w:val="0"/>
              <w:autoSpaceDE/>
              <w:autoSpaceDN/>
              <w:bidi w:val="0"/>
              <w:spacing w:line="520" w:lineRule="exact"/>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②分区防渗</w:t>
            </w:r>
          </w:p>
          <w:p>
            <w:pPr>
              <w:keepNext w:val="0"/>
              <w:keepLines w:val="0"/>
              <w:pageBreakBefore w:val="0"/>
              <w:widowControl w:val="0"/>
              <w:kinsoku/>
              <w:wordWrap/>
              <w:overflowPunct/>
              <w:topLinePunct w:val="0"/>
              <w:autoSpaceDE/>
              <w:autoSpaceDN/>
              <w:bidi w:val="0"/>
              <w:spacing w:line="520" w:lineRule="exact"/>
              <w:ind w:left="0" w:right="0"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本项目工艺流程较简单，根据《环境影响评价技术导则 地下水环境》（HJ610-2016）地下水污染防渗分区参照表，将混凝土拌合</w:t>
            </w:r>
            <w:r>
              <w:rPr>
                <w:rFonts w:hint="eastAsia" w:ascii="Times New Roman" w:hAnsi="Times New Roman" w:eastAsia="宋体" w:cs="Times New Roman"/>
                <w:color w:val="auto"/>
                <w:kern w:val="2"/>
                <w:sz w:val="24"/>
                <w:szCs w:val="24"/>
                <w:lang w:val="en-US" w:eastAsia="zh-CN" w:bidi="ar-SA"/>
              </w:rPr>
              <w:t>区</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预制构件生产及养护区</w:t>
            </w:r>
            <w:r>
              <w:rPr>
                <w:rFonts w:hint="default" w:ascii="Times New Roman" w:hAnsi="Times New Roman" w:eastAsia="宋体" w:cs="Times New Roman"/>
                <w:color w:val="auto"/>
                <w:kern w:val="2"/>
                <w:sz w:val="24"/>
                <w:szCs w:val="24"/>
                <w:lang w:val="en-US" w:eastAsia="zh-CN" w:bidi="ar-SA"/>
              </w:rPr>
              <w:t>、化粪池、办公区</w:t>
            </w:r>
            <w:r>
              <w:rPr>
                <w:rFonts w:hint="eastAsia" w:ascii="Times New Roman" w:hAnsi="Times New Roman" w:eastAsia="宋体" w:cs="Times New Roman"/>
                <w:color w:val="auto"/>
                <w:kern w:val="2"/>
                <w:sz w:val="24"/>
                <w:szCs w:val="24"/>
                <w:lang w:val="en-US" w:eastAsia="zh-CN" w:bidi="ar-SA"/>
              </w:rPr>
              <w:t>、危废暂存间</w:t>
            </w:r>
            <w:r>
              <w:rPr>
                <w:rFonts w:hint="default" w:ascii="Times New Roman" w:hAnsi="Times New Roman" w:eastAsia="宋体" w:cs="Times New Roman"/>
                <w:color w:val="auto"/>
                <w:kern w:val="2"/>
                <w:sz w:val="24"/>
                <w:szCs w:val="24"/>
                <w:lang w:val="en-US" w:eastAsia="zh-CN" w:bidi="ar-SA"/>
              </w:rPr>
              <w:t>等均按功能单元所处的位置划分为重点防渗区、一般防渗区、简单防渗区，作为</w:t>
            </w:r>
            <w:r>
              <w:rPr>
                <w:rFonts w:hint="default" w:ascii="Times New Roman" w:hAnsi="Times New Roman" w:eastAsia="宋体" w:cs="Times New Roman"/>
                <w:color w:val="auto"/>
                <w:spacing w:val="-6"/>
                <w:kern w:val="2"/>
                <w:sz w:val="24"/>
                <w:szCs w:val="24"/>
                <w:lang w:val="en-US" w:eastAsia="zh-CN" w:bidi="ar-SA"/>
              </w:rPr>
              <w:t>本项目地下水</w:t>
            </w:r>
            <w:r>
              <w:rPr>
                <w:rFonts w:hint="default" w:ascii="Times New Roman" w:hAnsi="Times New Roman" w:eastAsia="宋体" w:cs="Times New Roman"/>
                <w:color w:val="auto"/>
                <w:spacing w:val="-6"/>
                <w:kern w:val="2"/>
                <w:sz w:val="24"/>
                <w:szCs w:val="24"/>
                <w:highlight w:val="none"/>
                <w:lang w:val="en-US" w:eastAsia="zh-CN" w:bidi="ar-SA"/>
              </w:rPr>
              <w:t>及土壤污染防治区域。本项目防渗工程污染防治分区情况如下表</w:t>
            </w:r>
            <w:r>
              <w:rPr>
                <w:rFonts w:hint="eastAsia" w:ascii="Times New Roman" w:hAnsi="Times New Roman" w:eastAsia="宋体" w:cs="Times New Roman"/>
                <w:color w:val="auto"/>
                <w:spacing w:val="-6"/>
                <w:kern w:val="2"/>
                <w:sz w:val="24"/>
                <w:szCs w:val="24"/>
                <w:highlight w:val="none"/>
                <w:lang w:val="en-US" w:eastAsia="zh-CN" w:bidi="ar-SA"/>
              </w:rPr>
              <w:t>，分区防渗图见附图5。</w:t>
            </w:r>
          </w:p>
          <w:p>
            <w:pPr>
              <w:widowControl/>
              <w:topLinePunct/>
              <w:adjustRightInd w:val="0"/>
              <w:snapToGrid w:val="0"/>
              <w:jc w:val="center"/>
              <w:rPr>
                <w:rFonts w:hint="default" w:ascii="Times New Roman" w:hAnsi="Times New Roman" w:eastAsia="宋体" w:cs="Times New Roman"/>
                <w:b/>
                <w:color w:val="auto"/>
                <w:szCs w:val="21"/>
                <w:lang w:val="en-US" w:eastAsia="zh-CN"/>
              </w:rPr>
            </w:pPr>
            <w:r>
              <w:rPr>
                <w:rFonts w:hint="default" w:ascii="Times New Roman" w:hAnsi="Times New Roman" w:eastAsia="宋体" w:cs="Times New Roman"/>
                <w:b/>
                <w:color w:val="auto"/>
                <w:szCs w:val="21"/>
                <w:lang w:val="en-US" w:eastAsia="zh-CN"/>
              </w:rPr>
              <w:t>表4-1</w:t>
            </w:r>
            <w:r>
              <w:rPr>
                <w:rFonts w:hint="eastAsia" w:cs="Times New Roman"/>
                <w:b/>
                <w:color w:val="auto"/>
                <w:szCs w:val="21"/>
                <w:lang w:val="en-US" w:eastAsia="zh-CN"/>
              </w:rPr>
              <w:t>9</w:t>
            </w:r>
            <w:r>
              <w:rPr>
                <w:rFonts w:hint="default" w:ascii="Times New Roman" w:hAnsi="Times New Roman" w:eastAsia="宋体" w:cs="Times New Roman"/>
                <w:b/>
                <w:color w:val="auto"/>
                <w:szCs w:val="21"/>
                <w:lang w:val="en-US" w:eastAsia="zh-CN"/>
              </w:rPr>
              <w:t xml:space="preserve">  </w:t>
            </w:r>
            <w:r>
              <w:rPr>
                <w:rFonts w:hint="default" w:ascii="Times New Roman" w:hAnsi="Times New Roman" w:eastAsia="宋体" w:cs="Times New Roman"/>
                <w:b/>
                <w:color w:val="auto"/>
                <w:szCs w:val="21"/>
              </w:rPr>
              <w:t>本项目防渗工程污染防治分区</w:t>
            </w:r>
          </w:p>
          <w:tbl>
            <w:tblPr>
              <w:tblStyle w:val="30"/>
              <w:tblW w:w="4999"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4080"/>
              <w:gridCol w:w="20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88" w:type="pct"/>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2474" w:type="pct"/>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防渗区域及部位</w:t>
                  </w:r>
                </w:p>
              </w:tc>
              <w:tc>
                <w:tcPr>
                  <w:tcW w:w="1236" w:type="pct"/>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防渗分区等级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88"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混凝土拌和</w:t>
                  </w:r>
                  <w:r>
                    <w:rPr>
                      <w:rFonts w:hint="eastAsia" w:ascii="Times New Roman" w:hAnsi="Times New Roman" w:eastAsia="宋体" w:cs="Times New Roman"/>
                      <w:color w:val="auto"/>
                      <w:sz w:val="21"/>
                      <w:szCs w:val="21"/>
                      <w:lang w:val="en-US" w:eastAsia="zh-CN"/>
                    </w:rPr>
                    <w:t>区</w:t>
                  </w:r>
                </w:p>
              </w:tc>
              <w:tc>
                <w:tcPr>
                  <w:tcW w:w="2474"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highlight w:val="none"/>
                      <w:lang w:val="en-US" w:eastAsia="zh-CN"/>
                    </w:rPr>
                    <w:t>占地范围内</w:t>
                  </w:r>
                </w:p>
              </w:tc>
              <w:tc>
                <w:tcPr>
                  <w:tcW w:w="1236" w:type="pct"/>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一般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8" w:type="pct"/>
                  <w:vMerge w:val="restar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预制构件生产季养护区</w:t>
                  </w:r>
                </w:p>
              </w:tc>
              <w:tc>
                <w:tcPr>
                  <w:tcW w:w="2474" w:type="pct"/>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236" w:type="pct"/>
                  <w:vMerge w:val="restar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一般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8" w:type="pct"/>
                  <w:vMerge w:val="continue"/>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p>
              </w:tc>
              <w:tc>
                <w:tcPr>
                  <w:tcW w:w="2474" w:type="pct"/>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p>
              </w:tc>
              <w:tc>
                <w:tcPr>
                  <w:tcW w:w="1236" w:type="pct"/>
                  <w:vMerge w:val="continue"/>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8"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库房</w:t>
                  </w:r>
                </w:p>
              </w:tc>
              <w:tc>
                <w:tcPr>
                  <w:tcW w:w="2474"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highlight w:val="none"/>
                      <w:lang w:val="en-US" w:eastAsia="zh-CN"/>
                    </w:rPr>
                    <w:t>占地范围内</w:t>
                  </w:r>
                </w:p>
              </w:tc>
              <w:tc>
                <w:tcPr>
                  <w:tcW w:w="1236" w:type="pct"/>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一般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8"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办公</w:t>
                  </w:r>
                  <w:r>
                    <w:rPr>
                      <w:rFonts w:hint="eastAsia" w:ascii="Times New Roman" w:hAnsi="Times New Roman" w:eastAsia="宋体" w:cs="Times New Roman"/>
                      <w:color w:val="auto"/>
                      <w:sz w:val="21"/>
                      <w:szCs w:val="21"/>
                      <w:lang w:val="en-US" w:eastAsia="zh-CN"/>
                    </w:rPr>
                    <w:t>区及宿舍、泵房</w:t>
                  </w:r>
                </w:p>
              </w:tc>
              <w:tc>
                <w:tcPr>
                  <w:tcW w:w="2474"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highlight w:val="none"/>
                      <w:lang w:val="en-US" w:eastAsia="zh-CN"/>
                    </w:rPr>
                    <w:t>占地范围内</w:t>
                  </w:r>
                </w:p>
              </w:tc>
              <w:tc>
                <w:tcPr>
                  <w:tcW w:w="1236"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简单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8"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化粪池</w:t>
                  </w:r>
                </w:p>
              </w:tc>
              <w:tc>
                <w:tcPr>
                  <w:tcW w:w="2474"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highlight w:val="none"/>
                      <w:lang w:val="en-US" w:eastAsia="zh-CN"/>
                    </w:rPr>
                    <w:t>占地范围内</w:t>
                  </w:r>
                </w:p>
              </w:tc>
              <w:tc>
                <w:tcPr>
                  <w:tcW w:w="1236"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一般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8"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危废暂存间</w:t>
                  </w:r>
                </w:p>
              </w:tc>
              <w:tc>
                <w:tcPr>
                  <w:tcW w:w="2474" w:type="pct"/>
                  <w:tcBorders>
                    <w:tl2br w:val="nil"/>
                    <w:tr2bl w:val="nil"/>
                  </w:tcBorders>
                  <w:noWrap w:val="0"/>
                  <w:vAlign w:val="center"/>
                </w:tcPr>
                <w:p>
                  <w:pPr>
                    <w:jc w:val="center"/>
                    <w:rPr>
                      <w:rFonts w:hint="default" w:ascii="Times New Roman" w:hAnsi="Times New Roman" w:eastAsia="宋体" w:cs="Times New Roman"/>
                      <w:color w:val="auto"/>
                      <w:highlight w:val="none"/>
                      <w:lang w:val="en-US" w:eastAsia="zh-CN"/>
                    </w:rPr>
                  </w:pPr>
                </w:p>
              </w:tc>
              <w:tc>
                <w:tcPr>
                  <w:tcW w:w="1236" w:type="pct"/>
                  <w:tcBorders>
                    <w:tl2br w:val="nil"/>
                    <w:tr2bl w:val="nil"/>
                  </w:tcBorders>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重点</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lang w:eastAsia="zh-CN"/>
              </w:rPr>
              <w:t>重点防渗区防渗措施</w:t>
            </w:r>
          </w:p>
          <w:p>
            <w:pPr>
              <w:adjustRightInd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重点防渗区地面</w:t>
            </w:r>
            <w:r>
              <w:rPr>
                <w:rFonts w:hint="default" w:ascii="Times New Roman" w:hAnsi="Times New Roman" w:eastAsia="宋体" w:cs="Times New Roman"/>
                <w:color w:val="auto"/>
                <w:sz w:val="24"/>
                <w:highlight w:val="none"/>
              </w:rPr>
              <w:t>刷具防腐、防渗、耐油污的绿色环氧地坪漆，铺设2</w:t>
            </w:r>
            <w:r>
              <w:rPr>
                <w:rFonts w:hint="default" w:ascii="Times New Roman" w:hAnsi="Times New Roman" w:eastAsia="宋体" w:cs="Times New Roman"/>
                <w:color w:val="auto"/>
                <w:sz w:val="24"/>
                <w:highlight w:val="none"/>
                <w:lang w:val="en-US" w:eastAsia="zh-CN"/>
              </w:rPr>
              <w:t>mm</w:t>
            </w:r>
            <w:r>
              <w:rPr>
                <w:rFonts w:hint="default" w:ascii="Times New Roman" w:hAnsi="Times New Roman" w:eastAsia="宋体" w:cs="Times New Roman"/>
                <w:color w:val="auto"/>
                <w:sz w:val="24"/>
                <w:highlight w:val="none"/>
              </w:rPr>
              <w:t>厚高密度聚乙烯防渗垫层</w:t>
            </w:r>
            <w:r>
              <w:rPr>
                <w:rFonts w:hint="default" w:ascii="Times New Roman" w:hAnsi="Times New Roman" w:eastAsia="宋体" w:cs="Times New Roman"/>
                <w:color w:val="auto"/>
                <w:sz w:val="24"/>
                <w:highlight w:val="none"/>
                <w:lang w:val="en-US" w:eastAsia="zh-CN"/>
              </w:rPr>
              <w:t>，等效黏土防渗层Mb≥6.0m，</w:t>
            </w:r>
            <w:r>
              <w:rPr>
                <w:rFonts w:hint="default" w:ascii="Times New Roman" w:hAnsi="Times New Roman" w:eastAsia="宋体" w:cs="Times New Roman"/>
                <w:color w:val="auto"/>
                <w:sz w:val="24"/>
                <w:highlight w:val="none"/>
              </w:rPr>
              <w:t>渗透系数≤1×10</w:t>
            </w:r>
            <w:r>
              <w:rPr>
                <w:rFonts w:hint="default" w:ascii="Times New Roman" w:hAnsi="Times New Roman" w:eastAsia="宋体" w:cs="Times New Roman"/>
                <w:color w:val="auto"/>
                <w:sz w:val="24"/>
                <w:highlight w:val="none"/>
                <w:vertAlign w:val="superscript"/>
              </w:rPr>
              <w:t>-7</w:t>
            </w:r>
            <w:r>
              <w:rPr>
                <w:rFonts w:hint="default" w:ascii="Times New Roman" w:hAnsi="Times New Roman" w:eastAsia="宋体" w:cs="Times New Roman"/>
                <w:color w:val="auto"/>
                <w:sz w:val="24"/>
                <w:highlight w:val="none"/>
              </w:rPr>
              <w:t>cm/s</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重点防渗区防渗能力应满足《危险废物贮存污染控制标准》（GB18597-20</w:t>
            </w:r>
            <w:r>
              <w:rPr>
                <w:rFonts w:hint="eastAsia" w:ascii="Times New Roman" w:hAnsi="Times New Roman" w:eastAsia="宋体" w:cs="Times New Roman"/>
                <w:color w:val="auto"/>
                <w:sz w:val="24"/>
                <w:highlight w:val="none"/>
                <w:lang w:val="en-US" w:eastAsia="zh-CN"/>
              </w:rPr>
              <w:t>23</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要求</w:t>
            </w:r>
            <w:r>
              <w:rPr>
                <w:rFonts w:hint="default" w:ascii="Times New Roman" w:hAnsi="Times New Roman" w:eastAsia="宋体" w:cs="Times New Roman"/>
                <w:color w:val="auto"/>
                <w:sz w:val="24"/>
                <w:highlight w:val="none"/>
              </w:rPr>
              <w:t>。</w:t>
            </w:r>
          </w:p>
          <w:p>
            <w:pPr>
              <w:adjustRightInd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B.</w:t>
            </w:r>
            <w:r>
              <w:rPr>
                <w:rFonts w:hint="default" w:ascii="Times New Roman" w:hAnsi="Times New Roman" w:eastAsia="宋体" w:cs="Times New Roman"/>
                <w:color w:val="auto"/>
                <w:sz w:val="24"/>
                <w:highlight w:val="none"/>
              </w:rPr>
              <w:t>一般防渗区防渗措施</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一般</w:t>
            </w:r>
            <w:r>
              <w:rPr>
                <w:rFonts w:hint="default" w:ascii="Times New Roman" w:hAnsi="Times New Roman" w:eastAsia="宋体" w:cs="Times New Roman"/>
                <w:color w:val="auto"/>
                <w:sz w:val="24"/>
                <w:highlight w:val="none"/>
              </w:rPr>
              <w:t>染防治区</w:t>
            </w:r>
            <w:r>
              <w:rPr>
                <w:rFonts w:hint="default" w:ascii="Times New Roman" w:hAnsi="Times New Roman" w:eastAsia="宋体" w:cs="Times New Roman"/>
                <w:color w:val="auto"/>
                <w:sz w:val="24"/>
                <w:highlight w:val="none"/>
                <w:lang w:val="en-US" w:eastAsia="zh-CN"/>
              </w:rPr>
              <w:t>地面等效黏土防渗层Mb≥1.5m，</w:t>
            </w:r>
            <w:r>
              <w:rPr>
                <w:rFonts w:hint="default" w:ascii="Times New Roman" w:hAnsi="Times New Roman" w:eastAsia="宋体" w:cs="Times New Roman"/>
                <w:color w:val="auto"/>
                <w:sz w:val="24"/>
                <w:highlight w:val="none"/>
              </w:rPr>
              <w:t>渗透系数≤1×10</w:t>
            </w:r>
            <w:r>
              <w:rPr>
                <w:rFonts w:hint="default" w:ascii="Times New Roman" w:hAnsi="Times New Roman" w:eastAsia="宋体" w:cs="Times New Roman"/>
                <w:color w:val="auto"/>
                <w:sz w:val="24"/>
                <w:highlight w:val="none"/>
                <w:vertAlign w:val="superscript"/>
              </w:rPr>
              <w:t>-7</w:t>
            </w:r>
            <w:r>
              <w:rPr>
                <w:rFonts w:hint="default" w:ascii="Times New Roman" w:hAnsi="Times New Roman" w:eastAsia="宋体" w:cs="Times New Roman"/>
                <w:color w:val="auto"/>
                <w:sz w:val="24"/>
                <w:highlight w:val="none"/>
              </w:rPr>
              <w:t>cm/s</w:t>
            </w:r>
            <w:r>
              <w:rPr>
                <w:rFonts w:hint="default" w:ascii="Times New Roman" w:hAnsi="Times New Roman" w:eastAsia="宋体" w:cs="Times New Roman"/>
                <w:color w:val="auto"/>
                <w:sz w:val="24"/>
                <w:highlight w:val="none"/>
                <w:lang w:val="en-US" w:eastAsia="zh-CN"/>
              </w:rPr>
              <w:t>。</w:t>
            </w:r>
          </w:p>
          <w:p>
            <w:pPr>
              <w:adjustRightInd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C.</w:t>
            </w:r>
            <w:r>
              <w:rPr>
                <w:rFonts w:hint="default" w:ascii="Times New Roman" w:hAnsi="Times New Roman" w:eastAsia="宋体" w:cs="Times New Roman"/>
                <w:color w:val="auto"/>
                <w:sz w:val="24"/>
                <w:highlight w:val="none"/>
              </w:rPr>
              <w:t>简单防渗区防渗措施</w:t>
            </w:r>
          </w:p>
          <w:p>
            <w:pPr>
              <w:adjustRightInd w:val="0"/>
              <w:spacing w:line="360" w:lineRule="auto"/>
              <w:ind w:firstLine="480" w:firstLineChars="200"/>
              <w:textAlignment w:val="baseline"/>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简单防渗渠</w:t>
            </w:r>
            <w:r>
              <w:rPr>
                <w:rFonts w:hint="default" w:ascii="Times New Roman" w:hAnsi="Times New Roman" w:eastAsia="宋体" w:cs="Times New Roman"/>
                <w:color w:val="auto"/>
                <w:sz w:val="24"/>
                <w:highlight w:val="none"/>
              </w:rPr>
              <w:t>采取10~15cm的水泥进行硬化。</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综上所述，企</w:t>
            </w:r>
            <w:r>
              <w:rPr>
                <w:rFonts w:hint="default" w:ascii="Times New Roman" w:hAnsi="Times New Roman" w:eastAsia="宋体" w:cs="Times New Roman"/>
                <w:color w:val="auto"/>
                <w:spacing w:val="-6"/>
                <w:sz w:val="24"/>
                <w:highlight w:val="none"/>
              </w:rPr>
              <w:t>业在加强管理，强化防渗措施，做好水工构件的防渗，在落实各项环保措施的条件下，本项目不会对区域内地下水及土壤产生影响，治理措施可行。</w:t>
            </w:r>
          </w:p>
          <w:p>
            <w:pPr>
              <w:adjustRightInd w:val="0"/>
              <w:snapToGrid w:val="0"/>
              <w:spacing w:line="480" w:lineRule="exact"/>
              <w:ind w:firstLine="482" w:firstLineChars="200"/>
              <w:rPr>
                <w:b/>
                <w:bCs/>
                <w:color w:val="auto"/>
                <w:sz w:val="24"/>
              </w:rPr>
            </w:pPr>
            <w:r>
              <w:rPr>
                <w:rFonts w:hint="eastAsia"/>
                <w:b/>
                <w:bCs/>
                <w:color w:val="auto"/>
                <w:sz w:val="24"/>
              </w:rPr>
              <w:t>6、环境风险分析及防治措施分析</w:t>
            </w:r>
          </w:p>
          <w:p>
            <w:pPr>
              <w:pStyle w:val="69"/>
              <w:ind w:firstLine="482"/>
              <w:rPr>
                <w:b/>
                <w:bCs/>
                <w:color w:val="auto"/>
              </w:rPr>
            </w:pPr>
            <w:r>
              <w:rPr>
                <w:rFonts w:hint="eastAsia"/>
                <w:b/>
                <w:bCs/>
                <w:color w:val="auto"/>
              </w:rPr>
              <w:t>6</w:t>
            </w:r>
            <w:r>
              <w:rPr>
                <w:b/>
                <w:bCs/>
                <w:color w:val="auto"/>
              </w:rPr>
              <w:t>.1</w:t>
            </w:r>
            <w:r>
              <w:rPr>
                <w:rFonts w:hint="eastAsia"/>
                <w:b/>
                <w:bCs/>
                <w:color w:val="auto"/>
              </w:rPr>
              <w:t>评价依据</w:t>
            </w:r>
          </w:p>
          <w:p>
            <w:pPr>
              <w:pStyle w:val="69"/>
              <w:rPr>
                <w:color w:val="auto"/>
                <w:kern w:val="0"/>
              </w:rPr>
            </w:pPr>
            <w:r>
              <w:rPr>
                <w:rFonts w:hint="eastAsia"/>
                <w:color w:val="auto"/>
              </w:rPr>
              <w:t>本</w:t>
            </w:r>
            <w:r>
              <w:rPr>
                <w:color w:val="auto"/>
                <w:kern w:val="0"/>
              </w:rPr>
              <w:t>环境风险评价的目的是分析和预测建设项目存在的潜在危险、有害因素、建设项目建设和生产运行期间可能发生的突发性事件或事故（一般不包括人为破坏及自然灾害）引起易燃易爆等物质燃烧爆炸，所造成的人身安全与环境影响和损害程度，提出合理可行的防范、应急与减缓措施，以使建设项目事故率、损失和环境影响达到可接受水平。</w:t>
            </w:r>
          </w:p>
          <w:p>
            <w:pPr>
              <w:adjustRightInd w:val="0"/>
              <w:snapToGrid w:val="0"/>
              <w:spacing w:line="520" w:lineRule="exact"/>
              <w:ind w:firstLine="480" w:firstLineChars="200"/>
              <w:rPr>
                <w:bCs/>
                <w:color w:val="auto"/>
                <w:sz w:val="24"/>
                <w:szCs w:val="32"/>
              </w:rPr>
            </w:pPr>
            <w:r>
              <w:rPr>
                <w:bCs/>
                <w:color w:val="auto"/>
                <w:sz w:val="24"/>
                <w:szCs w:val="32"/>
              </w:rPr>
              <w:t>（1）风险调查</w:t>
            </w:r>
          </w:p>
          <w:p>
            <w:pPr>
              <w:adjustRightInd w:val="0"/>
              <w:snapToGrid w:val="0"/>
              <w:spacing w:line="520" w:lineRule="exact"/>
              <w:ind w:firstLine="480" w:firstLineChars="200"/>
              <w:rPr>
                <w:bCs/>
                <w:color w:val="auto"/>
                <w:sz w:val="24"/>
                <w:szCs w:val="32"/>
              </w:rPr>
            </w:pPr>
            <w:r>
              <w:rPr>
                <w:rFonts w:hint="default" w:ascii="Calibri" w:hAnsi="Calibri" w:cs="Calibri"/>
                <w:bCs/>
                <w:color w:val="auto"/>
                <w:sz w:val="24"/>
                <w:szCs w:val="32"/>
              </w:rPr>
              <w:t>①</w:t>
            </w:r>
            <w:r>
              <w:rPr>
                <w:bCs/>
                <w:color w:val="auto"/>
                <w:sz w:val="24"/>
                <w:szCs w:val="32"/>
              </w:rPr>
              <w:t>建设项目风险源调查</w:t>
            </w:r>
          </w:p>
          <w:p>
            <w:pPr>
              <w:adjustRightInd w:val="0"/>
              <w:snapToGrid w:val="0"/>
              <w:spacing w:line="520" w:lineRule="exact"/>
              <w:ind w:firstLine="480" w:firstLineChars="200"/>
              <w:rPr>
                <w:bCs/>
                <w:color w:val="auto"/>
                <w:sz w:val="24"/>
              </w:rPr>
            </w:pPr>
            <w:r>
              <w:rPr>
                <w:bCs/>
                <w:color w:val="auto"/>
                <w:sz w:val="24"/>
                <w:szCs w:val="32"/>
              </w:rPr>
              <w:t>本项目为商品混凝土</w:t>
            </w:r>
            <w:r>
              <w:rPr>
                <w:rFonts w:hint="eastAsia"/>
                <w:bCs/>
                <w:color w:val="auto"/>
                <w:sz w:val="24"/>
                <w:szCs w:val="32"/>
              </w:rPr>
              <w:t>及预制构件</w:t>
            </w:r>
            <w:r>
              <w:rPr>
                <w:bCs/>
                <w:color w:val="auto"/>
                <w:sz w:val="24"/>
                <w:szCs w:val="32"/>
              </w:rPr>
              <w:t>生产项目，生产过程中涉及的主要原料为</w:t>
            </w:r>
            <w:r>
              <w:rPr>
                <w:rFonts w:hint="eastAsia"/>
                <w:bCs/>
                <w:color w:val="auto"/>
                <w:sz w:val="24"/>
                <w:szCs w:val="32"/>
              </w:rPr>
              <w:t>水洗砂</w:t>
            </w:r>
            <w:r>
              <w:rPr>
                <w:bCs/>
                <w:color w:val="auto"/>
                <w:sz w:val="24"/>
                <w:szCs w:val="32"/>
              </w:rPr>
              <w:t>、石子、水泥、粉煤灰和减水剂，项目所用原料不具有危险性，</w:t>
            </w:r>
            <w:r>
              <w:rPr>
                <w:rFonts w:hint="eastAsia"/>
                <w:bCs/>
                <w:color w:val="auto"/>
                <w:sz w:val="24"/>
                <w:szCs w:val="32"/>
                <w:lang w:val="en-US" w:eastAsia="zh-CN"/>
              </w:rPr>
              <w:t>项目设备维修过程会产生废润滑油</w:t>
            </w:r>
            <w:r>
              <w:rPr>
                <w:rFonts w:hint="eastAsia"/>
                <w:bCs/>
                <w:color w:val="auto"/>
                <w:sz w:val="24"/>
                <w:szCs w:val="32"/>
                <w:lang w:eastAsia="zh-CN"/>
              </w:rPr>
              <w:t>，</w:t>
            </w:r>
            <w:r>
              <w:rPr>
                <w:color w:val="auto"/>
                <w:sz w:val="24"/>
              </w:rPr>
              <w:t>风险类别为物质泄漏、火灾爆炸等</w:t>
            </w:r>
            <w:r>
              <w:rPr>
                <w:rFonts w:hint="eastAsia"/>
                <w:color w:val="auto"/>
                <w:sz w:val="24"/>
              </w:rPr>
              <w:t>。</w:t>
            </w:r>
          </w:p>
          <w:p>
            <w:pPr>
              <w:adjustRightInd w:val="0"/>
              <w:snapToGrid w:val="0"/>
              <w:spacing w:line="520" w:lineRule="exact"/>
              <w:ind w:firstLine="480" w:firstLineChars="200"/>
              <w:rPr>
                <w:bCs/>
                <w:color w:val="auto"/>
                <w:sz w:val="24"/>
                <w:szCs w:val="32"/>
              </w:rPr>
            </w:pPr>
            <w:r>
              <w:rPr>
                <w:rFonts w:hint="default" w:ascii="Calibri" w:hAnsi="Calibri" w:cs="Calibri"/>
                <w:bCs/>
                <w:color w:val="auto"/>
                <w:sz w:val="24"/>
                <w:szCs w:val="32"/>
              </w:rPr>
              <w:t>②</w:t>
            </w:r>
            <w:r>
              <w:rPr>
                <w:bCs/>
                <w:color w:val="auto"/>
                <w:sz w:val="24"/>
                <w:szCs w:val="32"/>
              </w:rPr>
              <w:t>环境风险潜势初判及评价等级</w:t>
            </w:r>
          </w:p>
          <w:p>
            <w:pPr>
              <w:adjustRightInd w:val="0"/>
              <w:snapToGrid w:val="0"/>
              <w:spacing w:line="520" w:lineRule="exact"/>
              <w:ind w:firstLine="480" w:firstLineChars="200"/>
              <w:rPr>
                <w:bCs/>
                <w:color w:val="auto"/>
                <w:sz w:val="24"/>
                <w:szCs w:val="32"/>
              </w:rPr>
            </w:pPr>
            <w:r>
              <w:rPr>
                <w:bCs/>
                <w:color w:val="auto"/>
                <w:sz w:val="24"/>
                <w:szCs w:val="32"/>
              </w:rPr>
              <w:t>根据建设项目涉及的物质和工艺系统的危险性及其所在地的环境敏感程度，结合事故情形下环境影响途径，对建设项目潜在环境危害程度进行概化分析，确定环境风险潜势。</w:t>
            </w:r>
          </w:p>
          <w:p>
            <w:pPr>
              <w:pStyle w:val="69"/>
              <w:ind w:firstLine="496"/>
              <w:rPr>
                <w:bCs/>
                <w:color w:val="auto"/>
                <w:sz w:val="24"/>
                <w:szCs w:val="32"/>
              </w:rPr>
            </w:pPr>
            <w:r>
              <w:rPr>
                <w:bCs/>
                <w:color w:val="auto"/>
                <w:sz w:val="24"/>
                <w:szCs w:val="32"/>
              </w:rPr>
              <w:t>根据《建设项目环境风险评价技术导则》（HJ169-2018），</w:t>
            </w:r>
            <w:r>
              <w:rPr>
                <w:rFonts w:cs="Times New Roman"/>
                <w:color w:val="auto"/>
                <w:spacing w:val="4"/>
              </w:rPr>
              <w:t>废</w:t>
            </w:r>
            <w:r>
              <w:rPr>
                <w:rFonts w:hint="eastAsia" w:cs="Times New Roman"/>
                <w:color w:val="auto"/>
                <w:spacing w:val="4"/>
              </w:rPr>
              <w:t>矿物油</w:t>
            </w:r>
            <w:r>
              <w:rPr>
                <w:rFonts w:cs="Times New Roman"/>
                <w:color w:val="auto"/>
                <w:spacing w:val="4"/>
              </w:rPr>
              <w:t>属于易燃物质，临界量为2500t，</w:t>
            </w:r>
            <w:r>
              <w:rPr>
                <w:rFonts w:hint="eastAsia" w:cs="Times New Roman"/>
                <w:color w:val="auto"/>
                <w:spacing w:val="4"/>
              </w:rPr>
              <w:t>项目</w:t>
            </w:r>
            <w:r>
              <w:rPr>
                <w:rFonts w:cs="Times New Roman"/>
                <w:color w:val="auto"/>
                <w:spacing w:val="4"/>
                <w:szCs w:val="32"/>
              </w:rPr>
              <w:t>最大存在总量</w:t>
            </w:r>
            <w:r>
              <w:rPr>
                <w:rFonts w:cs="Times New Roman"/>
                <w:color w:val="auto"/>
                <w:spacing w:val="4"/>
              </w:rPr>
              <w:t>为</w:t>
            </w:r>
            <w:r>
              <w:rPr>
                <w:rFonts w:hint="eastAsia" w:cs="Times New Roman"/>
                <w:color w:val="auto"/>
                <w:spacing w:val="4"/>
                <w:lang w:val="en-US" w:eastAsia="zh-CN"/>
              </w:rPr>
              <w:t>0.5</w:t>
            </w:r>
            <w:r>
              <w:rPr>
                <w:rFonts w:cs="Times New Roman"/>
                <w:color w:val="auto"/>
                <w:spacing w:val="4"/>
              </w:rPr>
              <w:t>t。</w:t>
            </w:r>
            <w:r>
              <w:rPr>
                <w:bCs/>
                <w:color w:val="auto"/>
                <w:sz w:val="24"/>
                <w:szCs w:val="32"/>
              </w:rPr>
              <w:t>该项目风险潜势为Ⅰ，确定项目风险等级为简单分析。</w:t>
            </w:r>
          </w:p>
          <w:p>
            <w:pPr>
              <w:adjustRightInd w:val="0"/>
              <w:snapToGrid w:val="0"/>
              <w:spacing w:line="520" w:lineRule="exact"/>
              <w:ind w:firstLine="482" w:firstLineChars="200"/>
              <w:rPr>
                <w:b/>
                <w:color w:val="auto"/>
                <w:sz w:val="24"/>
                <w:szCs w:val="32"/>
              </w:rPr>
            </w:pPr>
            <w:r>
              <w:rPr>
                <w:rFonts w:hint="eastAsia"/>
                <w:b/>
                <w:color w:val="auto"/>
                <w:sz w:val="24"/>
                <w:szCs w:val="32"/>
              </w:rPr>
              <w:t>6.2</w:t>
            </w:r>
            <w:r>
              <w:rPr>
                <w:b/>
                <w:color w:val="auto"/>
                <w:sz w:val="24"/>
                <w:szCs w:val="32"/>
              </w:rPr>
              <w:t>环境敏感目标调查</w:t>
            </w:r>
          </w:p>
          <w:p>
            <w:pPr>
              <w:adjustRightInd w:val="0"/>
              <w:snapToGrid w:val="0"/>
              <w:spacing w:line="520" w:lineRule="exact"/>
              <w:ind w:firstLine="480" w:firstLineChars="200"/>
              <w:rPr>
                <w:bCs/>
                <w:color w:val="auto"/>
                <w:sz w:val="24"/>
                <w:szCs w:val="32"/>
              </w:rPr>
            </w:pPr>
            <w:r>
              <w:rPr>
                <w:bCs/>
                <w:color w:val="auto"/>
                <w:sz w:val="24"/>
                <w:szCs w:val="32"/>
              </w:rPr>
              <w:t>根据危险物质可能的影响途径，确定项目环境敏感目标主要为评价范围内的居住区、医疗卫生、文化教育、科研、行政办公等人口集中区，</w:t>
            </w:r>
            <w:r>
              <w:rPr>
                <w:rFonts w:hint="eastAsia"/>
                <w:bCs/>
                <w:color w:val="auto"/>
                <w:sz w:val="24"/>
                <w:szCs w:val="32"/>
              </w:rPr>
              <w:t>本项目环境敏感目标为项目区东</w:t>
            </w:r>
            <w:r>
              <w:rPr>
                <w:rFonts w:hint="eastAsia"/>
                <w:bCs/>
                <w:color w:val="auto"/>
                <w:sz w:val="24"/>
                <w:szCs w:val="32"/>
                <w:lang w:val="en-US" w:eastAsia="zh-CN"/>
              </w:rPr>
              <w:t>北</w:t>
            </w:r>
            <w:r>
              <w:rPr>
                <w:rFonts w:hint="eastAsia"/>
                <w:bCs/>
                <w:color w:val="auto"/>
                <w:sz w:val="24"/>
                <w:szCs w:val="32"/>
              </w:rPr>
              <w:t>侧约</w:t>
            </w:r>
            <w:r>
              <w:rPr>
                <w:rFonts w:hint="eastAsia"/>
                <w:bCs/>
                <w:color w:val="auto"/>
                <w:sz w:val="24"/>
                <w:szCs w:val="32"/>
                <w:lang w:val="en-US" w:eastAsia="zh-CN"/>
              </w:rPr>
              <w:t>480</w:t>
            </w:r>
            <w:r>
              <w:rPr>
                <w:rFonts w:hint="eastAsia"/>
                <w:bCs/>
                <w:color w:val="auto"/>
                <w:sz w:val="24"/>
                <w:szCs w:val="32"/>
              </w:rPr>
              <w:t>m处的131团10连居民点。</w:t>
            </w:r>
            <w:r>
              <w:rPr>
                <w:bCs/>
                <w:color w:val="auto"/>
                <w:sz w:val="24"/>
                <w:szCs w:val="32"/>
              </w:rPr>
              <w:t>项目事故情况下可能影响</w:t>
            </w:r>
            <w:r>
              <w:rPr>
                <w:rFonts w:hint="eastAsia"/>
                <w:bCs/>
                <w:color w:val="auto"/>
                <w:sz w:val="24"/>
                <w:szCs w:val="32"/>
              </w:rPr>
              <w:t>周围</w:t>
            </w:r>
            <w:r>
              <w:rPr>
                <w:bCs/>
                <w:color w:val="auto"/>
                <w:sz w:val="24"/>
                <w:szCs w:val="32"/>
              </w:rPr>
              <w:t>的</w:t>
            </w:r>
            <w:r>
              <w:rPr>
                <w:rFonts w:hint="eastAsia"/>
                <w:bCs/>
                <w:color w:val="auto"/>
                <w:sz w:val="24"/>
                <w:szCs w:val="32"/>
              </w:rPr>
              <w:t>大气、</w:t>
            </w:r>
            <w:r>
              <w:rPr>
                <w:bCs/>
                <w:color w:val="auto"/>
                <w:sz w:val="24"/>
                <w:szCs w:val="32"/>
              </w:rPr>
              <w:t>地下水及土壤。</w:t>
            </w:r>
          </w:p>
          <w:p>
            <w:pPr>
              <w:adjustRightInd w:val="0"/>
              <w:snapToGrid w:val="0"/>
              <w:spacing w:line="520" w:lineRule="exact"/>
              <w:ind w:firstLine="482" w:firstLineChars="200"/>
              <w:rPr>
                <w:b/>
                <w:color w:val="auto"/>
                <w:sz w:val="24"/>
                <w:szCs w:val="32"/>
              </w:rPr>
            </w:pPr>
            <w:r>
              <w:rPr>
                <w:rFonts w:hint="eastAsia"/>
                <w:b/>
                <w:color w:val="auto"/>
                <w:sz w:val="24"/>
                <w:szCs w:val="32"/>
              </w:rPr>
              <w:t>6.3</w:t>
            </w:r>
            <w:r>
              <w:rPr>
                <w:b/>
                <w:color w:val="auto"/>
                <w:sz w:val="24"/>
                <w:szCs w:val="32"/>
              </w:rPr>
              <w:t>风险识别</w:t>
            </w:r>
          </w:p>
          <w:p>
            <w:pPr>
              <w:adjustRightInd w:val="0"/>
              <w:snapToGrid w:val="0"/>
              <w:spacing w:line="520" w:lineRule="exact"/>
              <w:ind w:firstLine="480" w:firstLineChars="200"/>
              <w:rPr>
                <w:bCs/>
                <w:color w:val="auto"/>
                <w:sz w:val="24"/>
                <w:szCs w:val="32"/>
              </w:rPr>
            </w:pPr>
            <w:r>
              <w:rPr>
                <w:bCs/>
                <w:color w:val="auto"/>
                <w:sz w:val="24"/>
                <w:szCs w:val="32"/>
              </w:rPr>
              <w:t>①风险物质识别</w:t>
            </w:r>
          </w:p>
          <w:p>
            <w:pPr>
              <w:adjustRightInd w:val="0"/>
              <w:snapToGrid w:val="0"/>
              <w:spacing w:line="520" w:lineRule="exact"/>
              <w:ind w:firstLine="480" w:firstLineChars="200"/>
              <w:rPr>
                <w:bCs/>
                <w:color w:val="auto"/>
                <w:sz w:val="24"/>
                <w:szCs w:val="32"/>
              </w:rPr>
            </w:pPr>
            <w:r>
              <w:rPr>
                <w:bCs/>
                <w:color w:val="auto"/>
                <w:sz w:val="24"/>
                <w:szCs w:val="32"/>
              </w:rPr>
              <w:t>项目使用的原辅材料主要为</w:t>
            </w:r>
            <w:r>
              <w:rPr>
                <w:rFonts w:hint="eastAsia"/>
                <w:bCs/>
                <w:color w:val="auto"/>
                <w:sz w:val="24"/>
                <w:szCs w:val="32"/>
              </w:rPr>
              <w:t>水洗砂</w:t>
            </w:r>
            <w:r>
              <w:rPr>
                <w:bCs/>
                <w:color w:val="auto"/>
                <w:sz w:val="24"/>
                <w:szCs w:val="32"/>
              </w:rPr>
              <w:t>、石子、水泥、粉煤灰和减水剂等，</w:t>
            </w:r>
            <w:r>
              <w:rPr>
                <w:rFonts w:hint="eastAsia"/>
                <w:bCs/>
                <w:color w:val="auto"/>
                <w:sz w:val="24"/>
                <w:szCs w:val="32"/>
                <w:lang w:val="en-US" w:eastAsia="zh-CN"/>
              </w:rPr>
              <w:t>项目生产设备维修过程会产生废润滑油，依据</w:t>
            </w:r>
            <w:r>
              <w:rPr>
                <w:bCs/>
                <w:color w:val="auto"/>
                <w:sz w:val="24"/>
                <w:szCs w:val="32"/>
              </w:rPr>
              <w:t>《建设项目环境风险评价技术导则》（HJ169-2018）</w:t>
            </w:r>
            <w:r>
              <w:rPr>
                <w:rFonts w:hint="eastAsia"/>
                <w:bCs/>
                <w:color w:val="auto"/>
                <w:sz w:val="24"/>
                <w:szCs w:val="32"/>
                <w:lang w:eastAsia="zh-CN"/>
              </w:rPr>
              <w:t>，</w:t>
            </w:r>
            <w:r>
              <w:rPr>
                <w:rFonts w:hint="eastAsia"/>
                <w:bCs/>
                <w:color w:val="auto"/>
                <w:sz w:val="24"/>
                <w:szCs w:val="32"/>
                <w:lang w:val="en-US" w:eastAsia="zh-CN"/>
              </w:rPr>
              <w:t>本项目主要涉及的风险物质为废润滑油</w:t>
            </w:r>
            <w:r>
              <w:rPr>
                <w:bCs/>
                <w:color w:val="auto"/>
                <w:sz w:val="24"/>
                <w:szCs w:val="32"/>
              </w:rPr>
              <w:t>。</w:t>
            </w:r>
          </w:p>
          <w:p>
            <w:pPr>
              <w:adjustRightInd w:val="0"/>
              <w:snapToGrid w:val="0"/>
              <w:spacing w:line="520" w:lineRule="exact"/>
              <w:ind w:firstLine="480" w:firstLineChars="200"/>
              <w:rPr>
                <w:bCs/>
                <w:color w:val="auto"/>
                <w:sz w:val="24"/>
                <w:szCs w:val="32"/>
              </w:rPr>
            </w:pPr>
            <w:r>
              <w:rPr>
                <w:bCs/>
                <w:color w:val="auto"/>
                <w:sz w:val="24"/>
                <w:szCs w:val="32"/>
              </w:rPr>
              <w:t>②生产设施风险识别</w:t>
            </w:r>
          </w:p>
          <w:p>
            <w:pPr>
              <w:adjustRightInd w:val="0"/>
              <w:snapToGrid w:val="0"/>
              <w:spacing w:line="520" w:lineRule="exact"/>
              <w:ind w:firstLine="480" w:firstLineChars="200"/>
              <w:rPr>
                <w:bCs/>
                <w:color w:val="auto"/>
                <w:sz w:val="24"/>
                <w:szCs w:val="32"/>
              </w:rPr>
            </w:pPr>
            <w:r>
              <w:rPr>
                <w:bCs/>
                <w:color w:val="auto"/>
                <w:sz w:val="24"/>
                <w:szCs w:val="32"/>
              </w:rPr>
              <w:t>本项目生产设施可能发生的风险事故有：</w:t>
            </w:r>
          </w:p>
          <w:p>
            <w:pPr>
              <w:adjustRightInd w:val="0"/>
              <w:snapToGrid w:val="0"/>
              <w:spacing w:line="520" w:lineRule="exact"/>
              <w:ind w:firstLine="480" w:firstLineChars="200"/>
              <w:rPr>
                <w:bCs/>
                <w:color w:val="auto"/>
                <w:sz w:val="24"/>
                <w:szCs w:val="32"/>
              </w:rPr>
            </w:pPr>
            <w:r>
              <w:rPr>
                <w:bCs/>
                <w:color w:val="auto"/>
                <w:sz w:val="24"/>
                <w:szCs w:val="32"/>
              </w:rPr>
              <w:t>A生产、贮存设备可能因控制系统出现故障或操作与判断失误，导致物料外泄；</w:t>
            </w:r>
          </w:p>
          <w:p>
            <w:pPr>
              <w:adjustRightInd w:val="0"/>
              <w:snapToGrid w:val="0"/>
              <w:spacing w:line="520" w:lineRule="exact"/>
              <w:ind w:firstLine="480" w:firstLineChars="200"/>
              <w:rPr>
                <w:bCs/>
                <w:color w:val="auto"/>
                <w:sz w:val="24"/>
                <w:szCs w:val="32"/>
              </w:rPr>
            </w:pPr>
            <w:r>
              <w:rPr>
                <w:bCs/>
                <w:color w:val="auto"/>
                <w:sz w:val="24"/>
                <w:szCs w:val="32"/>
              </w:rPr>
              <w:t>B废气处理设施（如袋式除尘器）故障导致废气不经处理直接排放，污染物排放出现超标现象；</w:t>
            </w:r>
          </w:p>
          <w:p>
            <w:pPr>
              <w:adjustRightInd w:val="0"/>
              <w:snapToGrid w:val="0"/>
              <w:spacing w:line="520" w:lineRule="exact"/>
              <w:ind w:firstLine="480" w:firstLineChars="200"/>
              <w:rPr>
                <w:bCs/>
                <w:color w:val="auto"/>
                <w:sz w:val="24"/>
                <w:szCs w:val="32"/>
              </w:rPr>
            </w:pPr>
            <w:r>
              <w:rPr>
                <w:bCs/>
                <w:color w:val="auto"/>
                <w:sz w:val="24"/>
                <w:szCs w:val="32"/>
              </w:rPr>
              <w:t>C散装水泥卸料时压力过大导致罐体爆炸</w:t>
            </w:r>
            <w:r>
              <w:rPr>
                <w:rFonts w:hint="eastAsia"/>
                <w:bCs/>
                <w:color w:val="auto"/>
                <w:sz w:val="24"/>
                <w:szCs w:val="32"/>
              </w:rPr>
              <w:t>；</w:t>
            </w:r>
          </w:p>
          <w:p>
            <w:pPr>
              <w:adjustRightInd w:val="0"/>
              <w:snapToGrid w:val="0"/>
              <w:spacing w:line="520" w:lineRule="exact"/>
              <w:ind w:firstLine="480" w:firstLineChars="200"/>
              <w:rPr>
                <w:bCs/>
                <w:color w:val="auto"/>
                <w:sz w:val="24"/>
                <w:szCs w:val="32"/>
              </w:rPr>
            </w:pPr>
            <w:r>
              <w:rPr>
                <w:rFonts w:hint="eastAsia"/>
                <w:bCs/>
                <w:color w:val="auto"/>
                <w:sz w:val="24"/>
                <w:szCs w:val="32"/>
              </w:rPr>
              <w:t>D危险废物（废润滑油）泄露污染地下水及土壤。</w:t>
            </w:r>
          </w:p>
          <w:p>
            <w:pPr>
              <w:adjustRightInd w:val="0"/>
              <w:snapToGrid w:val="0"/>
              <w:spacing w:line="520" w:lineRule="exact"/>
              <w:ind w:firstLine="482" w:firstLineChars="200"/>
              <w:rPr>
                <w:b/>
                <w:color w:val="auto"/>
                <w:sz w:val="24"/>
                <w:szCs w:val="32"/>
              </w:rPr>
            </w:pPr>
            <w:r>
              <w:rPr>
                <w:rFonts w:hint="eastAsia"/>
                <w:b/>
                <w:color w:val="auto"/>
                <w:sz w:val="24"/>
                <w:szCs w:val="32"/>
              </w:rPr>
              <w:t>6.4</w:t>
            </w:r>
            <w:r>
              <w:rPr>
                <w:b/>
                <w:color w:val="auto"/>
                <w:sz w:val="24"/>
                <w:szCs w:val="32"/>
              </w:rPr>
              <w:t>环境风险分析</w:t>
            </w:r>
          </w:p>
          <w:p>
            <w:pPr>
              <w:adjustRightInd w:val="0"/>
              <w:snapToGrid w:val="0"/>
              <w:spacing w:line="520" w:lineRule="exact"/>
              <w:ind w:firstLine="480" w:firstLineChars="200"/>
              <w:rPr>
                <w:bCs/>
                <w:color w:val="auto"/>
                <w:sz w:val="24"/>
                <w:szCs w:val="32"/>
              </w:rPr>
            </w:pPr>
            <w:r>
              <w:rPr>
                <w:bCs/>
                <w:color w:val="auto"/>
                <w:sz w:val="24"/>
                <w:szCs w:val="32"/>
              </w:rPr>
              <w:t>①</w:t>
            </w:r>
            <w:r>
              <w:rPr>
                <w:rFonts w:hint="eastAsia"/>
                <w:bCs/>
                <w:color w:val="auto"/>
                <w:sz w:val="24"/>
                <w:szCs w:val="32"/>
                <w:lang w:val="en-US" w:eastAsia="zh-CN"/>
              </w:rPr>
              <w:t>废润滑油</w:t>
            </w:r>
            <w:r>
              <w:rPr>
                <w:bCs/>
                <w:color w:val="auto"/>
                <w:sz w:val="24"/>
                <w:szCs w:val="32"/>
              </w:rPr>
              <w:t>外泄会导致附近</w:t>
            </w:r>
            <w:r>
              <w:rPr>
                <w:rFonts w:hint="eastAsia"/>
                <w:bCs/>
                <w:color w:val="auto"/>
                <w:sz w:val="24"/>
                <w:szCs w:val="32"/>
              </w:rPr>
              <w:t>土壤</w:t>
            </w:r>
            <w:r>
              <w:rPr>
                <w:bCs/>
                <w:color w:val="auto"/>
                <w:sz w:val="24"/>
                <w:szCs w:val="32"/>
              </w:rPr>
              <w:t>和地下水污染；</w:t>
            </w:r>
          </w:p>
          <w:p>
            <w:pPr>
              <w:adjustRightInd w:val="0"/>
              <w:snapToGrid w:val="0"/>
              <w:spacing w:line="520" w:lineRule="exact"/>
              <w:ind w:firstLine="480" w:firstLineChars="200"/>
              <w:rPr>
                <w:bCs/>
                <w:color w:val="auto"/>
                <w:sz w:val="24"/>
                <w:szCs w:val="32"/>
              </w:rPr>
            </w:pPr>
            <w:r>
              <w:rPr>
                <w:bCs/>
                <w:color w:val="auto"/>
                <w:sz w:val="24"/>
                <w:szCs w:val="32"/>
              </w:rPr>
              <w:t>②废气处理设施故障会导致粉尘超标排放，对项目周围及环境敏感目标处的大气环境造成不良影响，周围群众吸入过量粉尘会对身体健康造成不良影响；</w:t>
            </w:r>
          </w:p>
          <w:p>
            <w:pPr>
              <w:adjustRightInd w:val="0"/>
              <w:snapToGrid w:val="0"/>
              <w:spacing w:line="520" w:lineRule="exact"/>
              <w:ind w:firstLine="480" w:firstLineChars="200"/>
              <w:rPr>
                <w:bCs/>
                <w:color w:val="auto"/>
                <w:sz w:val="24"/>
                <w:szCs w:val="32"/>
              </w:rPr>
            </w:pPr>
            <w:r>
              <w:rPr>
                <w:bCs/>
                <w:color w:val="auto"/>
                <w:sz w:val="24"/>
                <w:szCs w:val="32"/>
              </w:rPr>
              <w:t>③水泥罐爆炸会公共安全和生命财产造成巨大损失，也会对周围大气环境造成巨大不良影响。</w:t>
            </w:r>
          </w:p>
          <w:p>
            <w:pPr>
              <w:adjustRightInd w:val="0"/>
              <w:snapToGrid w:val="0"/>
              <w:spacing w:line="520" w:lineRule="exact"/>
              <w:ind w:firstLine="482" w:firstLineChars="200"/>
              <w:rPr>
                <w:b/>
                <w:color w:val="auto"/>
                <w:sz w:val="24"/>
                <w:szCs w:val="32"/>
              </w:rPr>
            </w:pPr>
            <w:r>
              <w:rPr>
                <w:rFonts w:hint="eastAsia"/>
                <w:b/>
                <w:color w:val="auto"/>
                <w:sz w:val="24"/>
                <w:szCs w:val="32"/>
              </w:rPr>
              <w:t>6.5</w:t>
            </w:r>
            <w:r>
              <w:rPr>
                <w:b/>
                <w:color w:val="auto"/>
                <w:sz w:val="24"/>
                <w:szCs w:val="32"/>
              </w:rPr>
              <w:t>风险防范措施</w:t>
            </w:r>
            <w:r>
              <w:rPr>
                <w:rFonts w:hint="eastAsia"/>
                <w:b/>
                <w:color w:val="auto"/>
                <w:sz w:val="24"/>
                <w:szCs w:val="32"/>
              </w:rPr>
              <w:t>及应急要求</w:t>
            </w:r>
          </w:p>
          <w:p>
            <w:pPr>
              <w:adjustRightInd w:val="0"/>
              <w:snapToGrid w:val="0"/>
              <w:spacing w:line="520" w:lineRule="exact"/>
              <w:ind w:firstLine="480" w:firstLineChars="200"/>
              <w:rPr>
                <w:bCs/>
                <w:color w:val="auto"/>
                <w:sz w:val="24"/>
                <w:szCs w:val="32"/>
              </w:rPr>
            </w:pPr>
            <w:r>
              <w:rPr>
                <w:bCs/>
                <w:color w:val="auto"/>
                <w:sz w:val="24"/>
                <w:szCs w:val="32"/>
              </w:rPr>
              <w:t>根据有毒有害物料的理化性质、毒理学特征，环境风险因素分析，以及该项目产品的运输、储存方式，充分考虑工程所处的地理位置、区域自然环境和社会概况，对环境风险采取以下防范对策与措施：</w:t>
            </w:r>
          </w:p>
          <w:p>
            <w:pPr>
              <w:adjustRightInd w:val="0"/>
              <w:snapToGrid w:val="0"/>
              <w:spacing w:line="520" w:lineRule="exact"/>
              <w:ind w:firstLine="480" w:firstLineChars="200"/>
              <w:rPr>
                <w:bCs/>
                <w:color w:val="auto"/>
                <w:sz w:val="24"/>
                <w:szCs w:val="32"/>
              </w:rPr>
            </w:pPr>
            <w:r>
              <w:rPr>
                <w:bCs/>
                <w:color w:val="auto"/>
                <w:sz w:val="24"/>
                <w:szCs w:val="32"/>
              </w:rPr>
              <w:t>①操作人员定期培训，严格按照工作流程进行操作。检修人员定期检修生产设备和贮存设备，防微杜渐。</w:t>
            </w:r>
          </w:p>
          <w:p>
            <w:pPr>
              <w:adjustRightInd w:val="0"/>
              <w:snapToGrid w:val="0"/>
              <w:spacing w:line="520" w:lineRule="exact"/>
              <w:ind w:firstLine="480" w:firstLineChars="200"/>
              <w:rPr>
                <w:bCs/>
                <w:color w:val="auto"/>
                <w:sz w:val="24"/>
                <w:szCs w:val="32"/>
              </w:rPr>
            </w:pPr>
            <w:r>
              <w:rPr>
                <w:bCs/>
                <w:color w:val="auto"/>
                <w:sz w:val="24"/>
                <w:szCs w:val="32"/>
              </w:rPr>
              <w:t>②废气处理设施定期检修和维护，如发生故障，立即停止生产，维修好后方可生产，保证产生的粉尘都能经过处理。</w:t>
            </w:r>
          </w:p>
          <w:p>
            <w:pPr>
              <w:adjustRightInd w:val="0"/>
              <w:snapToGrid w:val="0"/>
              <w:spacing w:line="520" w:lineRule="exact"/>
              <w:ind w:firstLine="480" w:firstLineChars="200"/>
              <w:rPr>
                <w:bCs/>
                <w:color w:val="auto"/>
                <w:sz w:val="24"/>
                <w:szCs w:val="32"/>
              </w:rPr>
            </w:pPr>
            <w:r>
              <w:rPr>
                <w:bCs/>
                <w:color w:val="auto"/>
                <w:sz w:val="24"/>
                <w:szCs w:val="32"/>
              </w:rPr>
              <w:t>③水泥罐进料时将罐内压力控制在合理范围内，防止压力过大造成爆炸；罐体压力表、安全阀、放气阀等按时检查，发现损坏及时更换；罐体定期检查，发现损伤立即保修或更换。</w:t>
            </w:r>
          </w:p>
          <w:p>
            <w:pPr>
              <w:pStyle w:val="69"/>
              <w:rPr>
                <w:color w:val="auto"/>
              </w:rPr>
            </w:pPr>
            <w:r>
              <w:rPr>
                <w:rFonts w:hint="eastAsia" w:ascii="宋体" w:hAnsi="宋体"/>
                <w:color w:val="auto"/>
              </w:rPr>
              <w:t>④危废暂存间</w:t>
            </w:r>
            <w:r>
              <w:rPr>
                <w:rFonts w:hint="eastAsia"/>
                <w:color w:val="auto"/>
              </w:rPr>
              <w:t>按照《危险废物贮存污染控制标准》（</w:t>
            </w:r>
            <w:r>
              <w:rPr>
                <w:color w:val="auto"/>
              </w:rPr>
              <w:t>GB18597-20</w:t>
            </w:r>
            <w:r>
              <w:rPr>
                <w:rFonts w:hint="eastAsia"/>
                <w:color w:val="auto"/>
              </w:rPr>
              <w:t>23）的相关要求建设，地面采取基础防渗，</w:t>
            </w:r>
            <w:r>
              <w:rPr>
                <w:rStyle w:val="114"/>
                <w:color w:val="auto"/>
                <w:sz w:val="24"/>
                <w:szCs w:val="24"/>
              </w:rPr>
              <w:t>防渗层为至少1m厚黏土层（渗透系数不大于10</w:t>
            </w:r>
            <w:r>
              <w:rPr>
                <w:rStyle w:val="114"/>
                <w:color w:val="auto"/>
                <w:sz w:val="24"/>
                <w:szCs w:val="24"/>
                <w:vertAlign w:val="superscript"/>
              </w:rPr>
              <w:t>-7</w:t>
            </w:r>
            <w:r>
              <w:rPr>
                <w:rStyle w:val="114"/>
                <w:color w:val="auto"/>
                <w:sz w:val="24"/>
                <w:szCs w:val="24"/>
              </w:rPr>
              <w:t>cm/s），或至少2mm厚高密度聚乙烯膜等人工防渗材料（渗透系数不大于10</w:t>
            </w:r>
            <w:r>
              <w:rPr>
                <w:rStyle w:val="114"/>
                <w:color w:val="auto"/>
                <w:sz w:val="24"/>
                <w:szCs w:val="24"/>
                <w:vertAlign w:val="superscript"/>
              </w:rPr>
              <w:t>-10</w:t>
            </w:r>
            <w:r>
              <w:rPr>
                <w:rStyle w:val="114"/>
                <w:color w:val="auto"/>
                <w:sz w:val="24"/>
                <w:szCs w:val="24"/>
              </w:rPr>
              <w:t>cm/s），或其他防渗性能等效的材料</w:t>
            </w:r>
            <w:r>
              <w:rPr>
                <w:rStyle w:val="114"/>
                <w:rFonts w:hint="eastAsia"/>
                <w:color w:val="auto"/>
                <w:sz w:val="24"/>
                <w:szCs w:val="24"/>
              </w:rPr>
              <w:t>，</w:t>
            </w:r>
            <w:r>
              <w:rPr>
                <w:rFonts w:hint="eastAsia"/>
                <w:color w:val="auto"/>
              </w:rPr>
              <w:t>四周壁及裙角铺设土工膜，再用水泥硬化，并与地面防渗层连成整体，并在周边设置围堰，在围堰内涂环氧树脂防渗，渗透系数</w:t>
            </w:r>
            <w:r>
              <w:rPr>
                <w:color w:val="auto"/>
              </w:rPr>
              <w:t>≤1.0×10</w:t>
            </w:r>
            <w:r>
              <w:rPr>
                <w:rFonts w:hint="eastAsia"/>
                <w:color w:val="auto"/>
                <w:vertAlign w:val="superscript"/>
              </w:rPr>
              <w:t>-</w:t>
            </w:r>
            <w:r>
              <w:rPr>
                <w:color w:val="auto"/>
                <w:vertAlign w:val="superscript"/>
              </w:rPr>
              <w:t>10</w:t>
            </w:r>
            <w:r>
              <w:rPr>
                <w:color w:val="auto"/>
              </w:rPr>
              <w:t>cm/s</w:t>
            </w:r>
            <w:r>
              <w:rPr>
                <w:rFonts w:hint="eastAsia"/>
                <w:color w:val="auto"/>
              </w:rPr>
              <w:t>。</w:t>
            </w:r>
          </w:p>
          <w:p>
            <w:pPr>
              <w:adjustRightInd w:val="0"/>
              <w:snapToGrid w:val="0"/>
              <w:spacing w:line="520" w:lineRule="exact"/>
              <w:ind w:firstLine="480" w:firstLineChars="200"/>
              <w:rPr>
                <w:bCs/>
                <w:color w:val="auto"/>
                <w:sz w:val="24"/>
                <w:szCs w:val="32"/>
              </w:rPr>
            </w:pPr>
            <w:r>
              <w:rPr>
                <w:bCs/>
                <w:color w:val="auto"/>
                <w:sz w:val="24"/>
                <w:szCs w:val="32"/>
              </w:rPr>
              <w:t>风险应急</w:t>
            </w:r>
            <w:r>
              <w:rPr>
                <w:rFonts w:hint="eastAsia"/>
                <w:bCs/>
                <w:color w:val="auto"/>
                <w:sz w:val="24"/>
                <w:szCs w:val="32"/>
              </w:rPr>
              <w:t>：</w:t>
            </w:r>
          </w:p>
          <w:p>
            <w:pPr>
              <w:adjustRightInd w:val="0"/>
              <w:snapToGrid w:val="0"/>
              <w:spacing w:line="520" w:lineRule="exact"/>
              <w:ind w:firstLine="480" w:firstLineChars="200"/>
              <w:rPr>
                <w:bCs/>
                <w:color w:val="auto"/>
                <w:sz w:val="24"/>
                <w:szCs w:val="32"/>
              </w:rPr>
            </w:pPr>
            <w:r>
              <w:rPr>
                <w:bCs/>
                <w:color w:val="auto"/>
                <w:sz w:val="24"/>
                <w:szCs w:val="32"/>
              </w:rPr>
              <w:t>①厂区设置围堰，如混凝土发生泄漏，可将污染范围控制在厂区内。</w:t>
            </w:r>
          </w:p>
          <w:p>
            <w:pPr>
              <w:adjustRightInd w:val="0"/>
              <w:snapToGrid w:val="0"/>
              <w:spacing w:line="520" w:lineRule="exact"/>
              <w:ind w:firstLine="480" w:firstLineChars="200"/>
              <w:rPr>
                <w:bCs/>
                <w:color w:val="auto"/>
                <w:sz w:val="24"/>
                <w:szCs w:val="32"/>
              </w:rPr>
            </w:pPr>
            <w:r>
              <w:rPr>
                <w:bCs/>
                <w:color w:val="auto"/>
                <w:sz w:val="24"/>
                <w:szCs w:val="32"/>
              </w:rPr>
              <w:t>②废气处理设施发生故障时，立即停产检修，保证生产设施和环保设施同时运行，废气得到有效处理。</w:t>
            </w:r>
          </w:p>
          <w:p>
            <w:pPr>
              <w:adjustRightInd w:val="0"/>
              <w:snapToGrid w:val="0"/>
              <w:spacing w:line="520" w:lineRule="exact"/>
              <w:ind w:firstLine="480" w:firstLineChars="200"/>
              <w:rPr>
                <w:bCs/>
                <w:color w:val="auto"/>
                <w:sz w:val="24"/>
                <w:szCs w:val="32"/>
              </w:rPr>
            </w:pPr>
            <w:r>
              <w:rPr>
                <w:bCs/>
                <w:color w:val="auto"/>
                <w:sz w:val="24"/>
                <w:szCs w:val="32"/>
              </w:rPr>
              <w:t>③水泥罐发生爆炸时，立即疏散周围人员，启动风险应急预案。</w:t>
            </w:r>
          </w:p>
          <w:p>
            <w:pPr>
              <w:adjustRightInd w:val="0"/>
              <w:snapToGrid w:val="0"/>
              <w:spacing w:line="520" w:lineRule="exact"/>
              <w:ind w:firstLine="482" w:firstLineChars="200"/>
              <w:rPr>
                <w:b/>
                <w:color w:val="auto"/>
                <w:sz w:val="24"/>
                <w:szCs w:val="32"/>
              </w:rPr>
            </w:pPr>
            <w:r>
              <w:rPr>
                <w:rFonts w:hint="eastAsia"/>
                <w:b/>
                <w:color w:val="auto"/>
                <w:sz w:val="24"/>
                <w:szCs w:val="32"/>
              </w:rPr>
              <w:t>6.6分析结论</w:t>
            </w:r>
          </w:p>
          <w:p>
            <w:pPr>
              <w:adjustRightInd w:val="0"/>
              <w:snapToGrid w:val="0"/>
              <w:spacing w:line="520" w:lineRule="exact"/>
              <w:ind w:firstLine="480" w:firstLineChars="200"/>
              <w:rPr>
                <w:bCs/>
                <w:color w:val="auto"/>
                <w:sz w:val="24"/>
                <w:szCs w:val="32"/>
              </w:rPr>
            </w:pPr>
            <w:r>
              <w:rPr>
                <w:bCs/>
                <w:color w:val="auto"/>
                <w:sz w:val="24"/>
                <w:szCs w:val="32"/>
              </w:rPr>
              <w:t>本项目在采取必要的安全对策措施、安全设施完善设计和施工、危险因素能够得到有效控制、降低事故发生的可能性和满足安全运行要求的基础上，可以将环境风险降至可接受的水平。</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4-</w:t>
            </w:r>
            <w:r>
              <w:rPr>
                <w:rFonts w:hint="eastAsia" w:cs="Times New Roman"/>
                <w:b/>
                <w:color w:val="auto"/>
                <w:szCs w:val="21"/>
                <w:lang w:val="en-US" w:eastAsia="zh-CN"/>
              </w:rPr>
              <w:t>20</w:t>
            </w:r>
            <w:r>
              <w:rPr>
                <w:rFonts w:hint="eastAsia" w:ascii="Times New Roman" w:hAnsi="Times New Roman" w:eastAsia="宋体" w:cs="Times New Roman"/>
                <w:b/>
                <w:color w:val="auto"/>
                <w:szCs w:val="21"/>
              </w:rPr>
              <w:t xml:space="preserve">  </w:t>
            </w:r>
            <w:r>
              <w:rPr>
                <w:rFonts w:ascii="Times New Roman" w:hAnsi="Times New Roman" w:eastAsia="宋体" w:cs="Times New Roman"/>
                <w:b/>
                <w:color w:val="auto"/>
                <w:szCs w:val="21"/>
              </w:rPr>
              <w:t>建设项目环境风险简单分析内容表</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250"/>
              <w:gridCol w:w="1731"/>
              <w:gridCol w:w="1169"/>
              <w:gridCol w:w="19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pct"/>
                  <w:tcBorders>
                    <w:tl2br w:val="nil"/>
                    <w:tr2bl w:val="nil"/>
                  </w:tcBorders>
                  <w:vAlign w:val="center"/>
                </w:tcPr>
                <w:p>
                  <w:pPr>
                    <w:pStyle w:val="37"/>
                    <w:rPr>
                      <w:color w:val="auto"/>
                    </w:rPr>
                  </w:pPr>
                  <w:r>
                    <w:rPr>
                      <w:color w:val="auto"/>
                    </w:rPr>
                    <w:t>建设项目名称</w:t>
                  </w:r>
                </w:p>
              </w:tc>
              <w:tc>
                <w:tcPr>
                  <w:tcW w:w="3728" w:type="pct"/>
                  <w:gridSpan w:val="4"/>
                  <w:tcBorders>
                    <w:tl2br w:val="nil"/>
                    <w:tr2bl w:val="nil"/>
                  </w:tcBorders>
                  <w:vAlign w:val="center"/>
                </w:tcPr>
                <w:p>
                  <w:pPr>
                    <w:pStyle w:val="37"/>
                    <w:rPr>
                      <w:color w:val="auto"/>
                    </w:rPr>
                  </w:pPr>
                  <w:r>
                    <w:rPr>
                      <w:rFonts w:hint="eastAsia"/>
                      <w:color w:val="auto"/>
                    </w:rPr>
                    <w:t>131团奎屯广合商品混凝土有限责任公司HZS-120商品混凝土搅拌站及混凝土预制构件生产线建设项目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pct"/>
                  <w:tcBorders>
                    <w:tl2br w:val="nil"/>
                    <w:tr2bl w:val="nil"/>
                  </w:tcBorders>
                  <w:vAlign w:val="center"/>
                </w:tcPr>
                <w:p>
                  <w:pPr>
                    <w:pStyle w:val="37"/>
                    <w:rPr>
                      <w:color w:val="auto"/>
                    </w:rPr>
                  </w:pPr>
                  <w:r>
                    <w:rPr>
                      <w:color w:val="auto"/>
                    </w:rPr>
                    <w:t>建设地点</w:t>
                  </w:r>
                </w:p>
              </w:tc>
              <w:tc>
                <w:tcPr>
                  <w:tcW w:w="3728" w:type="pct"/>
                  <w:gridSpan w:val="4"/>
                  <w:tcBorders>
                    <w:tl2br w:val="nil"/>
                    <w:tr2bl w:val="nil"/>
                  </w:tcBorders>
                  <w:vAlign w:val="center"/>
                </w:tcPr>
                <w:p>
                  <w:pPr>
                    <w:pStyle w:val="37"/>
                    <w:rPr>
                      <w:rFonts w:hint="default" w:eastAsia="宋体"/>
                      <w:color w:val="auto"/>
                      <w:lang w:val="en-US" w:eastAsia="zh-CN"/>
                    </w:rPr>
                  </w:pPr>
                  <w:r>
                    <w:rPr>
                      <w:rFonts w:hint="eastAsia"/>
                      <w:color w:val="auto"/>
                    </w:rPr>
                    <w:t>新疆生产建设兵团第七师131团10连</w:t>
                  </w:r>
                  <w:r>
                    <w:rPr>
                      <w:rFonts w:hint="eastAsia"/>
                      <w:color w:val="auto"/>
                      <w:lang w:val="en-US" w:eastAsia="zh-CN"/>
                    </w:rPr>
                    <w:t>011号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pct"/>
                  <w:tcBorders>
                    <w:tl2br w:val="nil"/>
                    <w:tr2bl w:val="nil"/>
                  </w:tcBorders>
                  <w:vAlign w:val="center"/>
                </w:tcPr>
                <w:p>
                  <w:pPr>
                    <w:pStyle w:val="37"/>
                    <w:rPr>
                      <w:color w:val="auto"/>
                    </w:rPr>
                  </w:pPr>
                  <w:r>
                    <w:rPr>
                      <w:color w:val="auto"/>
                    </w:rPr>
                    <w:t>地理坐标</w:t>
                  </w:r>
                </w:p>
              </w:tc>
              <w:tc>
                <w:tcPr>
                  <w:tcW w:w="758" w:type="pct"/>
                  <w:tcBorders>
                    <w:tl2br w:val="nil"/>
                    <w:tr2bl w:val="nil"/>
                  </w:tcBorders>
                  <w:vAlign w:val="center"/>
                </w:tcPr>
                <w:p>
                  <w:pPr>
                    <w:pStyle w:val="37"/>
                    <w:rPr>
                      <w:color w:val="auto"/>
                    </w:rPr>
                  </w:pPr>
                  <w:r>
                    <w:rPr>
                      <w:color w:val="auto"/>
                    </w:rPr>
                    <w:t>经度</w:t>
                  </w:r>
                </w:p>
              </w:tc>
              <w:tc>
                <w:tcPr>
                  <w:tcW w:w="1050" w:type="pct"/>
                  <w:tcBorders>
                    <w:tl2br w:val="nil"/>
                    <w:tr2bl w:val="nil"/>
                  </w:tcBorders>
                  <w:vAlign w:val="center"/>
                </w:tcPr>
                <w:p>
                  <w:pPr>
                    <w:pStyle w:val="38"/>
                    <w:rPr>
                      <w:color w:val="auto"/>
                    </w:rPr>
                  </w:pPr>
                  <w:r>
                    <w:rPr>
                      <w:color w:val="auto"/>
                    </w:rPr>
                    <w:t>E84°49′32.280″</w:t>
                  </w:r>
                </w:p>
              </w:tc>
              <w:tc>
                <w:tcPr>
                  <w:tcW w:w="709" w:type="pct"/>
                  <w:tcBorders>
                    <w:tl2br w:val="nil"/>
                    <w:tr2bl w:val="nil"/>
                  </w:tcBorders>
                  <w:vAlign w:val="center"/>
                </w:tcPr>
                <w:p>
                  <w:pPr>
                    <w:pStyle w:val="38"/>
                    <w:rPr>
                      <w:color w:val="auto"/>
                    </w:rPr>
                  </w:pPr>
                  <w:r>
                    <w:rPr>
                      <w:color w:val="auto"/>
                    </w:rPr>
                    <w:t>纬度</w:t>
                  </w:r>
                </w:p>
              </w:tc>
              <w:tc>
                <w:tcPr>
                  <w:tcW w:w="1209" w:type="pct"/>
                  <w:tcBorders>
                    <w:tl2br w:val="nil"/>
                    <w:tr2bl w:val="nil"/>
                  </w:tcBorders>
                  <w:vAlign w:val="center"/>
                </w:tcPr>
                <w:p>
                  <w:pPr>
                    <w:pStyle w:val="38"/>
                    <w:rPr>
                      <w:color w:val="auto"/>
                    </w:rPr>
                  </w:pPr>
                  <w:r>
                    <w:rPr>
                      <w:color w:val="auto"/>
                    </w:rPr>
                    <w:t>E 44°27′24.250″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pct"/>
                  <w:tcBorders>
                    <w:tl2br w:val="nil"/>
                    <w:tr2bl w:val="nil"/>
                  </w:tcBorders>
                  <w:vAlign w:val="center"/>
                </w:tcPr>
                <w:p>
                  <w:pPr>
                    <w:pStyle w:val="37"/>
                    <w:rPr>
                      <w:color w:val="auto"/>
                    </w:rPr>
                  </w:pPr>
                  <w:r>
                    <w:rPr>
                      <w:color w:val="auto"/>
                    </w:rPr>
                    <w:t>主要危险物质及分布</w:t>
                  </w:r>
                </w:p>
              </w:tc>
              <w:tc>
                <w:tcPr>
                  <w:tcW w:w="3728" w:type="pct"/>
                  <w:gridSpan w:val="4"/>
                  <w:tcBorders>
                    <w:tl2br w:val="nil"/>
                    <w:tr2bl w:val="nil"/>
                  </w:tcBorders>
                  <w:vAlign w:val="center"/>
                </w:tcPr>
                <w:p>
                  <w:pPr>
                    <w:pStyle w:val="37"/>
                    <w:rPr>
                      <w:color w:val="auto"/>
                    </w:rPr>
                  </w:pPr>
                  <w:r>
                    <w:rPr>
                      <w:color w:val="auto"/>
                    </w:rPr>
                    <w:t>营运期间</w:t>
                  </w:r>
                  <w:r>
                    <w:rPr>
                      <w:rFonts w:hint="eastAsia"/>
                      <w:color w:val="auto"/>
                    </w:rPr>
                    <w:t>主要危险物质分布危险废物暂存间中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pct"/>
                  <w:tcBorders>
                    <w:tl2br w:val="nil"/>
                    <w:tr2bl w:val="nil"/>
                  </w:tcBorders>
                  <w:vAlign w:val="center"/>
                </w:tcPr>
                <w:p>
                  <w:pPr>
                    <w:pStyle w:val="37"/>
                    <w:rPr>
                      <w:color w:val="auto"/>
                    </w:rPr>
                  </w:pPr>
                  <w:r>
                    <w:rPr>
                      <w:color w:val="auto"/>
                    </w:rPr>
                    <w:t>环境影响途径及危害后果（大气、地表水、地下水）</w:t>
                  </w:r>
                </w:p>
              </w:tc>
              <w:tc>
                <w:tcPr>
                  <w:tcW w:w="3728" w:type="pct"/>
                  <w:gridSpan w:val="4"/>
                  <w:tcBorders>
                    <w:tl2br w:val="nil"/>
                    <w:tr2bl w:val="nil"/>
                  </w:tcBorders>
                  <w:vAlign w:val="center"/>
                </w:tcPr>
                <w:p>
                  <w:pPr>
                    <w:pStyle w:val="37"/>
                    <w:jc w:val="left"/>
                    <w:rPr>
                      <w:color w:val="auto"/>
                    </w:rPr>
                  </w:pPr>
                  <w:r>
                    <w:rPr>
                      <w:color w:val="auto"/>
                    </w:rPr>
                    <w:t>①物料外泄会导致附近</w:t>
                  </w:r>
                  <w:r>
                    <w:rPr>
                      <w:rFonts w:hint="eastAsia"/>
                      <w:color w:val="auto"/>
                    </w:rPr>
                    <w:t>土壤</w:t>
                  </w:r>
                  <w:r>
                    <w:rPr>
                      <w:color w:val="auto"/>
                    </w:rPr>
                    <w:t>和地下水污染；</w:t>
                  </w:r>
                </w:p>
                <w:p>
                  <w:pPr>
                    <w:pStyle w:val="37"/>
                    <w:jc w:val="left"/>
                    <w:rPr>
                      <w:color w:val="auto"/>
                    </w:rPr>
                  </w:pPr>
                  <w:r>
                    <w:rPr>
                      <w:color w:val="auto"/>
                    </w:rPr>
                    <w:t>②废气处理设施故障会导致粉尘超标排放，对项目周围及环境敏感目标处的大气环境造成不良影响，周围群众吸入过量粉尘会对身体健康造成不良影响；</w:t>
                  </w:r>
                </w:p>
                <w:p>
                  <w:pPr>
                    <w:pStyle w:val="37"/>
                    <w:jc w:val="left"/>
                    <w:rPr>
                      <w:color w:val="auto"/>
                    </w:rPr>
                  </w:pPr>
                  <w:r>
                    <w:rPr>
                      <w:color w:val="auto"/>
                    </w:rPr>
                    <w:t>③水泥罐爆炸会公共安全和生命财产造成巨大损失，也会对周围大气环境造成巨大不良影响。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pct"/>
                  <w:tcBorders>
                    <w:tl2br w:val="nil"/>
                    <w:tr2bl w:val="nil"/>
                  </w:tcBorders>
                  <w:vAlign w:val="center"/>
                </w:tcPr>
                <w:p>
                  <w:pPr>
                    <w:pStyle w:val="37"/>
                    <w:rPr>
                      <w:color w:val="auto"/>
                    </w:rPr>
                  </w:pPr>
                  <w:r>
                    <w:rPr>
                      <w:color w:val="auto"/>
                    </w:rPr>
                    <w:t>风险防范措施要求</w:t>
                  </w:r>
                </w:p>
              </w:tc>
              <w:tc>
                <w:tcPr>
                  <w:tcW w:w="3728" w:type="pct"/>
                  <w:gridSpan w:val="4"/>
                  <w:tcBorders>
                    <w:tl2br w:val="nil"/>
                    <w:tr2bl w:val="nil"/>
                  </w:tcBorders>
                  <w:vAlign w:val="center"/>
                </w:tcPr>
                <w:p>
                  <w:pPr>
                    <w:pStyle w:val="37"/>
                    <w:jc w:val="left"/>
                    <w:rPr>
                      <w:color w:val="auto"/>
                    </w:rPr>
                  </w:pPr>
                  <w:r>
                    <w:rPr>
                      <w:color w:val="auto"/>
                    </w:rPr>
                    <w:t>①操作人员定期培训，严格按照工作流程进行操作。检修人员定期检修生产设备和贮存设备，防微杜渐。</w:t>
                  </w:r>
                </w:p>
                <w:p>
                  <w:pPr>
                    <w:pStyle w:val="37"/>
                    <w:jc w:val="left"/>
                    <w:rPr>
                      <w:color w:val="auto"/>
                    </w:rPr>
                  </w:pPr>
                  <w:r>
                    <w:rPr>
                      <w:color w:val="auto"/>
                    </w:rPr>
                    <w:t>②废气处理设施定期检修和维护，如发生故障，立即停止生产，维修好后方可生产，保证产生的粉尘都能经过处理。</w:t>
                  </w:r>
                </w:p>
                <w:p>
                  <w:pPr>
                    <w:pStyle w:val="37"/>
                    <w:jc w:val="left"/>
                    <w:rPr>
                      <w:color w:val="auto"/>
                    </w:rPr>
                  </w:pPr>
                  <w:r>
                    <w:rPr>
                      <w:color w:val="auto"/>
                    </w:rPr>
                    <w:t>③水泥罐进料时将罐内压力控制在合理范围内，防止压力过大造成爆炸；罐体压力表、安全阀、放气阀等按时检查，发现损坏及时更换；罐体定期检查，发现损伤立即保修或更换。</w:t>
                  </w:r>
                </w:p>
                <w:p>
                  <w:pPr>
                    <w:pStyle w:val="37"/>
                    <w:jc w:val="left"/>
                    <w:rPr>
                      <w:color w:val="auto"/>
                    </w:rPr>
                  </w:pPr>
                  <w:r>
                    <w:rPr>
                      <w:rFonts w:hint="eastAsia"/>
                      <w:color w:val="auto"/>
                    </w:rPr>
                    <w:t>④危废暂存间按照《危险废物贮存污染控制标准》（</w:t>
                  </w:r>
                  <w:r>
                    <w:rPr>
                      <w:color w:val="auto"/>
                    </w:rPr>
                    <w:t>GB18597-20</w:t>
                  </w:r>
                  <w:r>
                    <w:rPr>
                      <w:rFonts w:hint="eastAsia"/>
                      <w:color w:val="auto"/>
                    </w:rPr>
                    <w:t>23）的相关要求建设，地面采取基础防渗层为</w:t>
                  </w:r>
                  <w:r>
                    <w:rPr>
                      <w:color w:val="auto"/>
                    </w:rPr>
                    <w:t>0.5m</w:t>
                  </w:r>
                  <w:r>
                    <w:rPr>
                      <w:rFonts w:hint="eastAsia"/>
                      <w:color w:val="auto"/>
                    </w:rPr>
                    <w:t>粘土层，夯实后上铺</w:t>
                  </w:r>
                  <w:r>
                    <w:rPr>
                      <w:color w:val="auto"/>
                    </w:rPr>
                    <w:t>2 mm</w:t>
                  </w:r>
                  <w:r>
                    <w:rPr>
                      <w:rFonts w:hint="eastAsia"/>
                      <w:color w:val="auto"/>
                    </w:rPr>
                    <w:t>厚度高密度聚乙烯膜，再在上层铺</w:t>
                  </w:r>
                  <w:r>
                    <w:rPr>
                      <w:color w:val="auto"/>
                    </w:rPr>
                    <w:t>10</w:t>
                  </w:r>
                  <w:r>
                    <w:rPr>
                      <w:rFonts w:hint="eastAsia"/>
                      <w:color w:val="auto"/>
                    </w:rPr>
                    <w:t>～</w:t>
                  </w:r>
                  <w:r>
                    <w:rPr>
                      <w:color w:val="auto"/>
                    </w:rPr>
                    <w:t>15cm</w:t>
                  </w:r>
                  <w:r>
                    <w:rPr>
                      <w:rFonts w:hint="eastAsia"/>
                      <w:color w:val="auto"/>
                    </w:rPr>
                    <w:t>的水泥进行硬化，并涂防腐防渗涂层（环氧树脂或水性漆都可以），房间四周壁及裙角铺设土工膜，再用水泥硬化，并与地面防渗层连成整体，并在周边设置围堰，在围堰内涂环氧树脂防渗，渗透系数</w:t>
                  </w:r>
                  <w:r>
                    <w:rPr>
                      <w:color w:val="auto"/>
                    </w:rPr>
                    <w:t>≤1.0×10</w:t>
                  </w:r>
                  <w:r>
                    <w:rPr>
                      <w:rFonts w:hint="eastAsia"/>
                      <w:color w:val="auto"/>
                      <w:vertAlign w:val="superscript"/>
                    </w:rPr>
                    <w:t>-</w:t>
                  </w:r>
                  <w:r>
                    <w:rPr>
                      <w:color w:val="auto"/>
                      <w:vertAlign w:val="superscript"/>
                    </w:rPr>
                    <w:t>10</w:t>
                  </w:r>
                  <w:r>
                    <w:rPr>
                      <w:color w:val="auto"/>
                    </w:rPr>
                    <w:t>cm/s</w:t>
                  </w:r>
                  <w:r>
                    <w:rPr>
                      <w:rFonts w:hint="eastAsia"/>
                      <w:color w:val="auto"/>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pct"/>
                  <w:tcBorders>
                    <w:tl2br w:val="nil"/>
                    <w:tr2bl w:val="nil"/>
                  </w:tcBorders>
                  <w:vAlign w:val="center"/>
                </w:tcPr>
                <w:p>
                  <w:pPr>
                    <w:pStyle w:val="37"/>
                    <w:rPr>
                      <w:color w:val="auto"/>
                    </w:rPr>
                  </w:pPr>
                  <w:r>
                    <w:rPr>
                      <w:color w:val="auto"/>
                    </w:rPr>
                    <w:t>填表说明（列出项目相关信息及评价说明）：</w:t>
                  </w:r>
                </w:p>
              </w:tc>
              <w:tc>
                <w:tcPr>
                  <w:tcW w:w="3728" w:type="pct"/>
                  <w:gridSpan w:val="4"/>
                  <w:tcBorders>
                    <w:tl2br w:val="nil"/>
                    <w:tr2bl w:val="nil"/>
                  </w:tcBorders>
                  <w:vAlign w:val="center"/>
                </w:tcPr>
                <w:p>
                  <w:pPr>
                    <w:pStyle w:val="37"/>
                    <w:rPr>
                      <w:color w:val="auto"/>
                    </w:rPr>
                  </w:pPr>
                  <w:r>
                    <w:rPr>
                      <w:color w:val="auto"/>
                    </w:rPr>
                    <w:t>不存在重大危险源，项目环境风险可以接受。</w:t>
                  </w:r>
                </w:p>
              </w:tc>
            </w:tr>
          </w:tbl>
          <w:p>
            <w:pPr>
              <w:adjustRightInd w:val="0"/>
              <w:snapToGrid w:val="0"/>
              <w:spacing w:line="480" w:lineRule="exact"/>
              <w:ind w:firstLine="482" w:firstLineChars="200"/>
              <w:rPr>
                <w:b/>
                <w:bCs/>
                <w:color w:val="auto"/>
                <w:sz w:val="24"/>
              </w:rPr>
            </w:pPr>
            <w:r>
              <w:rPr>
                <w:rFonts w:hint="eastAsia"/>
                <w:b/>
                <w:bCs/>
                <w:color w:val="auto"/>
                <w:sz w:val="24"/>
              </w:rPr>
              <w:t>7、环保投资</w:t>
            </w:r>
          </w:p>
          <w:p>
            <w:pPr>
              <w:widowControl/>
              <w:autoSpaceDE w:val="0"/>
              <w:autoSpaceDN w:val="0"/>
              <w:spacing w:line="520" w:lineRule="exact"/>
              <w:ind w:firstLine="480" w:firstLineChars="200"/>
              <w:rPr>
                <w:color w:val="auto"/>
                <w:sz w:val="24"/>
              </w:rPr>
            </w:pPr>
            <w:r>
              <w:rPr>
                <w:color w:val="auto"/>
                <w:sz w:val="24"/>
              </w:rPr>
              <w:t>本</w:t>
            </w:r>
            <w:r>
              <w:rPr>
                <w:snapToGrid w:val="0"/>
                <w:color w:val="auto"/>
                <w:sz w:val="24"/>
              </w:rPr>
              <w:t>项目环保投资合</w:t>
            </w:r>
            <w:r>
              <w:rPr>
                <w:snapToGrid w:val="0"/>
                <w:color w:val="auto"/>
                <w:sz w:val="24"/>
                <w:highlight w:val="none"/>
              </w:rPr>
              <w:t>计为</w:t>
            </w:r>
            <w:r>
              <w:rPr>
                <w:rFonts w:hint="eastAsia"/>
                <w:snapToGrid w:val="0"/>
                <w:color w:val="auto"/>
                <w:sz w:val="24"/>
                <w:highlight w:val="none"/>
              </w:rPr>
              <w:t>91.5</w:t>
            </w:r>
            <w:r>
              <w:rPr>
                <w:snapToGrid w:val="0"/>
                <w:color w:val="auto"/>
                <w:sz w:val="24"/>
                <w:highlight w:val="none"/>
              </w:rPr>
              <w:t>万元</w:t>
            </w:r>
            <w:r>
              <w:rPr>
                <w:snapToGrid w:val="0"/>
                <w:color w:val="auto"/>
                <w:sz w:val="24"/>
              </w:rPr>
              <w:t>，占项目总投资的</w:t>
            </w:r>
            <w:r>
              <w:rPr>
                <w:rFonts w:hint="eastAsia"/>
                <w:snapToGrid w:val="0"/>
                <w:color w:val="auto"/>
                <w:sz w:val="24"/>
              </w:rPr>
              <w:t>0.73</w:t>
            </w:r>
            <w:r>
              <w:rPr>
                <w:snapToGrid w:val="0"/>
                <w:color w:val="auto"/>
                <w:sz w:val="24"/>
              </w:rPr>
              <w:t>%。本项目环保投资分析估算见表</w:t>
            </w:r>
            <w:r>
              <w:rPr>
                <w:rFonts w:hint="eastAsia" w:eastAsia="黑体"/>
                <w:color w:val="auto"/>
                <w:sz w:val="24"/>
              </w:rPr>
              <w:t>4-</w:t>
            </w:r>
            <w:r>
              <w:rPr>
                <w:rFonts w:hint="eastAsia" w:eastAsia="黑体"/>
                <w:color w:val="auto"/>
                <w:sz w:val="24"/>
                <w:lang w:val="en-US" w:eastAsia="zh-CN"/>
              </w:rPr>
              <w:t>21</w:t>
            </w:r>
            <w:r>
              <w:rPr>
                <w:snapToGrid w:val="0"/>
                <w:color w:val="auto"/>
                <w:sz w:val="24"/>
              </w:rPr>
              <w:t>。</w:t>
            </w:r>
          </w:p>
          <w:p>
            <w:pPr>
              <w:widowControl/>
              <w:topLinePunct/>
              <w:adjustRightInd w:val="0"/>
              <w:snapToGrid w:val="0"/>
              <w:jc w:val="center"/>
              <w:rPr>
                <w:rFonts w:ascii="Times New Roman" w:hAnsi="Times New Roman" w:eastAsia="宋体" w:cs="Times New Roman"/>
                <w:b/>
                <w:color w:val="auto"/>
                <w:szCs w:val="21"/>
              </w:rPr>
            </w:pPr>
            <w:r>
              <w:rPr>
                <w:rFonts w:ascii="Times New Roman" w:hAnsi="Times New Roman" w:eastAsia="宋体" w:cs="Times New Roman"/>
                <w:b/>
                <w:color w:val="auto"/>
                <w:szCs w:val="21"/>
              </w:rPr>
              <w:t>表</w:t>
            </w:r>
            <w:r>
              <w:rPr>
                <w:rFonts w:hint="eastAsia" w:ascii="Times New Roman" w:hAnsi="Times New Roman" w:eastAsia="宋体" w:cs="Times New Roman"/>
                <w:b/>
                <w:color w:val="auto"/>
                <w:szCs w:val="21"/>
              </w:rPr>
              <w:t>4-</w:t>
            </w:r>
            <w:r>
              <w:rPr>
                <w:rFonts w:hint="eastAsia" w:ascii="Times New Roman" w:hAnsi="Times New Roman" w:eastAsia="宋体" w:cs="Times New Roman"/>
                <w:b/>
                <w:color w:val="auto"/>
                <w:szCs w:val="21"/>
                <w:lang w:val="en-US" w:eastAsia="zh-CN"/>
              </w:rPr>
              <w:t>2</w:t>
            </w:r>
            <w:r>
              <w:rPr>
                <w:rFonts w:hint="eastAsia" w:cs="Times New Roman"/>
                <w:b/>
                <w:color w:val="auto"/>
                <w:szCs w:val="21"/>
                <w:lang w:val="en-US" w:eastAsia="zh-CN"/>
              </w:rPr>
              <w:t>1</w:t>
            </w:r>
            <w:r>
              <w:rPr>
                <w:rFonts w:ascii="Times New Roman" w:hAnsi="Times New Roman" w:eastAsia="宋体" w:cs="Times New Roman"/>
                <w:b/>
                <w:color w:val="auto"/>
                <w:szCs w:val="21"/>
              </w:rPr>
              <w:t xml:space="preserve">    环保投资估算</w:t>
            </w:r>
          </w:p>
          <w:tbl>
            <w:tblPr>
              <w:tblStyle w:val="30"/>
              <w:tblW w:w="8241"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09"/>
              <w:gridCol w:w="1064"/>
              <w:gridCol w:w="5057"/>
              <w:gridCol w:w="121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973" w:type="dxa"/>
                  <w:gridSpan w:val="2"/>
                  <w:vAlign w:val="center"/>
                </w:tcPr>
                <w:p>
                  <w:pPr>
                    <w:snapToGrid w:val="0"/>
                    <w:spacing w:line="300" w:lineRule="exact"/>
                    <w:jc w:val="center"/>
                    <w:rPr>
                      <w:color w:val="auto"/>
                      <w:szCs w:val="21"/>
                    </w:rPr>
                  </w:pPr>
                  <w:r>
                    <w:rPr>
                      <w:rStyle w:val="36"/>
                      <w:color w:val="auto"/>
                    </w:rPr>
                    <w:t>类别</w:t>
                  </w:r>
                </w:p>
              </w:tc>
              <w:tc>
                <w:tcPr>
                  <w:tcW w:w="5057" w:type="dxa"/>
                  <w:vAlign w:val="center"/>
                </w:tcPr>
                <w:p>
                  <w:pPr>
                    <w:snapToGrid w:val="0"/>
                    <w:spacing w:line="300" w:lineRule="exact"/>
                    <w:jc w:val="center"/>
                    <w:rPr>
                      <w:color w:val="auto"/>
                      <w:szCs w:val="21"/>
                    </w:rPr>
                  </w:pPr>
                  <w:r>
                    <w:rPr>
                      <w:color w:val="auto"/>
                      <w:szCs w:val="21"/>
                    </w:rPr>
                    <w:t>环保措施</w:t>
                  </w:r>
                </w:p>
              </w:tc>
              <w:tc>
                <w:tcPr>
                  <w:tcW w:w="1211" w:type="dxa"/>
                  <w:vAlign w:val="center"/>
                </w:tcPr>
                <w:p>
                  <w:pPr>
                    <w:snapToGrid w:val="0"/>
                    <w:spacing w:line="300" w:lineRule="exact"/>
                    <w:jc w:val="center"/>
                    <w:rPr>
                      <w:color w:val="auto"/>
                      <w:szCs w:val="21"/>
                    </w:rPr>
                  </w:pPr>
                  <w:r>
                    <w:rPr>
                      <w:color w:val="auto"/>
                      <w:szCs w:val="21"/>
                    </w:rPr>
                    <w:t>投资（万元）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09" w:type="dxa"/>
                  <w:vMerge w:val="restart"/>
                  <w:vAlign w:val="center"/>
                </w:tcPr>
                <w:p>
                  <w:pPr>
                    <w:snapToGrid w:val="0"/>
                    <w:spacing w:line="300" w:lineRule="exact"/>
                    <w:jc w:val="center"/>
                    <w:rPr>
                      <w:color w:val="auto"/>
                      <w:szCs w:val="21"/>
                    </w:rPr>
                  </w:pPr>
                  <w:r>
                    <w:rPr>
                      <w:rFonts w:hint="eastAsia"/>
                      <w:color w:val="auto"/>
                      <w:szCs w:val="21"/>
                    </w:rPr>
                    <w:t>施工期</w:t>
                  </w:r>
                </w:p>
              </w:tc>
              <w:tc>
                <w:tcPr>
                  <w:tcW w:w="1064" w:type="dxa"/>
                  <w:vAlign w:val="center"/>
                </w:tcPr>
                <w:p>
                  <w:pPr>
                    <w:snapToGrid w:val="0"/>
                    <w:spacing w:line="300" w:lineRule="exact"/>
                    <w:jc w:val="center"/>
                    <w:rPr>
                      <w:color w:val="auto"/>
                      <w:szCs w:val="21"/>
                    </w:rPr>
                  </w:pPr>
                  <w:r>
                    <w:rPr>
                      <w:rFonts w:hint="eastAsia"/>
                      <w:color w:val="auto"/>
                      <w:szCs w:val="21"/>
                    </w:rPr>
                    <w:t>废气</w:t>
                  </w:r>
                </w:p>
              </w:tc>
              <w:tc>
                <w:tcPr>
                  <w:tcW w:w="5057" w:type="dxa"/>
                  <w:vAlign w:val="center"/>
                </w:tcPr>
                <w:p>
                  <w:pPr>
                    <w:snapToGrid w:val="0"/>
                    <w:spacing w:line="300" w:lineRule="exact"/>
                    <w:jc w:val="center"/>
                    <w:rPr>
                      <w:color w:val="auto"/>
                      <w:szCs w:val="21"/>
                    </w:rPr>
                  </w:pPr>
                  <w:r>
                    <w:rPr>
                      <w:rFonts w:hint="eastAsia"/>
                      <w:color w:val="auto"/>
                      <w:szCs w:val="21"/>
                    </w:rPr>
                    <w:t>洒水降尘、物料转运采用篷布苫盖</w:t>
                  </w:r>
                </w:p>
              </w:tc>
              <w:tc>
                <w:tcPr>
                  <w:tcW w:w="1211" w:type="dxa"/>
                  <w:vAlign w:val="center"/>
                </w:tcPr>
                <w:p>
                  <w:pPr>
                    <w:snapToGrid w:val="0"/>
                    <w:spacing w:line="300" w:lineRule="exact"/>
                    <w:jc w:val="center"/>
                    <w:rPr>
                      <w:color w:val="auto"/>
                      <w:szCs w:val="21"/>
                    </w:rPr>
                  </w:pPr>
                  <w:r>
                    <w:rPr>
                      <w:rFonts w:hint="eastAsia"/>
                      <w:color w:val="auto"/>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09" w:type="dxa"/>
                  <w:vMerge w:val="continue"/>
                  <w:vAlign w:val="center"/>
                </w:tcPr>
                <w:p>
                  <w:pPr>
                    <w:snapToGrid w:val="0"/>
                    <w:spacing w:line="300" w:lineRule="exact"/>
                    <w:jc w:val="center"/>
                    <w:rPr>
                      <w:color w:val="auto"/>
                      <w:szCs w:val="21"/>
                    </w:rPr>
                  </w:pPr>
                </w:p>
              </w:tc>
              <w:tc>
                <w:tcPr>
                  <w:tcW w:w="1064" w:type="dxa"/>
                  <w:vAlign w:val="center"/>
                </w:tcPr>
                <w:p>
                  <w:pPr>
                    <w:snapToGrid w:val="0"/>
                    <w:spacing w:line="300" w:lineRule="exact"/>
                    <w:jc w:val="center"/>
                    <w:rPr>
                      <w:color w:val="auto"/>
                      <w:szCs w:val="21"/>
                    </w:rPr>
                  </w:pPr>
                  <w:r>
                    <w:rPr>
                      <w:rFonts w:hint="eastAsia"/>
                      <w:color w:val="auto"/>
                      <w:szCs w:val="21"/>
                    </w:rPr>
                    <w:t>废水</w:t>
                  </w:r>
                </w:p>
              </w:tc>
              <w:tc>
                <w:tcPr>
                  <w:tcW w:w="5057" w:type="dxa"/>
                  <w:vAlign w:val="center"/>
                </w:tcPr>
                <w:p>
                  <w:pPr>
                    <w:snapToGrid w:val="0"/>
                    <w:spacing w:line="300" w:lineRule="exact"/>
                    <w:jc w:val="center"/>
                    <w:rPr>
                      <w:color w:val="auto"/>
                      <w:szCs w:val="21"/>
                    </w:rPr>
                  </w:pPr>
                  <w:r>
                    <w:rPr>
                      <w:rFonts w:hint="eastAsia"/>
                      <w:color w:val="auto"/>
                      <w:szCs w:val="21"/>
                    </w:rPr>
                    <w:t>施工废水经沉淀池沉淀后回用于生产，职工生活污水经防渗化粪池收集拉运至奎屯市中区污水处理厂进行处理</w:t>
                  </w:r>
                </w:p>
              </w:tc>
              <w:tc>
                <w:tcPr>
                  <w:tcW w:w="1211" w:type="dxa"/>
                  <w:vAlign w:val="center"/>
                </w:tcPr>
                <w:p>
                  <w:pPr>
                    <w:snapToGrid w:val="0"/>
                    <w:spacing w:line="300" w:lineRule="exact"/>
                    <w:jc w:val="center"/>
                    <w:rPr>
                      <w:color w:val="auto"/>
                      <w:szCs w:val="21"/>
                    </w:rPr>
                  </w:pPr>
                  <w:r>
                    <w:rPr>
                      <w:rFonts w:hint="eastAsia"/>
                      <w:color w:val="auto"/>
                      <w:szCs w:val="21"/>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09" w:type="dxa"/>
                  <w:vMerge w:val="continue"/>
                  <w:vAlign w:val="center"/>
                </w:tcPr>
                <w:p>
                  <w:pPr>
                    <w:snapToGrid w:val="0"/>
                    <w:spacing w:line="300" w:lineRule="exact"/>
                    <w:jc w:val="center"/>
                    <w:rPr>
                      <w:color w:val="auto"/>
                      <w:szCs w:val="21"/>
                    </w:rPr>
                  </w:pPr>
                </w:p>
              </w:tc>
              <w:tc>
                <w:tcPr>
                  <w:tcW w:w="1064" w:type="dxa"/>
                  <w:vAlign w:val="center"/>
                </w:tcPr>
                <w:p>
                  <w:pPr>
                    <w:snapToGrid w:val="0"/>
                    <w:spacing w:line="300" w:lineRule="exact"/>
                    <w:jc w:val="center"/>
                    <w:rPr>
                      <w:color w:val="auto"/>
                      <w:szCs w:val="21"/>
                    </w:rPr>
                  </w:pPr>
                  <w:r>
                    <w:rPr>
                      <w:rFonts w:hint="eastAsia"/>
                      <w:color w:val="auto"/>
                      <w:szCs w:val="21"/>
                    </w:rPr>
                    <w:t>噪声</w:t>
                  </w:r>
                </w:p>
              </w:tc>
              <w:tc>
                <w:tcPr>
                  <w:tcW w:w="5057" w:type="dxa"/>
                  <w:vAlign w:val="center"/>
                </w:tcPr>
                <w:p>
                  <w:pPr>
                    <w:snapToGrid w:val="0"/>
                    <w:spacing w:line="300" w:lineRule="exact"/>
                    <w:jc w:val="center"/>
                    <w:rPr>
                      <w:color w:val="auto"/>
                      <w:szCs w:val="21"/>
                    </w:rPr>
                  </w:pPr>
                  <w:r>
                    <w:rPr>
                      <w:rFonts w:hint="eastAsia"/>
                      <w:color w:val="auto"/>
                      <w:szCs w:val="21"/>
                    </w:rPr>
                    <w:t>合理安排施工时间、选用低噪声设备</w:t>
                  </w:r>
                </w:p>
              </w:tc>
              <w:tc>
                <w:tcPr>
                  <w:tcW w:w="1211" w:type="dxa"/>
                  <w:vAlign w:val="center"/>
                </w:tcPr>
                <w:p>
                  <w:pPr>
                    <w:snapToGrid w:val="0"/>
                    <w:spacing w:line="300" w:lineRule="exact"/>
                    <w:jc w:val="center"/>
                    <w:rPr>
                      <w:color w:val="auto"/>
                      <w:szCs w:val="21"/>
                    </w:rPr>
                  </w:pPr>
                  <w:r>
                    <w:rPr>
                      <w:rFonts w:hint="eastAsia"/>
                      <w:color w:val="auto"/>
                      <w:szCs w:val="21"/>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09" w:type="dxa"/>
                  <w:vMerge w:val="continue"/>
                  <w:vAlign w:val="center"/>
                </w:tcPr>
                <w:p>
                  <w:pPr>
                    <w:snapToGrid w:val="0"/>
                    <w:spacing w:line="300" w:lineRule="exact"/>
                    <w:jc w:val="center"/>
                    <w:rPr>
                      <w:color w:val="auto"/>
                      <w:szCs w:val="21"/>
                    </w:rPr>
                  </w:pPr>
                </w:p>
              </w:tc>
              <w:tc>
                <w:tcPr>
                  <w:tcW w:w="1064" w:type="dxa"/>
                  <w:vAlign w:val="center"/>
                </w:tcPr>
                <w:p>
                  <w:pPr>
                    <w:snapToGrid w:val="0"/>
                    <w:spacing w:line="300" w:lineRule="exact"/>
                    <w:jc w:val="center"/>
                    <w:rPr>
                      <w:color w:val="auto"/>
                      <w:szCs w:val="21"/>
                    </w:rPr>
                  </w:pPr>
                  <w:r>
                    <w:rPr>
                      <w:rFonts w:hint="eastAsia"/>
                      <w:color w:val="auto"/>
                      <w:szCs w:val="21"/>
                    </w:rPr>
                    <w:t>固体废物</w:t>
                  </w:r>
                </w:p>
              </w:tc>
              <w:tc>
                <w:tcPr>
                  <w:tcW w:w="5057" w:type="dxa"/>
                  <w:vAlign w:val="center"/>
                </w:tcPr>
                <w:p>
                  <w:pPr>
                    <w:snapToGrid w:val="0"/>
                    <w:spacing w:line="300" w:lineRule="exact"/>
                    <w:jc w:val="center"/>
                    <w:rPr>
                      <w:color w:val="auto"/>
                      <w:szCs w:val="21"/>
                    </w:rPr>
                  </w:pPr>
                  <w:r>
                    <w:rPr>
                      <w:rFonts w:hint="eastAsia"/>
                      <w:color w:val="auto"/>
                      <w:szCs w:val="21"/>
                    </w:rPr>
                    <w:t>分类垃圾桶、建筑垃圾清运</w:t>
                  </w:r>
                </w:p>
              </w:tc>
              <w:tc>
                <w:tcPr>
                  <w:tcW w:w="1211" w:type="dxa"/>
                  <w:vAlign w:val="center"/>
                </w:tcPr>
                <w:p>
                  <w:pPr>
                    <w:snapToGrid w:val="0"/>
                    <w:spacing w:line="300" w:lineRule="exact"/>
                    <w:jc w:val="center"/>
                    <w:rPr>
                      <w:color w:val="auto"/>
                      <w:szCs w:val="21"/>
                    </w:rPr>
                  </w:pPr>
                  <w:r>
                    <w:rPr>
                      <w:rFonts w:hint="eastAsia"/>
                      <w:color w:val="auto"/>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09" w:type="dxa"/>
                  <w:vMerge w:val="restart"/>
                  <w:vAlign w:val="center"/>
                </w:tcPr>
                <w:p>
                  <w:pPr>
                    <w:snapToGrid w:val="0"/>
                    <w:spacing w:line="300" w:lineRule="exact"/>
                    <w:jc w:val="center"/>
                    <w:rPr>
                      <w:color w:val="auto"/>
                      <w:szCs w:val="21"/>
                    </w:rPr>
                  </w:pPr>
                  <w:r>
                    <w:rPr>
                      <w:rFonts w:hint="eastAsia"/>
                      <w:color w:val="auto"/>
                      <w:szCs w:val="21"/>
                    </w:rPr>
                    <w:t>运营期</w:t>
                  </w:r>
                </w:p>
              </w:tc>
              <w:tc>
                <w:tcPr>
                  <w:tcW w:w="1064" w:type="dxa"/>
                  <w:vMerge w:val="restart"/>
                  <w:vAlign w:val="center"/>
                </w:tcPr>
                <w:p>
                  <w:pPr>
                    <w:snapToGrid w:val="0"/>
                    <w:spacing w:line="300" w:lineRule="exact"/>
                    <w:jc w:val="center"/>
                    <w:rPr>
                      <w:color w:val="auto"/>
                      <w:szCs w:val="21"/>
                    </w:rPr>
                  </w:pPr>
                  <w:r>
                    <w:rPr>
                      <w:color w:val="auto"/>
                      <w:szCs w:val="21"/>
                    </w:rPr>
                    <w:t>废气</w:t>
                  </w:r>
                </w:p>
              </w:tc>
              <w:tc>
                <w:tcPr>
                  <w:tcW w:w="5057" w:type="dxa"/>
                  <w:vAlign w:val="center"/>
                </w:tcPr>
                <w:p>
                  <w:pPr>
                    <w:snapToGrid w:val="0"/>
                    <w:spacing w:line="300" w:lineRule="exact"/>
                    <w:jc w:val="center"/>
                    <w:rPr>
                      <w:color w:val="auto"/>
                      <w:szCs w:val="21"/>
                    </w:rPr>
                  </w:pPr>
                  <w:r>
                    <w:rPr>
                      <w:rFonts w:hint="eastAsia"/>
                      <w:color w:val="auto"/>
                      <w:szCs w:val="21"/>
                    </w:rPr>
                    <w:t>搅拌站全密闭，自带滤芯式除尘器、筒仓安装脉冲袋式除尘器+15m高排气筒（共6套）、封闭运输皮带</w:t>
                  </w:r>
                </w:p>
              </w:tc>
              <w:tc>
                <w:tcPr>
                  <w:tcW w:w="1211" w:type="dxa"/>
                  <w:vAlign w:val="center"/>
                </w:tcPr>
                <w:p>
                  <w:pPr>
                    <w:snapToGrid w:val="0"/>
                    <w:spacing w:line="300" w:lineRule="exact"/>
                    <w:jc w:val="center"/>
                    <w:rPr>
                      <w:color w:val="auto"/>
                      <w:szCs w:val="21"/>
                    </w:rPr>
                  </w:pPr>
                  <w:r>
                    <w:rPr>
                      <w:rFonts w:hint="eastAsia"/>
                      <w:color w:val="auto"/>
                      <w:szCs w:val="21"/>
                    </w:rPr>
                    <w:t>50.0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09" w:type="dxa"/>
                  <w:vMerge w:val="continue"/>
                  <w:vAlign w:val="center"/>
                </w:tcPr>
                <w:p>
                  <w:pPr>
                    <w:snapToGrid w:val="0"/>
                    <w:spacing w:line="300" w:lineRule="exact"/>
                    <w:jc w:val="center"/>
                    <w:rPr>
                      <w:color w:val="auto"/>
                    </w:rPr>
                  </w:pPr>
                </w:p>
              </w:tc>
              <w:tc>
                <w:tcPr>
                  <w:tcW w:w="1064" w:type="dxa"/>
                  <w:vMerge w:val="continue"/>
                  <w:vAlign w:val="center"/>
                </w:tcPr>
                <w:p>
                  <w:pPr>
                    <w:snapToGrid w:val="0"/>
                    <w:spacing w:line="300" w:lineRule="exact"/>
                    <w:jc w:val="center"/>
                    <w:rPr>
                      <w:color w:val="auto"/>
                    </w:rPr>
                  </w:pPr>
                </w:p>
              </w:tc>
              <w:tc>
                <w:tcPr>
                  <w:tcW w:w="5057" w:type="dxa"/>
                  <w:vAlign w:val="center"/>
                </w:tcPr>
                <w:p>
                  <w:pPr>
                    <w:snapToGrid w:val="0"/>
                    <w:spacing w:line="300" w:lineRule="exact"/>
                    <w:jc w:val="center"/>
                    <w:rPr>
                      <w:color w:val="auto"/>
                      <w:szCs w:val="21"/>
                    </w:rPr>
                  </w:pPr>
                  <w:r>
                    <w:rPr>
                      <w:rFonts w:hint="eastAsia"/>
                      <w:color w:val="auto"/>
                      <w:lang w:val="en-US" w:eastAsia="zh-CN"/>
                    </w:rPr>
                    <w:t>建设半封闭原料库房</w:t>
                  </w:r>
                  <w:r>
                    <w:rPr>
                      <w:rFonts w:hint="eastAsia"/>
                      <w:color w:val="auto"/>
                    </w:rPr>
                    <w:t>，定期洒水</w:t>
                  </w:r>
                </w:p>
              </w:tc>
              <w:tc>
                <w:tcPr>
                  <w:tcW w:w="1211" w:type="dxa"/>
                  <w:vAlign w:val="center"/>
                </w:tcPr>
                <w:p>
                  <w:pPr>
                    <w:snapToGrid w:val="0"/>
                    <w:spacing w:line="300" w:lineRule="exact"/>
                    <w:jc w:val="center"/>
                    <w:rPr>
                      <w:color w:val="auto"/>
                      <w:szCs w:val="21"/>
                    </w:rPr>
                  </w:pPr>
                  <w:r>
                    <w:rPr>
                      <w:rFonts w:hint="eastAsia"/>
                      <w:color w:val="auto"/>
                      <w:szCs w:val="21"/>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09" w:type="dxa"/>
                  <w:vMerge w:val="continue"/>
                  <w:vAlign w:val="center"/>
                </w:tcPr>
                <w:p>
                  <w:pPr>
                    <w:snapToGrid w:val="0"/>
                    <w:spacing w:line="300" w:lineRule="exact"/>
                    <w:jc w:val="center"/>
                    <w:rPr>
                      <w:color w:val="auto"/>
                      <w:szCs w:val="21"/>
                    </w:rPr>
                  </w:pPr>
                </w:p>
              </w:tc>
              <w:tc>
                <w:tcPr>
                  <w:tcW w:w="1064" w:type="dxa"/>
                  <w:vMerge w:val="continue"/>
                  <w:vAlign w:val="center"/>
                </w:tcPr>
                <w:p>
                  <w:pPr>
                    <w:snapToGrid w:val="0"/>
                    <w:spacing w:line="300" w:lineRule="exact"/>
                    <w:jc w:val="center"/>
                    <w:rPr>
                      <w:color w:val="auto"/>
                      <w:szCs w:val="21"/>
                    </w:rPr>
                  </w:pPr>
                </w:p>
              </w:tc>
              <w:tc>
                <w:tcPr>
                  <w:tcW w:w="5057" w:type="dxa"/>
                  <w:vAlign w:val="center"/>
                </w:tcPr>
                <w:p>
                  <w:pPr>
                    <w:snapToGrid w:val="0"/>
                    <w:spacing w:line="300" w:lineRule="exact"/>
                    <w:jc w:val="center"/>
                    <w:rPr>
                      <w:color w:val="auto"/>
                      <w:szCs w:val="21"/>
                    </w:rPr>
                  </w:pPr>
                  <w:r>
                    <w:rPr>
                      <w:rFonts w:hint="eastAsia"/>
                      <w:color w:val="auto"/>
                      <w:szCs w:val="21"/>
                    </w:rPr>
                    <w:t>车辆清洗、苫盖篷布、厂区抑尘</w:t>
                  </w:r>
                </w:p>
              </w:tc>
              <w:tc>
                <w:tcPr>
                  <w:tcW w:w="1211" w:type="dxa"/>
                  <w:vAlign w:val="center"/>
                </w:tcPr>
                <w:p>
                  <w:pPr>
                    <w:snapToGrid w:val="0"/>
                    <w:spacing w:line="300" w:lineRule="exact"/>
                    <w:jc w:val="center"/>
                    <w:rPr>
                      <w:color w:val="auto"/>
                      <w:szCs w:val="21"/>
                    </w:rPr>
                  </w:pPr>
                  <w:r>
                    <w:rPr>
                      <w:rFonts w:hint="eastAsia"/>
                      <w:color w:val="auto"/>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909" w:type="dxa"/>
                  <w:vMerge w:val="continue"/>
                  <w:vAlign w:val="center"/>
                </w:tcPr>
                <w:p>
                  <w:pPr>
                    <w:snapToGrid w:val="0"/>
                    <w:spacing w:line="300" w:lineRule="exact"/>
                    <w:jc w:val="center"/>
                    <w:rPr>
                      <w:color w:val="auto"/>
                      <w:szCs w:val="21"/>
                    </w:rPr>
                  </w:pPr>
                </w:p>
              </w:tc>
              <w:tc>
                <w:tcPr>
                  <w:tcW w:w="1064" w:type="dxa"/>
                  <w:vMerge w:val="continue"/>
                  <w:vAlign w:val="center"/>
                </w:tcPr>
                <w:p>
                  <w:pPr>
                    <w:snapToGrid w:val="0"/>
                    <w:spacing w:line="300" w:lineRule="exact"/>
                    <w:jc w:val="center"/>
                    <w:rPr>
                      <w:color w:val="auto"/>
                      <w:szCs w:val="21"/>
                    </w:rPr>
                  </w:pPr>
                </w:p>
              </w:tc>
              <w:tc>
                <w:tcPr>
                  <w:tcW w:w="5057" w:type="dxa"/>
                  <w:vAlign w:val="center"/>
                </w:tcPr>
                <w:p>
                  <w:pPr>
                    <w:snapToGrid w:val="0"/>
                    <w:spacing w:line="300" w:lineRule="exact"/>
                    <w:jc w:val="center"/>
                    <w:rPr>
                      <w:color w:val="auto"/>
                      <w:szCs w:val="21"/>
                    </w:rPr>
                  </w:pPr>
                  <w:r>
                    <w:rPr>
                      <w:rFonts w:hint="eastAsia"/>
                      <w:color w:val="auto"/>
                      <w:szCs w:val="21"/>
                    </w:rPr>
                    <w:t>安装油烟净化器，处理效率不低于60%</w:t>
                  </w:r>
                </w:p>
              </w:tc>
              <w:tc>
                <w:tcPr>
                  <w:tcW w:w="1211" w:type="dxa"/>
                  <w:vAlign w:val="center"/>
                </w:tcPr>
                <w:p>
                  <w:pPr>
                    <w:snapToGrid w:val="0"/>
                    <w:spacing w:line="300" w:lineRule="exact"/>
                    <w:jc w:val="center"/>
                    <w:rPr>
                      <w:color w:val="auto"/>
                      <w:szCs w:val="21"/>
                    </w:rPr>
                  </w:pPr>
                  <w:r>
                    <w:rPr>
                      <w:rFonts w:hint="eastAsia"/>
                      <w:color w:val="auto"/>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Merge w:val="continue"/>
                  <w:vAlign w:val="center"/>
                </w:tcPr>
                <w:p>
                  <w:pPr>
                    <w:snapToGrid w:val="0"/>
                    <w:spacing w:line="300" w:lineRule="exact"/>
                    <w:jc w:val="center"/>
                    <w:rPr>
                      <w:color w:val="auto"/>
                      <w:szCs w:val="21"/>
                    </w:rPr>
                  </w:pPr>
                </w:p>
              </w:tc>
              <w:tc>
                <w:tcPr>
                  <w:tcW w:w="1064" w:type="dxa"/>
                  <w:vAlign w:val="center"/>
                </w:tcPr>
                <w:p>
                  <w:pPr>
                    <w:snapToGrid w:val="0"/>
                    <w:spacing w:line="300" w:lineRule="exact"/>
                    <w:jc w:val="center"/>
                    <w:rPr>
                      <w:color w:val="auto"/>
                      <w:szCs w:val="21"/>
                    </w:rPr>
                  </w:pPr>
                  <w:r>
                    <w:rPr>
                      <w:color w:val="auto"/>
                      <w:szCs w:val="21"/>
                    </w:rPr>
                    <w:t>噪声</w:t>
                  </w:r>
                </w:p>
              </w:tc>
              <w:tc>
                <w:tcPr>
                  <w:tcW w:w="5057" w:type="dxa"/>
                  <w:vAlign w:val="center"/>
                </w:tcPr>
                <w:p>
                  <w:pPr>
                    <w:snapToGrid w:val="0"/>
                    <w:spacing w:line="300" w:lineRule="exact"/>
                    <w:jc w:val="center"/>
                    <w:rPr>
                      <w:color w:val="auto"/>
                      <w:szCs w:val="21"/>
                    </w:rPr>
                  </w:pPr>
                  <w:r>
                    <w:rPr>
                      <w:color w:val="auto"/>
                      <w:szCs w:val="21"/>
                    </w:rPr>
                    <w:t>橡胶减震接头、减震垫、选用低噪声</w:t>
                  </w:r>
                  <w:r>
                    <w:rPr>
                      <w:rFonts w:hint="eastAsia"/>
                      <w:color w:val="auto"/>
                      <w:szCs w:val="21"/>
                    </w:rPr>
                    <w:t>设备</w:t>
                  </w:r>
                </w:p>
              </w:tc>
              <w:tc>
                <w:tcPr>
                  <w:tcW w:w="1211" w:type="dxa"/>
                  <w:vAlign w:val="center"/>
                </w:tcPr>
                <w:p>
                  <w:pPr>
                    <w:snapToGrid w:val="0"/>
                    <w:spacing w:line="300" w:lineRule="exact"/>
                    <w:jc w:val="center"/>
                    <w:rPr>
                      <w:color w:val="auto"/>
                      <w:szCs w:val="21"/>
                    </w:rPr>
                  </w:pPr>
                  <w:r>
                    <w:rPr>
                      <w:rFonts w:hint="eastAsia"/>
                      <w:color w:val="auto"/>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909" w:type="dxa"/>
                  <w:vMerge w:val="continue"/>
                  <w:vAlign w:val="center"/>
                </w:tcPr>
                <w:p>
                  <w:pPr>
                    <w:snapToGrid w:val="0"/>
                    <w:spacing w:line="300" w:lineRule="exact"/>
                    <w:jc w:val="center"/>
                    <w:rPr>
                      <w:color w:val="auto"/>
                      <w:szCs w:val="21"/>
                    </w:rPr>
                  </w:pPr>
                </w:p>
              </w:tc>
              <w:tc>
                <w:tcPr>
                  <w:tcW w:w="1064" w:type="dxa"/>
                  <w:vMerge w:val="restart"/>
                  <w:vAlign w:val="center"/>
                </w:tcPr>
                <w:p>
                  <w:pPr>
                    <w:snapToGrid w:val="0"/>
                    <w:spacing w:line="300" w:lineRule="exact"/>
                    <w:jc w:val="center"/>
                    <w:rPr>
                      <w:color w:val="auto"/>
                      <w:szCs w:val="21"/>
                    </w:rPr>
                  </w:pPr>
                  <w:r>
                    <w:rPr>
                      <w:rFonts w:hint="eastAsia"/>
                      <w:color w:val="auto"/>
                      <w:szCs w:val="21"/>
                    </w:rPr>
                    <w:t>固废</w:t>
                  </w:r>
                </w:p>
              </w:tc>
              <w:tc>
                <w:tcPr>
                  <w:tcW w:w="5057" w:type="dxa"/>
                  <w:vAlign w:val="center"/>
                </w:tcPr>
                <w:p>
                  <w:pPr>
                    <w:snapToGrid w:val="0"/>
                    <w:spacing w:line="300" w:lineRule="exact"/>
                    <w:jc w:val="center"/>
                    <w:rPr>
                      <w:color w:val="auto"/>
                      <w:szCs w:val="21"/>
                    </w:rPr>
                  </w:pPr>
                  <w:r>
                    <w:rPr>
                      <w:rFonts w:hint="eastAsia"/>
                      <w:color w:val="auto"/>
                      <w:szCs w:val="21"/>
                    </w:rPr>
                    <w:t>废润滑油及废油桶暂存于拟建危废暂存间并委托有资质单位处置</w:t>
                  </w:r>
                </w:p>
              </w:tc>
              <w:tc>
                <w:tcPr>
                  <w:tcW w:w="1211" w:type="dxa"/>
                  <w:vMerge w:val="restart"/>
                  <w:vAlign w:val="center"/>
                </w:tcPr>
                <w:p>
                  <w:pPr>
                    <w:snapToGrid w:val="0"/>
                    <w:spacing w:line="300" w:lineRule="exact"/>
                    <w:jc w:val="center"/>
                    <w:rPr>
                      <w:color w:val="auto"/>
                      <w:szCs w:val="21"/>
                    </w:rPr>
                  </w:pPr>
                  <w:r>
                    <w:rPr>
                      <w:rFonts w:hint="eastAsia"/>
                      <w:color w:val="auto"/>
                      <w:szCs w:val="21"/>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909" w:type="dxa"/>
                  <w:vMerge w:val="continue"/>
                  <w:vAlign w:val="center"/>
                </w:tcPr>
                <w:p>
                  <w:pPr>
                    <w:snapToGrid w:val="0"/>
                    <w:spacing w:line="300" w:lineRule="exact"/>
                    <w:jc w:val="center"/>
                    <w:rPr>
                      <w:color w:val="auto"/>
                    </w:rPr>
                  </w:pPr>
                </w:p>
              </w:tc>
              <w:tc>
                <w:tcPr>
                  <w:tcW w:w="1064" w:type="dxa"/>
                  <w:vMerge w:val="continue"/>
                  <w:vAlign w:val="center"/>
                </w:tcPr>
                <w:p>
                  <w:pPr>
                    <w:snapToGrid w:val="0"/>
                    <w:spacing w:line="300" w:lineRule="exact"/>
                    <w:jc w:val="center"/>
                    <w:rPr>
                      <w:color w:val="auto"/>
                    </w:rPr>
                  </w:pPr>
                </w:p>
              </w:tc>
              <w:tc>
                <w:tcPr>
                  <w:tcW w:w="5057" w:type="dxa"/>
                  <w:vAlign w:val="center"/>
                </w:tcPr>
                <w:p>
                  <w:pPr>
                    <w:snapToGrid w:val="0"/>
                    <w:spacing w:line="300" w:lineRule="exact"/>
                    <w:jc w:val="center"/>
                    <w:rPr>
                      <w:color w:val="auto"/>
                      <w:szCs w:val="21"/>
                    </w:rPr>
                  </w:pPr>
                  <w:r>
                    <w:rPr>
                      <w:rFonts w:hint="eastAsia"/>
                      <w:color w:val="auto"/>
                      <w:szCs w:val="21"/>
                    </w:rPr>
                    <w:t>生活垃圾统一收集后委托环卫部门定期拉运</w:t>
                  </w:r>
                </w:p>
              </w:tc>
              <w:tc>
                <w:tcPr>
                  <w:tcW w:w="1211" w:type="dxa"/>
                  <w:vMerge w:val="continue"/>
                  <w:vAlign w:val="center"/>
                </w:tcPr>
                <w:p>
                  <w:pPr>
                    <w:snapToGrid w:val="0"/>
                    <w:spacing w:line="300" w:lineRule="exact"/>
                    <w:jc w:val="center"/>
                    <w:rPr>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909" w:type="dxa"/>
                  <w:vMerge w:val="continue"/>
                  <w:vAlign w:val="center"/>
                </w:tcPr>
                <w:p>
                  <w:pPr>
                    <w:snapToGrid w:val="0"/>
                    <w:spacing w:line="300" w:lineRule="exact"/>
                    <w:jc w:val="center"/>
                    <w:rPr>
                      <w:color w:val="auto"/>
                      <w:szCs w:val="21"/>
                    </w:rPr>
                  </w:pPr>
                </w:p>
              </w:tc>
              <w:tc>
                <w:tcPr>
                  <w:tcW w:w="1064" w:type="dxa"/>
                  <w:vMerge w:val="restart"/>
                  <w:vAlign w:val="center"/>
                </w:tcPr>
                <w:p>
                  <w:pPr>
                    <w:snapToGrid w:val="0"/>
                    <w:spacing w:line="300" w:lineRule="exact"/>
                    <w:jc w:val="center"/>
                    <w:rPr>
                      <w:color w:val="auto"/>
                      <w:szCs w:val="21"/>
                    </w:rPr>
                  </w:pPr>
                  <w:r>
                    <w:rPr>
                      <w:color w:val="auto"/>
                      <w:szCs w:val="21"/>
                    </w:rPr>
                    <w:t>废水</w:t>
                  </w:r>
                </w:p>
              </w:tc>
              <w:tc>
                <w:tcPr>
                  <w:tcW w:w="5057" w:type="dxa"/>
                  <w:vAlign w:val="center"/>
                </w:tcPr>
                <w:p>
                  <w:pPr>
                    <w:snapToGrid w:val="0"/>
                    <w:spacing w:line="300" w:lineRule="exact"/>
                    <w:jc w:val="center"/>
                    <w:rPr>
                      <w:color w:val="auto"/>
                      <w:szCs w:val="21"/>
                    </w:rPr>
                  </w:pPr>
                  <w:r>
                    <w:rPr>
                      <w:color w:val="auto"/>
                      <w:szCs w:val="21"/>
                    </w:rPr>
                    <w:t>生活污水排入防渗化粪池收集，吸污车清运至</w:t>
                  </w:r>
                  <w:r>
                    <w:rPr>
                      <w:rFonts w:hint="eastAsia"/>
                      <w:color w:val="auto"/>
                      <w:szCs w:val="21"/>
                    </w:rPr>
                    <w:t>奎屯市中区污水处理厂</w:t>
                  </w:r>
                </w:p>
              </w:tc>
              <w:tc>
                <w:tcPr>
                  <w:tcW w:w="1211" w:type="dxa"/>
                  <w:vAlign w:val="center"/>
                </w:tcPr>
                <w:p>
                  <w:pPr>
                    <w:snapToGrid w:val="0"/>
                    <w:spacing w:line="300" w:lineRule="exact"/>
                    <w:jc w:val="center"/>
                    <w:rPr>
                      <w:color w:val="auto"/>
                      <w:szCs w:val="21"/>
                    </w:rPr>
                  </w:pPr>
                  <w:r>
                    <w:rPr>
                      <w:rFonts w:hint="eastAsia"/>
                      <w:color w:val="auto"/>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909" w:type="dxa"/>
                  <w:vMerge w:val="continue"/>
                  <w:vAlign w:val="center"/>
                </w:tcPr>
                <w:p>
                  <w:pPr>
                    <w:snapToGrid w:val="0"/>
                    <w:spacing w:line="300" w:lineRule="exact"/>
                    <w:jc w:val="center"/>
                    <w:rPr>
                      <w:color w:val="auto"/>
                    </w:rPr>
                  </w:pPr>
                </w:p>
              </w:tc>
              <w:tc>
                <w:tcPr>
                  <w:tcW w:w="1064" w:type="dxa"/>
                  <w:vMerge w:val="continue"/>
                  <w:vAlign w:val="center"/>
                </w:tcPr>
                <w:p>
                  <w:pPr>
                    <w:snapToGrid w:val="0"/>
                    <w:spacing w:line="300" w:lineRule="exact"/>
                    <w:jc w:val="center"/>
                    <w:rPr>
                      <w:color w:val="auto"/>
                    </w:rPr>
                  </w:pPr>
                </w:p>
              </w:tc>
              <w:tc>
                <w:tcPr>
                  <w:tcW w:w="5057" w:type="dxa"/>
                  <w:vAlign w:val="center"/>
                </w:tcPr>
                <w:p>
                  <w:pPr>
                    <w:snapToGrid w:val="0"/>
                    <w:spacing w:line="300" w:lineRule="exact"/>
                    <w:jc w:val="center"/>
                    <w:rPr>
                      <w:color w:val="auto"/>
                      <w:szCs w:val="21"/>
                    </w:rPr>
                  </w:pPr>
                  <w:r>
                    <w:rPr>
                      <w:rFonts w:hint="eastAsia"/>
                      <w:color w:val="auto"/>
                      <w:szCs w:val="21"/>
                    </w:rPr>
                    <w:t>生产废水排入三级防渗沉淀池（100m</w:t>
                  </w:r>
                  <w:r>
                    <w:rPr>
                      <w:rFonts w:hint="eastAsia"/>
                      <w:color w:val="auto"/>
                      <w:szCs w:val="21"/>
                      <w:vertAlign w:val="superscript"/>
                    </w:rPr>
                    <w:t>3</w:t>
                  </w:r>
                  <w:r>
                    <w:rPr>
                      <w:rFonts w:hint="eastAsia"/>
                      <w:color w:val="auto"/>
                      <w:szCs w:val="21"/>
                    </w:rPr>
                    <w:t>）</w:t>
                  </w:r>
                </w:p>
              </w:tc>
              <w:tc>
                <w:tcPr>
                  <w:tcW w:w="1211" w:type="dxa"/>
                  <w:vAlign w:val="center"/>
                </w:tcPr>
                <w:p>
                  <w:pPr>
                    <w:snapToGrid w:val="0"/>
                    <w:spacing w:line="300" w:lineRule="exact"/>
                    <w:jc w:val="center"/>
                    <w:rPr>
                      <w:color w:val="auto"/>
                      <w:szCs w:val="21"/>
                    </w:rPr>
                  </w:pPr>
                  <w:r>
                    <w:rPr>
                      <w:rFonts w:hint="eastAsia"/>
                      <w:color w:val="auto"/>
                      <w:szCs w:val="21"/>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Align w:val="center"/>
                </w:tcPr>
                <w:p>
                  <w:pPr>
                    <w:snapToGrid w:val="0"/>
                    <w:spacing w:line="300" w:lineRule="exact"/>
                    <w:jc w:val="center"/>
                    <w:rPr>
                      <w:color w:val="auto"/>
                      <w:szCs w:val="21"/>
                    </w:rPr>
                  </w:pPr>
                </w:p>
              </w:tc>
              <w:tc>
                <w:tcPr>
                  <w:tcW w:w="1064" w:type="dxa"/>
                  <w:vAlign w:val="center"/>
                </w:tcPr>
                <w:p>
                  <w:pPr>
                    <w:snapToGrid w:val="0"/>
                    <w:spacing w:line="300" w:lineRule="exact"/>
                    <w:jc w:val="center"/>
                    <w:rPr>
                      <w:color w:val="auto"/>
                      <w:szCs w:val="21"/>
                    </w:rPr>
                  </w:pPr>
                  <w:r>
                    <w:rPr>
                      <w:rFonts w:hint="eastAsia"/>
                      <w:color w:val="auto"/>
                      <w:szCs w:val="21"/>
                    </w:rPr>
                    <w:t>其他</w:t>
                  </w:r>
                </w:p>
              </w:tc>
              <w:tc>
                <w:tcPr>
                  <w:tcW w:w="5057" w:type="dxa"/>
                  <w:vAlign w:val="center"/>
                </w:tcPr>
                <w:p>
                  <w:pPr>
                    <w:snapToGrid w:val="0"/>
                    <w:spacing w:line="300" w:lineRule="exact"/>
                    <w:jc w:val="center"/>
                    <w:rPr>
                      <w:color w:val="auto"/>
                      <w:szCs w:val="21"/>
                    </w:rPr>
                  </w:pPr>
                  <w:r>
                    <w:rPr>
                      <w:rFonts w:hint="eastAsia"/>
                      <w:color w:val="auto"/>
                      <w:szCs w:val="21"/>
                    </w:rPr>
                    <w:t>绿化</w:t>
                  </w:r>
                </w:p>
              </w:tc>
              <w:tc>
                <w:tcPr>
                  <w:tcW w:w="1211" w:type="dxa"/>
                  <w:vAlign w:val="center"/>
                </w:tcPr>
                <w:p>
                  <w:pPr>
                    <w:snapToGrid w:val="0"/>
                    <w:spacing w:line="300" w:lineRule="exact"/>
                    <w:jc w:val="center"/>
                    <w:rPr>
                      <w:color w:val="auto"/>
                      <w:szCs w:val="21"/>
                    </w:rPr>
                  </w:pPr>
                  <w:r>
                    <w:rPr>
                      <w:rFonts w:hint="eastAsia"/>
                      <w:color w:val="auto"/>
                      <w:szCs w:val="21"/>
                    </w:rPr>
                    <w:t>20.0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909" w:type="dxa"/>
                  <w:vAlign w:val="center"/>
                </w:tcPr>
                <w:p>
                  <w:pPr>
                    <w:snapToGrid w:val="0"/>
                    <w:spacing w:line="300" w:lineRule="exact"/>
                    <w:jc w:val="center"/>
                    <w:rPr>
                      <w:color w:val="auto"/>
                      <w:szCs w:val="21"/>
                    </w:rPr>
                  </w:pPr>
                </w:p>
              </w:tc>
              <w:tc>
                <w:tcPr>
                  <w:tcW w:w="6121" w:type="dxa"/>
                  <w:gridSpan w:val="2"/>
                  <w:vAlign w:val="center"/>
                </w:tcPr>
                <w:p>
                  <w:pPr>
                    <w:snapToGrid w:val="0"/>
                    <w:spacing w:line="300" w:lineRule="exact"/>
                    <w:jc w:val="center"/>
                    <w:rPr>
                      <w:color w:val="auto"/>
                      <w:szCs w:val="21"/>
                    </w:rPr>
                  </w:pPr>
                  <w:r>
                    <w:rPr>
                      <w:color w:val="auto"/>
                      <w:szCs w:val="21"/>
                    </w:rPr>
                    <w:t>合  计</w:t>
                  </w:r>
                </w:p>
              </w:tc>
              <w:tc>
                <w:tcPr>
                  <w:tcW w:w="1211" w:type="dxa"/>
                </w:tcPr>
                <w:p>
                  <w:pPr>
                    <w:snapToGrid w:val="0"/>
                    <w:spacing w:line="300" w:lineRule="exact"/>
                    <w:jc w:val="center"/>
                    <w:rPr>
                      <w:rFonts w:hint="default"/>
                      <w:color w:val="auto"/>
                      <w:szCs w:val="21"/>
                      <w:lang w:val="en-US"/>
                    </w:rPr>
                  </w:pPr>
                  <w:r>
                    <w:rPr>
                      <w:rFonts w:hint="eastAsia"/>
                      <w:color w:val="auto"/>
                      <w:szCs w:val="21"/>
                      <w:lang w:val="en-US" w:eastAsia="zh-CN"/>
                    </w:rPr>
                    <w:t>91.5</w:t>
                  </w:r>
                </w:p>
              </w:tc>
            </w:tr>
          </w:tbl>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2"/>
              <w:rPr>
                <w:color w:val="auto"/>
              </w:rPr>
            </w:pP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6"/>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15" w:name="_Hlk54167917"/>
      <w:r>
        <w:rPr>
          <w:rFonts w:hint="eastAsia" w:ascii="黑体" w:hAnsi="黑体" w:eastAsia="黑体"/>
          <w:snapToGrid w:val="0"/>
          <w:sz w:val="30"/>
          <w:szCs w:val="30"/>
        </w:rPr>
        <w:t>环境保护措施监督检查清单</w:t>
      </w:r>
      <w:bookmarkEnd w:id="15"/>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077"/>
        <w:gridCol w:w="1376"/>
        <w:gridCol w:w="1701"/>
        <w:gridCol w:w="2945"/>
        <w:gridCol w:w="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78" w:type="dxa"/>
            <w:tcBorders>
              <w:tl2br w:val="single" w:color="auto" w:sz="4" w:space="0"/>
            </w:tcBorders>
          </w:tcPr>
          <w:p>
            <w:pPr>
              <w:adjustRightInd w:val="0"/>
              <w:snapToGrid w:val="0"/>
              <w:ind w:firstLine="840"/>
              <w:rPr>
                <w:color w:val="auto"/>
                <w:szCs w:val="21"/>
              </w:rPr>
            </w:pPr>
            <w:r>
              <w:rPr>
                <w:color w:val="auto"/>
                <w:szCs w:val="21"/>
              </w:rPr>
              <w:t>内容</w:t>
            </w:r>
          </w:p>
          <w:p>
            <w:pPr>
              <w:adjustRightInd w:val="0"/>
              <w:snapToGrid w:val="0"/>
              <w:rPr>
                <w:color w:val="auto"/>
                <w:szCs w:val="21"/>
              </w:rPr>
            </w:pPr>
            <w:r>
              <w:rPr>
                <w:color w:val="auto"/>
                <w:szCs w:val="21"/>
              </w:rPr>
              <w:t>要素</w:t>
            </w:r>
          </w:p>
        </w:tc>
        <w:tc>
          <w:tcPr>
            <w:tcW w:w="1077" w:type="dxa"/>
            <w:vAlign w:val="center"/>
          </w:tcPr>
          <w:p>
            <w:pPr>
              <w:adjustRightInd w:val="0"/>
              <w:snapToGrid w:val="0"/>
              <w:jc w:val="center"/>
              <w:rPr>
                <w:color w:val="auto"/>
                <w:szCs w:val="21"/>
              </w:rPr>
            </w:pPr>
            <w:r>
              <w:rPr>
                <w:color w:val="auto"/>
                <w:szCs w:val="21"/>
              </w:rPr>
              <w:t>排放口</w:t>
            </w:r>
            <w:r>
              <w:rPr>
                <w:rFonts w:hint="eastAsia"/>
                <w:color w:val="auto"/>
                <w:szCs w:val="21"/>
              </w:rPr>
              <w:t>（</w:t>
            </w:r>
            <w:r>
              <w:rPr>
                <w:color w:val="auto"/>
                <w:szCs w:val="21"/>
              </w:rPr>
              <w:t>编号、</w:t>
            </w:r>
          </w:p>
          <w:p>
            <w:pPr>
              <w:adjustRightInd w:val="0"/>
              <w:snapToGrid w:val="0"/>
              <w:jc w:val="center"/>
              <w:rPr>
                <w:color w:val="auto"/>
                <w:szCs w:val="21"/>
              </w:rPr>
            </w:pPr>
            <w:r>
              <w:rPr>
                <w:color w:val="auto"/>
                <w:szCs w:val="21"/>
              </w:rPr>
              <w:t>名称</w:t>
            </w:r>
            <w:r>
              <w:rPr>
                <w:rFonts w:hint="eastAsia"/>
                <w:color w:val="auto"/>
                <w:szCs w:val="21"/>
              </w:rPr>
              <w:t>）</w:t>
            </w:r>
            <w:r>
              <w:rPr>
                <w:color w:val="auto"/>
                <w:szCs w:val="21"/>
              </w:rPr>
              <w:t>/污染源</w:t>
            </w:r>
          </w:p>
        </w:tc>
        <w:tc>
          <w:tcPr>
            <w:tcW w:w="1376" w:type="dxa"/>
            <w:vAlign w:val="center"/>
          </w:tcPr>
          <w:p>
            <w:pPr>
              <w:adjustRightInd w:val="0"/>
              <w:snapToGrid w:val="0"/>
              <w:jc w:val="center"/>
              <w:rPr>
                <w:color w:val="auto"/>
                <w:szCs w:val="21"/>
              </w:rPr>
            </w:pPr>
            <w:r>
              <w:rPr>
                <w:color w:val="auto"/>
                <w:szCs w:val="21"/>
              </w:rPr>
              <w:t>污染物项目</w:t>
            </w:r>
          </w:p>
        </w:tc>
        <w:tc>
          <w:tcPr>
            <w:tcW w:w="1701" w:type="dxa"/>
            <w:vAlign w:val="center"/>
          </w:tcPr>
          <w:p>
            <w:pPr>
              <w:adjustRightInd w:val="0"/>
              <w:snapToGrid w:val="0"/>
              <w:jc w:val="center"/>
              <w:rPr>
                <w:color w:val="auto"/>
                <w:szCs w:val="21"/>
              </w:rPr>
            </w:pPr>
            <w:r>
              <w:rPr>
                <w:color w:val="auto"/>
                <w:szCs w:val="21"/>
              </w:rPr>
              <w:t>环境保护措施</w:t>
            </w:r>
          </w:p>
        </w:tc>
        <w:tc>
          <w:tcPr>
            <w:tcW w:w="2945" w:type="dxa"/>
            <w:vAlign w:val="center"/>
          </w:tcPr>
          <w:p>
            <w:pPr>
              <w:adjustRightInd w:val="0"/>
              <w:snapToGrid w:val="0"/>
              <w:jc w:val="center"/>
              <w:rPr>
                <w:color w:val="auto"/>
                <w:szCs w:val="21"/>
              </w:rPr>
            </w:pPr>
            <w:r>
              <w:rPr>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823" w:hRule="atLeast"/>
          <w:jc w:val="center"/>
        </w:trPr>
        <w:tc>
          <w:tcPr>
            <w:tcW w:w="1778" w:type="dxa"/>
            <w:vMerge w:val="restart"/>
            <w:vAlign w:val="center"/>
          </w:tcPr>
          <w:p>
            <w:pPr>
              <w:adjustRightInd w:val="0"/>
              <w:snapToGrid w:val="0"/>
              <w:jc w:val="center"/>
              <w:rPr>
                <w:color w:val="auto"/>
                <w:szCs w:val="21"/>
              </w:rPr>
            </w:pPr>
            <w:r>
              <w:rPr>
                <w:color w:val="auto"/>
                <w:szCs w:val="21"/>
              </w:rPr>
              <w:t>大气环境</w:t>
            </w:r>
          </w:p>
        </w:tc>
        <w:tc>
          <w:tcPr>
            <w:tcW w:w="1077" w:type="dxa"/>
            <w:vAlign w:val="center"/>
          </w:tcPr>
          <w:p>
            <w:pPr>
              <w:adjustRightInd w:val="0"/>
              <w:snapToGrid w:val="0"/>
              <w:jc w:val="center"/>
              <w:rPr>
                <w:color w:val="auto"/>
                <w:szCs w:val="21"/>
              </w:rPr>
            </w:pPr>
            <w:r>
              <w:rPr>
                <w:rFonts w:hint="eastAsia"/>
                <w:color w:val="auto"/>
                <w:szCs w:val="21"/>
              </w:rPr>
              <w:t>筒仓排气口</w:t>
            </w:r>
          </w:p>
        </w:tc>
        <w:tc>
          <w:tcPr>
            <w:tcW w:w="1376" w:type="dxa"/>
            <w:vAlign w:val="center"/>
          </w:tcPr>
          <w:p>
            <w:pPr>
              <w:adjustRightInd w:val="0"/>
              <w:snapToGrid w:val="0"/>
              <w:jc w:val="center"/>
              <w:rPr>
                <w:color w:val="auto"/>
                <w:szCs w:val="21"/>
              </w:rPr>
            </w:pPr>
            <w:r>
              <w:rPr>
                <w:color w:val="auto"/>
                <w:szCs w:val="21"/>
              </w:rPr>
              <w:t>颗粒物</w:t>
            </w:r>
          </w:p>
        </w:tc>
        <w:tc>
          <w:tcPr>
            <w:tcW w:w="1701" w:type="dxa"/>
            <w:vAlign w:val="center"/>
          </w:tcPr>
          <w:p>
            <w:pPr>
              <w:adjustRightInd w:val="0"/>
              <w:snapToGrid w:val="0"/>
              <w:jc w:val="center"/>
              <w:rPr>
                <w:color w:val="auto"/>
                <w:szCs w:val="21"/>
              </w:rPr>
            </w:pPr>
            <w:r>
              <w:rPr>
                <w:rFonts w:hint="eastAsia"/>
                <w:color w:val="auto"/>
                <w:szCs w:val="21"/>
              </w:rPr>
              <w:t>6套脉冲除尘器（处理效率99.7%）+15m高排气筒</w:t>
            </w:r>
          </w:p>
        </w:tc>
        <w:tc>
          <w:tcPr>
            <w:tcW w:w="2945" w:type="dxa"/>
            <w:vMerge w:val="restart"/>
            <w:vAlign w:val="center"/>
          </w:tcPr>
          <w:p>
            <w:pPr>
              <w:adjustRightInd w:val="0"/>
              <w:snapToGrid w:val="0"/>
              <w:jc w:val="center"/>
              <w:rPr>
                <w:color w:val="auto"/>
                <w:szCs w:val="21"/>
              </w:rPr>
            </w:pPr>
            <w:r>
              <w:rPr>
                <w:color w:val="auto"/>
                <w:szCs w:val="21"/>
              </w:rPr>
              <w:t>《水泥工业大气污染物排放标准》（GB4915-2013）表3无组织排放浓度限值</w:t>
            </w: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823" w:hRule="atLeast"/>
          <w:jc w:val="center"/>
        </w:trPr>
        <w:tc>
          <w:tcPr>
            <w:tcW w:w="1778" w:type="dxa"/>
            <w:vMerge w:val="continue"/>
            <w:vAlign w:val="center"/>
          </w:tcPr>
          <w:p>
            <w:pPr>
              <w:adjustRightInd w:val="0"/>
              <w:snapToGrid w:val="0"/>
              <w:jc w:val="center"/>
              <w:rPr>
                <w:color w:val="auto"/>
                <w:szCs w:val="21"/>
              </w:rPr>
            </w:pPr>
          </w:p>
        </w:tc>
        <w:tc>
          <w:tcPr>
            <w:tcW w:w="1077" w:type="dxa"/>
            <w:vAlign w:val="center"/>
          </w:tcPr>
          <w:p>
            <w:pPr>
              <w:adjustRightInd w:val="0"/>
              <w:snapToGrid w:val="0"/>
              <w:jc w:val="center"/>
              <w:rPr>
                <w:color w:val="auto"/>
                <w:szCs w:val="21"/>
              </w:rPr>
            </w:pPr>
            <w:r>
              <w:rPr>
                <w:rFonts w:hint="eastAsia"/>
                <w:color w:val="auto"/>
                <w:szCs w:val="21"/>
              </w:rPr>
              <w:t>搅拌楼废气</w:t>
            </w:r>
          </w:p>
        </w:tc>
        <w:tc>
          <w:tcPr>
            <w:tcW w:w="1376" w:type="dxa"/>
            <w:vAlign w:val="center"/>
          </w:tcPr>
          <w:p>
            <w:pPr>
              <w:adjustRightInd w:val="0"/>
              <w:snapToGrid w:val="0"/>
              <w:jc w:val="center"/>
              <w:rPr>
                <w:color w:val="auto"/>
                <w:szCs w:val="21"/>
              </w:rPr>
            </w:pPr>
            <w:r>
              <w:rPr>
                <w:rFonts w:hint="eastAsia"/>
                <w:color w:val="auto"/>
                <w:szCs w:val="21"/>
              </w:rPr>
              <w:t>颗粒物</w:t>
            </w:r>
          </w:p>
        </w:tc>
        <w:tc>
          <w:tcPr>
            <w:tcW w:w="1701" w:type="dxa"/>
            <w:vAlign w:val="center"/>
          </w:tcPr>
          <w:p>
            <w:pPr>
              <w:adjustRightInd w:val="0"/>
              <w:snapToGrid w:val="0"/>
              <w:jc w:val="center"/>
              <w:rPr>
                <w:color w:val="auto"/>
                <w:szCs w:val="21"/>
              </w:rPr>
            </w:pPr>
            <w:r>
              <w:rPr>
                <w:rFonts w:hint="eastAsia"/>
                <w:color w:val="auto"/>
                <w:szCs w:val="21"/>
              </w:rPr>
              <w:t>搅拌楼全密闭，自带滤芯式除尘器</w:t>
            </w:r>
          </w:p>
        </w:tc>
        <w:tc>
          <w:tcPr>
            <w:tcW w:w="2945" w:type="dxa"/>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78" w:type="dxa"/>
            <w:vMerge w:val="continue"/>
            <w:vAlign w:val="center"/>
          </w:tcPr>
          <w:p>
            <w:pPr>
              <w:adjustRightInd w:val="0"/>
              <w:snapToGrid w:val="0"/>
              <w:jc w:val="center"/>
              <w:rPr>
                <w:color w:val="auto"/>
                <w:szCs w:val="21"/>
              </w:rPr>
            </w:pPr>
          </w:p>
        </w:tc>
        <w:tc>
          <w:tcPr>
            <w:tcW w:w="1077" w:type="dxa"/>
            <w:vAlign w:val="center"/>
          </w:tcPr>
          <w:p>
            <w:pPr>
              <w:adjustRightInd w:val="0"/>
              <w:snapToGrid w:val="0"/>
              <w:jc w:val="center"/>
              <w:rPr>
                <w:color w:val="auto"/>
                <w:szCs w:val="21"/>
              </w:rPr>
            </w:pPr>
            <w:r>
              <w:rPr>
                <w:rFonts w:hint="eastAsia" w:hAnsi="宋体"/>
                <w:color w:val="auto"/>
                <w:szCs w:val="21"/>
              </w:rPr>
              <w:t>砂石料堆存和运输产生的无组织颗粒物</w:t>
            </w:r>
          </w:p>
        </w:tc>
        <w:tc>
          <w:tcPr>
            <w:tcW w:w="1376" w:type="dxa"/>
            <w:vAlign w:val="center"/>
          </w:tcPr>
          <w:p>
            <w:pPr>
              <w:adjustRightInd w:val="0"/>
              <w:snapToGrid w:val="0"/>
              <w:jc w:val="center"/>
              <w:rPr>
                <w:color w:val="auto"/>
                <w:szCs w:val="21"/>
              </w:rPr>
            </w:pPr>
            <w:r>
              <w:rPr>
                <w:rFonts w:hint="eastAsia"/>
                <w:color w:val="auto"/>
                <w:szCs w:val="21"/>
              </w:rPr>
              <w:t>颗粒物</w:t>
            </w:r>
          </w:p>
        </w:tc>
        <w:tc>
          <w:tcPr>
            <w:tcW w:w="1701" w:type="dxa"/>
            <w:vAlign w:val="center"/>
          </w:tcPr>
          <w:p>
            <w:pPr>
              <w:adjustRightInd w:val="0"/>
              <w:snapToGrid w:val="0"/>
              <w:jc w:val="center"/>
              <w:rPr>
                <w:color w:val="auto"/>
                <w:szCs w:val="21"/>
              </w:rPr>
            </w:pPr>
            <w:r>
              <w:rPr>
                <w:rFonts w:hint="eastAsia"/>
                <w:color w:val="auto"/>
                <w:lang w:val="en-US" w:eastAsia="zh-CN"/>
              </w:rPr>
              <w:t>建设半封闭原料库房</w:t>
            </w:r>
            <w:r>
              <w:rPr>
                <w:rFonts w:hint="eastAsia"/>
                <w:color w:val="auto"/>
                <w:szCs w:val="21"/>
              </w:rPr>
              <w:t>，定期洒水；厂区道路洒水、车辆冲洗，苫盖篷布，输送皮带全密闭</w:t>
            </w:r>
          </w:p>
        </w:tc>
        <w:tc>
          <w:tcPr>
            <w:tcW w:w="2945" w:type="dxa"/>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46" w:hRule="atLeast"/>
          <w:jc w:val="center"/>
        </w:trPr>
        <w:tc>
          <w:tcPr>
            <w:tcW w:w="1778" w:type="dxa"/>
            <w:vMerge w:val="restart"/>
            <w:vAlign w:val="center"/>
          </w:tcPr>
          <w:p>
            <w:pPr>
              <w:adjustRightInd w:val="0"/>
              <w:snapToGrid w:val="0"/>
              <w:jc w:val="center"/>
              <w:rPr>
                <w:color w:val="auto"/>
                <w:szCs w:val="21"/>
              </w:rPr>
            </w:pPr>
            <w:r>
              <w:rPr>
                <w:color w:val="auto"/>
                <w:szCs w:val="21"/>
              </w:rPr>
              <w:t>地表水环境</w:t>
            </w:r>
          </w:p>
        </w:tc>
        <w:tc>
          <w:tcPr>
            <w:tcW w:w="1077" w:type="dxa"/>
            <w:vMerge w:val="restart"/>
            <w:vAlign w:val="center"/>
          </w:tcPr>
          <w:p>
            <w:pPr>
              <w:adjustRightInd w:val="0"/>
              <w:snapToGrid w:val="0"/>
              <w:jc w:val="center"/>
              <w:rPr>
                <w:color w:val="auto"/>
                <w:szCs w:val="21"/>
              </w:rPr>
            </w:pPr>
            <w:r>
              <w:rPr>
                <w:color w:val="auto"/>
                <w:szCs w:val="21"/>
              </w:rPr>
              <w:t>生活</w:t>
            </w:r>
            <w:r>
              <w:rPr>
                <w:rFonts w:hint="eastAsia"/>
                <w:color w:val="auto"/>
                <w:szCs w:val="21"/>
              </w:rPr>
              <w:t>污水</w:t>
            </w:r>
          </w:p>
        </w:tc>
        <w:tc>
          <w:tcPr>
            <w:tcW w:w="1376" w:type="dxa"/>
            <w:vAlign w:val="center"/>
          </w:tcPr>
          <w:p>
            <w:pPr>
              <w:adjustRightInd w:val="0"/>
              <w:snapToGrid w:val="0"/>
              <w:jc w:val="center"/>
              <w:rPr>
                <w:color w:val="auto"/>
                <w:szCs w:val="21"/>
              </w:rPr>
            </w:pPr>
            <w:r>
              <w:rPr>
                <w:color w:val="auto"/>
                <w:szCs w:val="21"/>
              </w:rPr>
              <w:t>COD</w:t>
            </w:r>
          </w:p>
        </w:tc>
        <w:tc>
          <w:tcPr>
            <w:tcW w:w="4646" w:type="dxa"/>
            <w:gridSpan w:val="2"/>
            <w:vMerge w:val="restart"/>
            <w:vAlign w:val="center"/>
          </w:tcPr>
          <w:p>
            <w:pPr>
              <w:adjustRightInd w:val="0"/>
              <w:snapToGrid w:val="0"/>
              <w:jc w:val="center"/>
              <w:rPr>
                <w:b/>
                <w:bCs/>
                <w:color w:val="auto"/>
                <w:szCs w:val="21"/>
              </w:rPr>
            </w:pPr>
            <w:r>
              <w:rPr>
                <w:rFonts w:hint="eastAsia"/>
                <w:color w:val="auto"/>
              </w:rPr>
              <w:t>职工生活污水经防渗化粪池收集后定期委托相关单位拉运至奎屯市中区污水处理厂进行处理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36" w:hRule="atLeast"/>
          <w:jc w:val="center"/>
        </w:trPr>
        <w:tc>
          <w:tcPr>
            <w:tcW w:w="1778" w:type="dxa"/>
            <w:vMerge w:val="continue"/>
            <w:vAlign w:val="center"/>
          </w:tcPr>
          <w:p>
            <w:pPr>
              <w:adjustRightInd w:val="0"/>
              <w:snapToGrid w:val="0"/>
              <w:jc w:val="center"/>
              <w:rPr>
                <w:color w:val="auto"/>
                <w:szCs w:val="21"/>
              </w:rPr>
            </w:pPr>
          </w:p>
        </w:tc>
        <w:tc>
          <w:tcPr>
            <w:tcW w:w="1077" w:type="dxa"/>
            <w:vMerge w:val="continue"/>
            <w:vAlign w:val="center"/>
          </w:tcPr>
          <w:p>
            <w:pPr>
              <w:adjustRightInd w:val="0"/>
              <w:snapToGrid w:val="0"/>
              <w:jc w:val="center"/>
              <w:rPr>
                <w:color w:val="auto"/>
                <w:szCs w:val="21"/>
              </w:rPr>
            </w:pPr>
          </w:p>
        </w:tc>
        <w:tc>
          <w:tcPr>
            <w:tcW w:w="1376" w:type="dxa"/>
            <w:vAlign w:val="center"/>
          </w:tcPr>
          <w:p>
            <w:pPr>
              <w:adjustRightInd w:val="0"/>
              <w:snapToGrid w:val="0"/>
              <w:jc w:val="center"/>
              <w:rPr>
                <w:color w:val="auto"/>
                <w:szCs w:val="21"/>
              </w:rPr>
            </w:pPr>
            <w:r>
              <w:rPr>
                <w:color w:val="auto"/>
                <w:szCs w:val="21"/>
              </w:rPr>
              <w:t>BOD</w:t>
            </w:r>
            <w:r>
              <w:rPr>
                <w:color w:val="auto"/>
                <w:szCs w:val="21"/>
                <w:vertAlign w:val="subscript"/>
              </w:rPr>
              <w:t>5</w:t>
            </w:r>
          </w:p>
        </w:tc>
        <w:tc>
          <w:tcPr>
            <w:tcW w:w="4646" w:type="dxa"/>
            <w:gridSpan w:val="2"/>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1" w:hRule="atLeast"/>
          <w:jc w:val="center"/>
        </w:trPr>
        <w:tc>
          <w:tcPr>
            <w:tcW w:w="1778" w:type="dxa"/>
            <w:vMerge w:val="continue"/>
            <w:vAlign w:val="center"/>
          </w:tcPr>
          <w:p>
            <w:pPr>
              <w:adjustRightInd w:val="0"/>
              <w:snapToGrid w:val="0"/>
              <w:jc w:val="center"/>
              <w:rPr>
                <w:color w:val="auto"/>
                <w:szCs w:val="21"/>
              </w:rPr>
            </w:pPr>
          </w:p>
        </w:tc>
        <w:tc>
          <w:tcPr>
            <w:tcW w:w="1077" w:type="dxa"/>
            <w:vMerge w:val="continue"/>
            <w:vAlign w:val="center"/>
          </w:tcPr>
          <w:p>
            <w:pPr>
              <w:adjustRightInd w:val="0"/>
              <w:snapToGrid w:val="0"/>
              <w:jc w:val="center"/>
              <w:rPr>
                <w:color w:val="auto"/>
                <w:szCs w:val="21"/>
              </w:rPr>
            </w:pPr>
          </w:p>
        </w:tc>
        <w:tc>
          <w:tcPr>
            <w:tcW w:w="1376" w:type="dxa"/>
            <w:vAlign w:val="center"/>
          </w:tcPr>
          <w:p>
            <w:pPr>
              <w:adjustRightInd w:val="0"/>
              <w:snapToGrid w:val="0"/>
              <w:jc w:val="center"/>
              <w:rPr>
                <w:color w:val="auto"/>
                <w:szCs w:val="21"/>
              </w:rPr>
            </w:pPr>
            <w:r>
              <w:rPr>
                <w:color w:val="auto"/>
                <w:szCs w:val="21"/>
              </w:rPr>
              <w:t>NH</w:t>
            </w:r>
            <w:r>
              <w:rPr>
                <w:color w:val="auto"/>
                <w:szCs w:val="21"/>
                <w:vertAlign w:val="subscript"/>
              </w:rPr>
              <w:t>3</w:t>
            </w:r>
            <w:r>
              <w:rPr>
                <w:color w:val="auto"/>
                <w:szCs w:val="21"/>
              </w:rPr>
              <w:t>-N</w:t>
            </w:r>
          </w:p>
        </w:tc>
        <w:tc>
          <w:tcPr>
            <w:tcW w:w="4646" w:type="dxa"/>
            <w:gridSpan w:val="2"/>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19" w:hRule="atLeast"/>
          <w:jc w:val="center"/>
        </w:trPr>
        <w:tc>
          <w:tcPr>
            <w:tcW w:w="1778" w:type="dxa"/>
            <w:vMerge w:val="continue"/>
            <w:vAlign w:val="center"/>
          </w:tcPr>
          <w:p>
            <w:pPr>
              <w:adjustRightInd w:val="0"/>
              <w:snapToGrid w:val="0"/>
              <w:jc w:val="center"/>
              <w:rPr>
                <w:color w:val="auto"/>
                <w:szCs w:val="21"/>
              </w:rPr>
            </w:pPr>
          </w:p>
        </w:tc>
        <w:tc>
          <w:tcPr>
            <w:tcW w:w="1077" w:type="dxa"/>
            <w:vMerge w:val="continue"/>
            <w:vAlign w:val="center"/>
          </w:tcPr>
          <w:p>
            <w:pPr>
              <w:adjustRightInd w:val="0"/>
              <w:snapToGrid w:val="0"/>
              <w:jc w:val="center"/>
              <w:rPr>
                <w:color w:val="auto"/>
                <w:szCs w:val="21"/>
              </w:rPr>
            </w:pPr>
          </w:p>
        </w:tc>
        <w:tc>
          <w:tcPr>
            <w:tcW w:w="1376" w:type="dxa"/>
            <w:vAlign w:val="center"/>
          </w:tcPr>
          <w:p>
            <w:pPr>
              <w:adjustRightInd w:val="0"/>
              <w:snapToGrid w:val="0"/>
              <w:jc w:val="center"/>
              <w:rPr>
                <w:color w:val="auto"/>
                <w:szCs w:val="21"/>
              </w:rPr>
            </w:pPr>
            <w:r>
              <w:rPr>
                <w:color w:val="auto"/>
                <w:szCs w:val="21"/>
              </w:rPr>
              <w:t>SS</w:t>
            </w:r>
          </w:p>
        </w:tc>
        <w:tc>
          <w:tcPr>
            <w:tcW w:w="4646" w:type="dxa"/>
            <w:gridSpan w:val="2"/>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17" w:hRule="atLeast"/>
          <w:jc w:val="center"/>
        </w:trPr>
        <w:tc>
          <w:tcPr>
            <w:tcW w:w="1778" w:type="dxa"/>
            <w:vMerge w:val="continue"/>
            <w:vAlign w:val="center"/>
          </w:tcPr>
          <w:p>
            <w:pPr>
              <w:adjustRightInd w:val="0"/>
              <w:snapToGrid w:val="0"/>
              <w:jc w:val="center"/>
              <w:rPr>
                <w:color w:val="auto"/>
                <w:szCs w:val="21"/>
              </w:rPr>
            </w:pPr>
          </w:p>
        </w:tc>
        <w:tc>
          <w:tcPr>
            <w:tcW w:w="1077" w:type="dxa"/>
            <w:vAlign w:val="center"/>
          </w:tcPr>
          <w:p>
            <w:pPr>
              <w:adjustRightInd w:val="0"/>
              <w:snapToGrid w:val="0"/>
              <w:jc w:val="center"/>
              <w:rPr>
                <w:color w:val="auto"/>
                <w:szCs w:val="21"/>
              </w:rPr>
            </w:pPr>
            <w:r>
              <w:rPr>
                <w:rFonts w:hint="eastAsia"/>
                <w:color w:val="auto"/>
                <w:szCs w:val="21"/>
              </w:rPr>
              <w:t>搅拌机清洗废水、车辆冲洗废水</w:t>
            </w:r>
          </w:p>
        </w:tc>
        <w:tc>
          <w:tcPr>
            <w:tcW w:w="1376" w:type="dxa"/>
            <w:vAlign w:val="center"/>
          </w:tcPr>
          <w:p>
            <w:pPr>
              <w:adjustRightInd w:val="0"/>
              <w:snapToGrid w:val="0"/>
              <w:jc w:val="center"/>
              <w:rPr>
                <w:color w:val="auto"/>
                <w:szCs w:val="21"/>
              </w:rPr>
            </w:pPr>
            <w:r>
              <w:rPr>
                <w:color w:val="auto"/>
                <w:szCs w:val="21"/>
              </w:rPr>
              <w:t>SS</w:t>
            </w:r>
          </w:p>
        </w:tc>
        <w:tc>
          <w:tcPr>
            <w:tcW w:w="1701" w:type="dxa"/>
            <w:vAlign w:val="center"/>
          </w:tcPr>
          <w:p>
            <w:pPr>
              <w:adjustRightInd w:val="0"/>
              <w:snapToGrid w:val="0"/>
              <w:jc w:val="center"/>
              <w:rPr>
                <w:color w:val="auto"/>
                <w:szCs w:val="21"/>
              </w:rPr>
            </w:pPr>
            <w:r>
              <w:rPr>
                <w:rFonts w:hint="eastAsia"/>
                <w:color w:val="auto"/>
              </w:rPr>
              <w:t>经沉淀池沉淀处理后回用于混凝土生产用水</w:t>
            </w:r>
          </w:p>
        </w:tc>
        <w:tc>
          <w:tcPr>
            <w:tcW w:w="2945" w:type="dxa"/>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78" w:type="dxa"/>
            <w:vMerge w:val="restart"/>
            <w:vAlign w:val="center"/>
          </w:tcPr>
          <w:p>
            <w:pPr>
              <w:adjustRightInd w:val="0"/>
              <w:snapToGrid w:val="0"/>
              <w:jc w:val="center"/>
              <w:rPr>
                <w:color w:val="auto"/>
                <w:szCs w:val="21"/>
              </w:rPr>
            </w:pPr>
            <w:r>
              <w:rPr>
                <w:color w:val="auto"/>
                <w:szCs w:val="21"/>
              </w:rPr>
              <w:t>声环境</w:t>
            </w:r>
          </w:p>
        </w:tc>
        <w:tc>
          <w:tcPr>
            <w:tcW w:w="1077" w:type="dxa"/>
            <w:vAlign w:val="center"/>
          </w:tcPr>
          <w:p>
            <w:pPr>
              <w:adjustRightInd w:val="0"/>
              <w:snapToGrid w:val="0"/>
              <w:jc w:val="center"/>
              <w:rPr>
                <w:color w:val="auto"/>
                <w:szCs w:val="21"/>
              </w:rPr>
            </w:pPr>
            <w:r>
              <w:rPr>
                <w:rFonts w:hint="eastAsia"/>
                <w:color w:val="auto"/>
              </w:rPr>
              <w:t>搅拌机</w:t>
            </w:r>
          </w:p>
        </w:tc>
        <w:tc>
          <w:tcPr>
            <w:tcW w:w="1376" w:type="dxa"/>
            <w:vMerge w:val="restart"/>
            <w:vAlign w:val="center"/>
          </w:tcPr>
          <w:p>
            <w:pPr>
              <w:adjustRightInd w:val="0"/>
              <w:snapToGrid w:val="0"/>
              <w:jc w:val="center"/>
              <w:rPr>
                <w:color w:val="auto"/>
                <w:szCs w:val="21"/>
              </w:rPr>
            </w:pPr>
            <w:r>
              <w:rPr>
                <w:rFonts w:hint="eastAsia"/>
                <w:color w:val="auto"/>
                <w:szCs w:val="21"/>
              </w:rPr>
              <w:t>噪声</w:t>
            </w:r>
          </w:p>
        </w:tc>
        <w:tc>
          <w:tcPr>
            <w:tcW w:w="1701" w:type="dxa"/>
            <w:vMerge w:val="restart"/>
            <w:vAlign w:val="center"/>
          </w:tcPr>
          <w:p>
            <w:pPr>
              <w:adjustRightInd w:val="0"/>
              <w:snapToGrid w:val="0"/>
              <w:jc w:val="center"/>
              <w:rPr>
                <w:color w:val="auto"/>
                <w:szCs w:val="21"/>
              </w:rPr>
            </w:pPr>
            <w:r>
              <w:rPr>
                <w:color w:val="auto"/>
                <w:szCs w:val="21"/>
              </w:rPr>
              <w:t>橡胶减震接头、减震垫、选用低噪声</w:t>
            </w:r>
            <w:r>
              <w:rPr>
                <w:rFonts w:hint="eastAsia"/>
                <w:color w:val="auto"/>
                <w:szCs w:val="21"/>
              </w:rPr>
              <w:t>设备</w:t>
            </w:r>
          </w:p>
        </w:tc>
        <w:tc>
          <w:tcPr>
            <w:tcW w:w="2945" w:type="dxa"/>
            <w:vMerge w:val="restart"/>
            <w:vAlign w:val="center"/>
          </w:tcPr>
          <w:p>
            <w:pPr>
              <w:adjustRightInd w:val="0"/>
              <w:snapToGrid w:val="0"/>
              <w:jc w:val="center"/>
              <w:rPr>
                <w:color w:val="auto"/>
                <w:szCs w:val="21"/>
              </w:rPr>
            </w:pPr>
            <w:r>
              <w:rPr>
                <w:color w:val="auto"/>
                <w:szCs w:val="22"/>
              </w:rPr>
              <w:t>《工业企业厂界环境噪声排放标准》(GB12348-2008</w:t>
            </w:r>
            <w:r>
              <w:rPr>
                <w:rFonts w:hint="eastAsia"/>
                <w:color w:val="auto"/>
                <w:szCs w:val="22"/>
              </w:rPr>
              <w:t>）</w:t>
            </w:r>
            <w:r>
              <w:rPr>
                <w:color w:val="auto"/>
                <w:szCs w:val="22"/>
              </w:rPr>
              <w:t>中2类标准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78" w:type="dxa"/>
            <w:vMerge w:val="continue"/>
            <w:vAlign w:val="center"/>
          </w:tcPr>
          <w:p>
            <w:pPr>
              <w:adjustRightInd w:val="0"/>
              <w:snapToGrid w:val="0"/>
              <w:jc w:val="center"/>
              <w:rPr>
                <w:color w:val="auto"/>
                <w:szCs w:val="21"/>
              </w:rPr>
            </w:pPr>
          </w:p>
        </w:tc>
        <w:tc>
          <w:tcPr>
            <w:tcW w:w="1077" w:type="dxa"/>
            <w:vAlign w:val="center"/>
          </w:tcPr>
          <w:p>
            <w:pPr>
              <w:adjustRightInd w:val="0"/>
              <w:snapToGrid w:val="0"/>
              <w:jc w:val="center"/>
              <w:rPr>
                <w:color w:val="auto"/>
                <w:szCs w:val="21"/>
              </w:rPr>
            </w:pPr>
            <w:r>
              <w:rPr>
                <w:rFonts w:hint="eastAsia"/>
                <w:color w:val="auto"/>
              </w:rPr>
              <w:t>输送带</w:t>
            </w:r>
          </w:p>
        </w:tc>
        <w:tc>
          <w:tcPr>
            <w:tcW w:w="1376" w:type="dxa"/>
            <w:vMerge w:val="continue"/>
            <w:vAlign w:val="center"/>
          </w:tcPr>
          <w:p>
            <w:pPr>
              <w:adjustRightInd w:val="0"/>
              <w:snapToGrid w:val="0"/>
              <w:jc w:val="center"/>
              <w:rPr>
                <w:color w:val="auto"/>
                <w:szCs w:val="21"/>
              </w:rPr>
            </w:pPr>
          </w:p>
        </w:tc>
        <w:tc>
          <w:tcPr>
            <w:tcW w:w="1701" w:type="dxa"/>
            <w:vMerge w:val="continue"/>
            <w:vAlign w:val="center"/>
          </w:tcPr>
          <w:p>
            <w:pPr>
              <w:adjustRightInd w:val="0"/>
              <w:snapToGrid w:val="0"/>
              <w:jc w:val="center"/>
              <w:rPr>
                <w:color w:val="auto"/>
                <w:szCs w:val="21"/>
              </w:rPr>
            </w:pPr>
          </w:p>
        </w:tc>
        <w:tc>
          <w:tcPr>
            <w:tcW w:w="2945" w:type="dxa"/>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78" w:type="dxa"/>
            <w:vMerge w:val="continue"/>
            <w:vAlign w:val="center"/>
          </w:tcPr>
          <w:p>
            <w:pPr>
              <w:adjustRightInd w:val="0"/>
              <w:snapToGrid w:val="0"/>
              <w:jc w:val="center"/>
              <w:rPr>
                <w:color w:val="auto"/>
                <w:szCs w:val="21"/>
              </w:rPr>
            </w:pPr>
          </w:p>
        </w:tc>
        <w:tc>
          <w:tcPr>
            <w:tcW w:w="1077" w:type="dxa"/>
            <w:vAlign w:val="center"/>
          </w:tcPr>
          <w:p>
            <w:pPr>
              <w:adjustRightInd w:val="0"/>
              <w:snapToGrid w:val="0"/>
              <w:jc w:val="center"/>
              <w:rPr>
                <w:color w:val="auto"/>
                <w:szCs w:val="21"/>
              </w:rPr>
            </w:pPr>
            <w:r>
              <w:rPr>
                <w:rFonts w:hint="eastAsia"/>
                <w:color w:val="auto"/>
                <w:szCs w:val="21"/>
              </w:rPr>
              <w:t>泵类</w:t>
            </w:r>
          </w:p>
        </w:tc>
        <w:tc>
          <w:tcPr>
            <w:tcW w:w="1376" w:type="dxa"/>
            <w:vMerge w:val="continue"/>
            <w:vAlign w:val="center"/>
          </w:tcPr>
          <w:p>
            <w:pPr>
              <w:adjustRightInd w:val="0"/>
              <w:snapToGrid w:val="0"/>
              <w:jc w:val="center"/>
              <w:rPr>
                <w:color w:val="auto"/>
                <w:szCs w:val="21"/>
              </w:rPr>
            </w:pPr>
          </w:p>
        </w:tc>
        <w:tc>
          <w:tcPr>
            <w:tcW w:w="1701" w:type="dxa"/>
            <w:vMerge w:val="continue"/>
            <w:vAlign w:val="center"/>
          </w:tcPr>
          <w:p>
            <w:pPr>
              <w:adjustRightInd w:val="0"/>
              <w:snapToGrid w:val="0"/>
              <w:jc w:val="center"/>
              <w:rPr>
                <w:color w:val="auto"/>
                <w:szCs w:val="21"/>
              </w:rPr>
            </w:pPr>
          </w:p>
        </w:tc>
        <w:tc>
          <w:tcPr>
            <w:tcW w:w="2945" w:type="dxa"/>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78" w:type="dxa"/>
            <w:vMerge w:val="continue"/>
            <w:vAlign w:val="center"/>
          </w:tcPr>
          <w:p>
            <w:pPr>
              <w:adjustRightInd w:val="0"/>
              <w:snapToGrid w:val="0"/>
              <w:jc w:val="center"/>
              <w:rPr>
                <w:color w:val="auto"/>
                <w:szCs w:val="21"/>
              </w:rPr>
            </w:pPr>
          </w:p>
        </w:tc>
        <w:tc>
          <w:tcPr>
            <w:tcW w:w="1077" w:type="dxa"/>
            <w:vAlign w:val="center"/>
          </w:tcPr>
          <w:p>
            <w:pPr>
              <w:adjustRightInd w:val="0"/>
              <w:snapToGrid w:val="0"/>
              <w:jc w:val="center"/>
              <w:rPr>
                <w:color w:val="auto"/>
                <w:szCs w:val="21"/>
              </w:rPr>
            </w:pPr>
            <w:r>
              <w:rPr>
                <w:rFonts w:hint="eastAsia"/>
                <w:color w:val="auto"/>
                <w:szCs w:val="21"/>
              </w:rPr>
              <w:t>运输车辆</w:t>
            </w:r>
          </w:p>
        </w:tc>
        <w:tc>
          <w:tcPr>
            <w:tcW w:w="1376" w:type="dxa"/>
            <w:vMerge w:val="continue"/>
            <w:vAlign w:val="center"/>
          </w:tcPr>
          <w:p>
            <w:pPr>
              <w:adjustRightInd w:val="0"/>
              <w:snapToGrid w:val="0"/>
              <w:jc w:val="center"/>
              <w:rPr>
                <w:color w:val="auto"/>
                <w:szCs w:val="21"/>
              </w:rPr>
            </w:pPr>
          </w:p>
        </w:tc>
        <w:tc>
          <w:tcPr>
            <w:tcW w:w="1701" w:type="dxa"/>
            <w:vMerge w:val="continue"/>
            <w:vAlign w:val="center"/>
          </w:tcPr>
          <w:p>
            <w:pPr>
              <w:adjustRightInd w:val="0"/>
              <w:snapToGrid w:val="0"/>
              <w:jc w:val="center"/>
              <w:rPr>
                <w:color w:val="auto"/>
                <w:szCs w:val="21"/>
              </w:rPr>
            </w:pPr>
          </w:p>
        </w:tc>
        <w:tc>
          <w:tcPr>
            <w:tcW w:w="2945" w:type="dxa"/>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vAlign w:val="center"/>
          </w:tcPr>
          <w:p>
            <w:pPr>
              <w:adjustRightInd w:val="0"/>
              <w:snapToGrid w:val="0"/>
              <w:jc w:val="center"/>
              <w:rPr>
                <w:color w:val="auto"/>
                <w:szCs w:val="21"/>
              </w:rPr>
            </w:pPr>
            <w:r>
              <w:rPr>
                <w:color w:val="auto"/>
                <w:szCs w:val="21"/>
              </w:rPr>
              <w:t>电磁辐射</w:t>
            </w:r>
          </w:p>
        </w:tc>
        <w:tc>
          <w:tcPr>
            <w:tcW w:w="7120" w:type="dxa"/>
            <w:gridSpan w:val="5"/>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03" w:hRule="atLeast"/>
          <w:jc w:val="center"/>
        </w:trPr>
        <w:tc>
          <w:tcPr>
            <w:tcW w:w="1778" w:type="dxa"/>
            <w:vMerge w:val="restart"/>
            <w:vAlign w:val="center"/>
          </w:tcPr>
          <w:p>
            <w:pPr>
              <w:adjustRightInd w:val="0"/>
              <w:snapToGrid w:val="0"/>
              <w:jc w:val="center"/>
              <w:rPr>
                <w:color w:val="auto"/>
                <w:szCs w:val="21"/>
              </w:rPr>
            </w:pPr>
            <w:r>
              <w:rPr>
                <w:color w:val="auto"/>
                <w:szCs w:val="21"/>
              </w:rPr>
              <w:t>固体废物</w:t>
            </w:r>
          </w:p>
        </w:tc>
        <w:tc>
          <w:tcPr>
            <w:tcW w:w="1077" w:type="dxa"/>
            <w:vMerge w:val="restart"/>
            <w:vAlign w:val="center"/>
          </w:tcPr>
          <w:p>
            <w:pPr>
              <w:adjustRightInd w:val="0"/>
              <w:snapToGrid w:val="0"/>
              <w:jc w:val="center"/>
              <w:rPr>
                <w:color w:val="auto"/>
                <w:szCs w:val="21"/>
              </w:rPr>
            </w:pPr>
            <w:r>
              <w:rPr>
                <w:rFonts w:hint="eastAsia"/>
                <w:color w:val="auto"/>
                <w:szCs w:val="21"/>
              </w:rPr>
              <w:t>生产</w:t>
            </w:r>
          </w:p>
        </w:tc>
        <w:tc>
          <w:tcPr>
            <w:tcW w:w="1376" w:type="dxa"/>
            <w:vAlign w:val="center"/>
          </w:tcPr>
          <w:p>
            <w:pPr>
              <w:adjustRightInd w:val="0"/>
              <w:snapToGrid w:val="0"/>
              <w:jc w:val="center"/>
              <w:rPr>
                <w:color w:val="auto"/>
                <w:szCs w:val="21"/>
              </w:rPr>
            </w:pPr>
            <w:r>
              <w:rPr>
                <w:rFonts w:hint="eastAsia"/>
                <w:color w:val="auto"/>
                <w:szCs w:val="21"/>
              </w:rPr>
              <w:t>沉淀池沉渣</w:t>
            </w:r>
          </w:p>
        </w:tc>
        <w:tc>
          <w:tcPr>
            <w:tcW w:w="1701" w:type="dxa"/>
            <w:vMerge w:val="restart"/>
            <w:vAlign w:val="center"/>
          </w:tcPr>
          <w:p>
            <w:pPr>
              <w:adjustRightInd w:val="0"/>
              <w:snapToGrid w:val="0"/>
              <w:jc w:val="center"/>
              <w:rPr>
                <w:color w:val="auto"/>
                <w:szCs w:val="21"/>
              </w:rPr>
            </w:pPr>
            <w:r>
              <w:rPr>
                <w:rFonts w:hint="eastAsia"/>
                <w:color w:val="auto"/>
                <w:szCs w:val="21"/>
              </w:rPr>
              <w:t>回用于生产</w:t>
            </w:r>
          </w:p>
        </w:tc>
        <w:tc>
          <w:tcPr>
            <w:tcW w:w="2945" w:type="dxa"/>
            <w:vMerge w:val="restart"/>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96" w:hRule="atLeast"/>
          <w:jc w:val="center"/>
        </w:trPr>
        <w:tc>
          <w:tcPr>
            <w:tcW w:w="1778" w:type="dxa"/>
            <w:vMerge w:val="continue"/>
            <w:vAlign w:val="center"/>
          </w:tcPr>
          <w:p>
            <w:pPr>
              <w:adjustRightInd w:val="0"/>
              <w:snapToGrid w:val="0"/>
              <w:jc w:val="center"/>
              <w:rPr>
                <w:color w:val="auto"/>
              </w:rPr>
            </w:pPr>
          </w:p>
        </w:tc>
        <w:tc>
          <w:tcPr>
            <w:tcW w:w="1077" w:type="dxa"/>
            <w:vMerge w:val="continue"/>
            <w:vAlign w:val="center"/>
          </w:tcPr>
          <w:p>
            <w:pPr>
              <w:adjustRightInd w:val="0"/>
              <w:snapToGrid w:val="0"/>
              <w:jc w:val="center"/>
              <w:rPr>
                <w:color w:val="auto"/>
              </w:rPr>
            </w:pPr>
          </w:p>
        </w:tc>
        <w:tc>
          <w:tcPr>
            <w:tcW w:w="1376" w:type="dxa"/>
            <w:vAlign w:val="center"/>
          </w:tcPr>
          <w:p>
            <w:pPr>
              <w:adjustRightInd w:val="0"/>
              <w:snapToGrid w:val="0"/>
              <w:jc w:val="center"/>
              <w:rPr>
                <w:color w:val="auto"/>
                <w:szCs w:val="21"/>
              </w:rPr>
            </w:pPr>
            <w:r>
              <w:rPr>
                <w:rFonts w:hint="eastAsia"/>
                <w:color w:val="auto"/>
                <w:szCs w:val="21"/>
              </w:rPr>
              <w:t>除尘设备收集的粉尘</w:t>
            </w:r>
          </w:p>
        </w:tc>
        <w:tc>
          <w:tcPr>
            <w:tcW w:w="1701" w:type="dxa"/>
            <w:vMerge w:val="continue"/>
            <w:vAlign w:val="center"/>
          </w:tcPr>
          <w:p>
            <w:pPr>
              <w:adjustRightInd w:val="0"/>
              <w:snapToGrid w:val="0"/>
              <w:jc w:val="center"/>
              <w:rPr>
                <w:color w:val="auto"/>
                <w:szCs w:val="21"/>
              </w:rPr>
            </w:pPr>
          </w:p>
        </w:tc>
        <w:tc>
          <w:tcPr>
            <w:tcW w:w="2945" w:type="dxa"/>
            <w:vMerge w:val="continue"/>
            <w:vAlign w:val="center"/>
          </w:tcPr>
          <w:p>
            <w:pPr>
              <w:adjustRightInd w:val="0"/>
              <w:snapToGrid w:val="0"/>
              <w:jc w:val="center"/>
              <w:rPr>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96" w:hRule="atLeast"/>
          <w:jc w:val="center"/>
        </w:trPr>
        <w:tc>
          <w:tcPr>
            <w:tcW w:w="1778" w:type="dxa"/>
            <w:vMerge w:val="continue"/>
            <w:vAlign w:val="center"/>
          </w:tcPr>
          <w:p>
            <w:pPr>
              <w:adjustRightInd w:val="0"/>
              <w:snapToGrid w:val="0"/>
              <w:jc w:val="center"/>
              <w:rPr>
                <w:color w:val="auto"/>
              </w:rPr>
            </w:pPr>
          </w:p>
        </w:tc>
        <w:tc>
          <w:tcPr>
            <w:tcW w:w="1077" w:type="dxa"/>
            <w:vMerge w:val="continue"/>
            <w:vAlign w:val="center"/>
          </w:tcPr>
          <w:p>
            <w:pPr>
              <w:adjustRightInd w:val="0"/>
              <w:snapToGrid w:val="0"/>
              <w:jc w:val="center"/>
              <w:rPr>
                <w:color w:val="auto"/>
              </w:rPr>
            </w:pPr>
          </w:p>
        </w:tc>
        <w:tc>
          <w:tcPr>
            <w:tcW w:w="1376" w:type="dxa"/>
            <w:vAlign w:val="center"/>
          </w:tcPr>
          <w:p>
            <w:pPr>
              <w:adjustRightInd w:val="0"/>
              <w:snapToGrid w:val="0"/>
              <w:jc w:val="center"/>
              <w:rPr>
                <w:color w:val="auto"/>
                <w:szCs w:val="21"/>
              </w:rPr>
            </w:pPr>
            <w:r>
              <w:rPr>
                <w:rFonts w:hint="eastAsia"/>
                <w:color w:val="auto"/>
                <w:szCs w:val="21"/>
              </w:rPr>
              <w:t>钢筋边角料</w:t>
            </w:r>
          </w:p>
        </w:tc>
        <w:tc>
          <w:tcPr>
            <w:tcW w:w="1701" w:type="dxa"/>
            <w:vAlign w:val="center"/>
          </w:tcPr>
          <w:p>
            <w:pPr>
              <w:adjustRightInd w:val="0"/>
              <w:snapToGrid w:val="0"/>
              <w:jc w:val="center"/>
              <w:rPr>
                <w:color w:val="auto"/>
                <w:szCs w:val="21"/>
              </w:rPr>
            </w:pPr>
            <w:r>
              <w:rPr>
                <w:rFonts w:hint="eastAsia"/>
                <w:color w:val="auto"/>
                <w:szCs w:val="21"/>
              </w:rPr>
              <w:t>出售给废品回收站</w:t>
            </w:r>
          </w:p>
        </w:tc>
        <w:tc>
          <w:tcPr>
            <w:tcW w:w="2945" w:type="dxa"/>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96" w:hRule="atLeast"/>
          <w:jc w:val="center"/>
        </w:trPr>
        <w:tc>
          <w:tcPr>
            <w:tcW w:w="1778" w:type="dxa"/>
            <w:vMerge w:val="continue"/>
            <w:vAlign w:val="center"/>
          </w:tcPr>
          <w:p>
            <w:pPr>
              <w:adjustRightInd w:val="0"/>
              <w:snapToGrid w:val="0"/>
              <w:jc w:val="center"/>
              <w:rPr>
                <w:color w:val="auto"/>
              </w:rPr>
            </w:pPr>
          </w:p>
        </w:tc>
        <w:tc>
          <w:tcPr>
            <w:tcW w:w="1077" w:type="dxa"/>
            <w:vAlign w:val="center"/>
          </w:tcPr>
          <w:p>
            <w:pPr>
              <w:adjustRightInd w:val="0"/>
              <w:snapToGrid w:val="0"/>
              <w:jc w:val="center"/>
              <w:rPr>
                <w:color w:val="auto"/>
              </w:rPr>
            </w:pPr>
            <w:r>
              <w:rPr>
                <w:rFonts w:hint="eastAsia"/>
                <w:color w:val="auto"/>
              </w:rPr>
              <w:t>设备维修</w:t>
            </w:r>
          </w:p>
        </w:tc>
        <w:tc>
          <w:tcPr>
            <w:tcW w:w="1376" w:type="dxa"/>
            <w:vAlign w:val="center"/>
          </w:tcPr>
          <w:p>
            <w:pPr>
              <w:adjustRightInd w:val="0"/>
              <w:snapToGrid w:val="0"/>
              <w:jc w:val="center"/>
              <w:rPr>
                <w:color w:val="auto"/>
                <w:szCs w:val="21"/>
              </w:rPr>
            </w:pPr>
            <w:r>
              <w:rPr>
                <w:rFonts w:hint="eastAsia"/>
                <w:color w:val="auto"/>
                <w:szCs w:val="21"/>
              </w:rPr>
              <w:t>废润滑油及废油桶</w:t>
            </w:r>
          </w:p>
        </w:tc>
        <w:tc>
          <w:tcPr>
            <w:tcW w:w="1701" w:type="dxa"/>
            <w:vAlign w:val="center"/>
          </w:tcPr>
          <w:p>
            <w:pPr>
              <w:adjustRightInd w:val="0"/>
              <w:snapToGrid w:val="0"/>
              <w:jc w:val="center"/>
              <w:rPr>
                <w:color w:val="auto"/>
                <w:szCs w:val="21"/>
              </w:rPr>
            </w:pPr>
            <w:r>
              <w:rPr>
                <w:rFonts w:hint="eastAsia"/>
                <w:color w:val="auto"/>
                <w:szCs w:val="21"/>
              </w:rPr>
              <w:t>暂存于危废暂存间，定期交由有资质单位进行处置</w:t>
            </w:r>
          </w:p>
        </w:tc>
        <w:tc>
          <w:tcPr>
            <w:tcW w:w="2945" w:type="dxa"/>
            <w:vAlign w:val="center"/>
          </w:tcPr>
          <w:p>
            <w:pPr>
              <w:adjustRightInd w:val="0"/>
              <w:snapToGrid w:val="0"/>
              <w:jc w:val="center"/>
              <w:rPr>
                <w:color w:val="auto"/>
                <w:szCs w:val="21"/>
              </w:rPr>
            </w:pPr>
            <w:r>
              <w:rPr>
                <w:color w:val="auto"/>
                <w:szCs w:val="22"/>
              </w:rPr>
              <w:t>《危险废物贮存污染控制标准》（GB18597-20</w:t>
            </w:r>
            <w:r>
              <w:rPr>
                <w:rFonts w:hint="eastAsia"/>
                <w:color w:val="auto"/>
                <w:szCs w:val="22"/>
              </w:rPr>
              <w:t>23</w:t>
            </w:r>
            <w:r>
              <w:rPr>
                <w:color w:val="auto"/>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78" w:type="dxa"/>
            <w:vMerge w:val="continue"/>
            <w:vAlign w:val="center"/>
          </w:tcPr>
          <w:p>
            <w:pPr>
              <w:adjustRightInd w:val="0"/>
              <w:snapToGrid w:val="0"/>
              <w:jc w:val="center"/>
              <w:rPr>
                <w:color w:val="auto"/>
                <w:szCs w:val="21"/>
              </w:rPr>
            </w:pPr>
          </w:p>
        </w:tc>
        <w:tc>
          <w:tcPr>
            <w:tcW w:w="1077" w:type="dxa"/>
            <w:vAlign w:val="center"/>
          </w:tcPr>
          <w:p>
            <w:pPr>
              <w:adjustRightInd w:val="0"/>
              <w:snapToGrid w:val="0"/>
              <w:jc w:val="center"/>
              <w:rPr>
                <w:color w:val="auto"/>
                <w:szCs w:val="21"/>
              </w:rPr>
            </w:pPr>
            <w:r>
              <w:rPr>
                <w:rFonts w:hint="eastAsia"/>
                <w:color w:val="auto"/>
                <w:szCs w:val="21"/>
              </w:rPr>
              <w:t>生活</w:t>
            </w:r>
          </w:p>
        </w:tc>
        <w:tc>
          <w:tcPr>
            <w:tcW w:w="1376" w:type="dxa"/>
            <w:vAlign w:val="center"/>
          </w:tcPr>
          <w:p>
            <w:pPr>
              <w:adjustRightInd w:val="0"/>
              <w:snapToGrid w:val="0"/>
              <w:jc w:val="center"/>
              <w:rPr>
                <w:color w:val="auto"/>
                <w:szCs w:val="21"/>
              </w:rPr>
            </w:pPr>
            <w:r>
              <w:rPr>
                <w:rFonts w:hint="eastAsia"/>
                <w:color w:val="auto"/>
                <w:szCs w:val="21"/>
              </w:rPr>
              <w:t>生活垃圾</w:t>
            </w:r>
          </w:p>
        </w:tc>
        <w:tc>
          <w:tcPr>
            <w:tcW w:w="1701" w:type="dxa"/>
            <w:vAlign w:val="center"/>
          </w:tcPr>
          <w:p>
            <w:pPr>
              <w:adjustRightInd w:val="0"/>
              <w:snapToGrid w:val="0"/>
              <w:jc w:val="center"/>
              <w:rPr>
                <w:color w:val="auto"/>
                <w:szCs w:val="21"/>
              </w:rPr>
            </w:pPr>
            <w:r>
              <w:rPr>
                <w:rFonts w:hint="eastAsia"/>
                <w:color w:val="auto"/>
                <w:szCs w:val="21"/>
              </w:rPr>
              <w:t>集中收集后交由环卫部门统一处置</w:t>
            </w:r>
          </w:p>
        </w:tc>
        <w:tc>
          <w:tcPr>
            <w:tcW w:w="2945" w:type="dxa"/>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vAlign w:val="center"/>
          </w:tcPr>
          <w:p>
            <w:pPr>
              <w:adjustRightInd w:val="0"/>
              <w:snapToGrid w:val="0"/>
              <w:jc w:val="center"/>
              <w:rPr>
                <w:color w:val="auto"/>
                <w:szCs w:val="21"/>
              </w:rPr>
            </w:pPr>
            <w:r>
              <w:rPr>
                <w:color w:val="auto"/>
                <w:szCs w:val="21"/>
              </w:rPr>
              <w:t>土壤及地下水</w:t>
            </w:r>
          </w:p>
          <w:p>
            <w:pPr>
              <w:adjustRightInd w:val="0"/>
              <w:snapToGrid w:val="0"/>
              <w:jc w:val="center"/>
              <w:rPr>
                <w:color w:val="auto"/>
                <w:szCs w:val="21"/>
              </w:rPr>
            </w:pPr>
            <w:r>
              <w:rPr>
                <w:color w:val="auto"/>
                <w:szCs w:val="21"/>
              </w:rPr>
              <w:t>污染防治措施</w:t>
            </w:r>
          </w:p>
        </w:tc>
        <w:tc>
          <w:tcPr>
            <w:tcW w:w="7120" w:type="dxa"/>
            <w:gridSpan w:val="5"/>
            <w:vAlign w:val="center"/>
          </w:tcPr>
          <w:p>
            <w:pPr>
              <w:adjustRightInd w:val="0"/>
              <w:snapToGrid w:val="0"/>
              <w:jc w:val="center"/>
              <w:rPr>
                <w:rFonts w:hint="default"/>
                <w:color w:val="auto"/>
                <w:szCs w:val="21"/>
                <w:lang w:val="en-US"/>
              </w:rPr>
            </w:pPr>
            <w:r>
              <w:rPr>
                <w:rFonts w:hint="default" w:ascii="Times New Roman" w:hAnsi="Times New Roman" w:eastAsia="宋体" w:cs="Times New Roman"/>
                <w:color w:val="auto"/>
                <w:szCs w:val="21"/>
                <w:lang w:val="en-US" w:eastAsia="zh-CN"/>
              </w:rPr>
              <w:t>将</w:t>
            </w:r>
            <w:r>
              <w:rPr>
                <w:rFonts w:hint="eastAsia" w:ascii="Times New Roman" w:hAnsi="Times New Roman" w:eastAsia="宋体" w:cs="Times New Roman"/>
                <w:color w:val="auto"/>
                <w:szCs w:val="21"/>
                <w:lang w:val="en-US" w:eastAsia="zh-CN"/>
              </w:rPr>
              <w:t>危废暂存间划分为重点防渗区，将化粪池</w:t>
            </w:r>
            <w:r>
              <w:rPr>
                <w:rFonts w:hint="eastAsia" w:cs="Times New Roman"/>
                <w:color w:val="auto"/>
                <w:szCs w:val="21"/>
                <w:lang w:val="en-US" w:eastAsia="zh-CN"/>
              </w:rPr>
              <w:t>、</w:t>
            </w:r>
            <w:r>
              <w:rPr>
                <w:rFonts w:hint="default" w:ascii="Times New Roman" w:hAnsi="Times New Roman" w:eastAsia="宋体" w:cs="Times New Roman"/>
                <w:color w:val="auto"/>
                <w:szCs w:val="21"/>
                <w:lang w:val="en-US" w:eastAsia="zh-CN"/>
              </w:rPr>
              <w:t>混凝土拌合</w:t>
            </w:r>
            <w:r>
              <w:rPr>
                <w:rFonts w:hint="eastAsia" w:ascii="Times New Roman" w:hAnsi="Times New Roman" w:eastAsia="宋体" w:cs="Times New Roman"/>
                <w:color w:val="auto"/>
                <w:szCs w:val="21"/>
                <w:lang w:val="en-US" w:eastAsia="zh-CN"/>
              </w:rPr>
              <w:t>区</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预制构件生产及养护区、库房划分为一般防渗区</w:t>
            </w:r>
            <w:r>
              <w:rPr>
                <w:rFonts w:hint="default" w:ascii="Times New Roman" w:hAnsi="Times New Roman" w:eastAsia="宋体" w:cs="Times New Roman"/>
                <w:color w:val="auto"/>
                <w:szCs w:val="21"/>
                <w:lang w:val="en-US" w:eastAsia="zh-CN"/>
              </w:rPr>
              <w:t>，办公区</w:t>
            </w:r>
            <w:r>
              <w:rPr>
                <w:rFonts w:hint="eastAsia" w:ascii="Times New Roman" w:hAnsi="Times New Roman" w:eastAsia="宋体" w:cs="Times New Roman"/>
                <w:color w:val="auto"/>
                <w:szCs w:val="21"/>
                <w:lang w:val="en-US" w:eastAsia="zh-CN"/>
              </w:rPr>
              <w:t>及宿舍划分为</w:t>
            </w:r>
            <w:r>
              <w:rPr>
                <w:rFonts w:hint="default" w:ascii="Times New Roman" w:hAnsi="Times New Roman" w:eastAsia="宋体" w:cs="Times New Roman"/>
                <w:color w:val="auto"/>
                <w:szCs w:val="21"/>
                <w:lang w:val="en-US" w:eastAsia="zh-CN"/>
              </w:rPr>
              <w:t>简单防渗区</w:t>
            </w:r>
            <w:r>
              <w:rPr>
                <w:rFonts w:hint="eastAsia" w:ascii="Times New Roman" w:hAnsi="Times New Roman" w:eastAsia="宋体" w:cs="Times New Roman"/>
                <w:color w:val="auto"/>
                <w:szCs w:val="21"/>
                <w:lang w:val="en-US" w:eastAsia="zh-CN"/>
              </w:rPr>
              <w:t>，按照相关要求做好防渗。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vAlign w:val="center"/>
          </w:tcPr>
          <w:p>
            <w:pPr>
              <w:adjustRightInd w:val="0"/>
              <w:snapToGrid w:val="0"/>
              <w:jc w:val="center"/>
              <w:rPr>
                <w:color w:val="auto"/>
                <w:szCs w:val="21"/>
              </w:rPr>
            </w:pPr>
            <w:r>
              <w:rPr>
                <w:color w:val="auto"/>
                <w:szCs w:val="21"/>
              </w:rPr>
              <w:t>生态保护措施</w:t>
            </w:r>
          </w:p>
        </w:tc>
        <w:tc>
          <w:tcPr>
            <w:tcW w:w="7120" w:type="dxa"/>
            <w:gridSpan w:val="5"/>
            <w:vAlign w:val="center"/>
          </w:tcPr>
          <w:p>
            <w:pPr>
              <w:adjustRightInd w:val="0"/>
              <w:snapToGrid w:val="0"/>
              <w:jc w:val="center"/>
              <w:rPr>
                <w:color w:val="auto"/>
                <w:szCs w:val="21"/>
              </w:rPr>
            </w:pP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vAlign w:val="center"/>
          </w:tcPr>
          <w:p>
            <w:pPr>
              <w:adjustRightInd w:val="0"/>
              <w:snapToGrid w:val="0"/>
              <w:jc w:val="center"/>
              <w:rPr>
                <w:color w:val="auto"/>
                <w:spacing w:val="-8"/>
                <w:szCs w:val="21"/>
              </w:rPr>
            </w:pPr>
            <w:r>
              <w:rPr>
                <w:color w:val="auto"/>
                <w:spacing w:val="-8"/>
                <w:szCs w:val="21"/>
              </w:rPr>
              <w:t>环境风险</w:t>
            </w:r>
          </w:p>
          <w:p>
            <w:pPr>
              <w:adjustRightInd w:val="0"/>
              <w:snapToGrid w:val="0"/>
              <w:jc w:val="center"/>
              <w:rPr>
                <w:color w:val="auto"/>
                <w:spacing w:val="-8"/>
                <w:szCs w:val="21"/>
              </w:rPr>
            </w:pPr>
            <w:r>
              <w:rPr>
                <w:color w:val="auto"/>
                <w:spacing w:val="-8"/>
                <w:szCs w:val="21"/>
              </w:rPr>
              <w:t>防范措施</w:t>
            </w:r>
          </w:p>
        </w:tc>
        <w:tc>
          <w:tcPr>
            <w:tcW w:w="7120" w:type="dxa"/>
            <w:gridSpan w:val="5"/>
            <w:vAlign w:val="center"/>
          </w:tcPr>
          <w:p>
            <w:pPr>
              <w:adjustRightInd w:val="0"/>
              <w:snapToGrid w:val="0"/>
              <w:jc w:val="center"/>
              <w:rPr>
                <w:color w:val="auto"/>
                <w:szCs w:val="21"/>
              </w:rPr>
            </w:pPr>
            <w:r>
              <w:rPr>
                <w:rFonts w:hint="eastAsia"/>
                <w:color w:val="auto"/>
                <w:szCs w:val="21"/>
              </w:rPr>
              <w:t>设备设施定期检查维修，厂区设置围堰，防止混凝土</w:t>
            </w:r>
            <w:r>
              <w:rPr>
                <w:rFonts w:hint="eastAsia"/>
                <w:color w:val="auto"/>
                <w:szCs w:val="21"/>
                <w:lang w:val="en-US" w:eastAsia="zh-CN"/>
              </w:rPr>
              <w:t>及</w:t>
            </w:r>
            <w:r>
              <w:rPr>
                <w:rFonts w:hint="eastAsia"/>
                <w:color w:val="auto"/>
                <w:szCs w:val="21"/>
              </w:rPr>
              <w:t>润滑油泄露进一步扩大污染。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vAlign w:val="center"/>
          </w:tcPr>
          <w:p>
            <w:pPr>
              <w:adjustRightInd w:val="0"/>
              <w:snapToGrid w:val="0"/>
              <w:jc w:val="center"/>
              <w:rPr>
                <w:color w:val="auto"/>
                <w:spacing w:val="-8"/>
                <w:szCs w:val="21"/>
              </w:rPr>
            </w:pPr>
            <w:r>
              <w:rPr>
                <w:color w:val="auto"/>
                <w:spacing w:val="-8"/>
                <w:szCs w:val="21"/>
              </w:rPr>
              <w:t>其他环境</w:t>
            </w:r>
          </w:p>
          <w:p>
            <w:pPr>
              <w:adjustRightInd w:val="0"/>
              <w:snapToGrid w:val="0"/>
              <w:jc w:val="center"/>
              <w:rPr>
                <w:color w:val="auto"/>
                <w:spacing w:val="-8"/>
                <w:szCs w:val="21"/>
              </w:rPr>
            </w:pPr>
            <w:r>
              <w:rPr>
                <w:color w:val="auto"/>
                <w:spacing w:val="-8"/>
                <w:szCs w:val="21"/>
              </w:rPr>
              <w:t>管理要求</w:t>
            </w:r>
          </w:p>
        </w:tc>
        <w:tc>
          <w:tcPr>
            <w:tcW w:w="7120" w:type="dxa"/>
            <w:gridSpan w:val="5"/>
            <w:vAlign w:val="center"/>
          </w:tcPr>
          <w:p>
            <w:pPr>
              <w:adjustRightInd w:val="0"/>
              <w:snapToGrid w:val="0"/>
              <w:jc w:val="left"/>
              <w:rPr>
                <w:b/>
                <w:bCs/>
                <w:color w:val="auto"/>
                <w:szCs w:val="21"/>
              </w:rPr>
            </w:pPr>
            <w:r>
              <w:rPr>
                <w:rFonts w:hint="eastAsia"/>
                <w:b/>
                <w:bCs/>
                <w:color w:val="auto"/>
                <w:szCs w:val="21"/>
              </w:rPr>
              <w:t>排污许可证衔接：</w:t>
            </w:r>
          </w:p>
          <w:p>
            <w:pPr>
              <w:adjustRightInd w:val="0"/>
              <w:snapToGrid w:val="0"/>
              <w:jc w:val="left"/>
              <w:rPr>
                <w:color w:val="auto"/>
                <w:szCs w:val="21"/>
              </w:rPr>
            </w:pPr>
            <w:r>
              <w:rPr>
                <w:rFonts w:hint="eastAsia"/>
                <w:color w:val="auto"/>
                <w:szCs w:val="21"/>
              </w:rPr>
              <w:t>本项目属于水泥制品制造，依据《固定污染源排污许可分类管理名录（2019年版）》，排污许可类别为登记管理，不需要申请取得排污许可证，应当在全国排污许可证管理信息平台填报排污登记表，登记基本信息、污染物排放去向、执行的污染物排放标准以及采取的污染防治措施等信息。</w:t>
            </w:r>
          </w:p>
          <w:p>
            <w:pPr>
              <w:pStyle w:val="69"/>
              <w:ind w:firstLine="0" w:firstLineChars="0"/>
              <w:rPr>
                <w:b/>
                <w:bCs/>
                <w:color w:val="auto"/>
              </w:rPr>
            </w:pPr>
            <w:r>
              <w:rPr>
                <w:rFonts w:hint="eastAsia"/>
                <w:b/>
                <w:bCs/>
                <w:color w:val="auto"/>
              </w:rPr>
              <w:t>监测计划</w:t>
            </w:r>
          </w:p>
          <w:p>
            <w:pPr>
              <w:adjustRightInd w:val="0"/>
              <w:snapToGrid w:val="0"/>
              <w:jc w:val="left"/>
              <w:rPr>
                <w:color w:val="auto"/>
                <w:szCs w:val="21"/>
              </w:rPr>
            </w:pPr>
            <w:r>
              <w:rPr>
                <w:rFonts w:hint="eastAsia"/>
                <w:color w:val="auto"/>
                <w:szCs w:val="21"/>
              </w:rPr>
              <w:t>建设单位应根据《排污单位自行监测技术指南 总则》（HJ819-2017）、《排污许可证申请与核发技术规范  总则》（HJ942-2018）、《排污单位自行监测技术指南 水泥工业》（HJ848-2017），监测工作可委托有资质的环境监测单位代理监测，建设方应对监测数据进行数理统计、分析，建立监测数据档案，从而了解工程污染治理设施运行情况，确保环保治理设施常年有效地工作，使上级部门及时掌握工程污染治理动态，同时应将监测报告报当地生态环境主管部门备案。</w:t>
            </w:r>
          </w:p>
          <w:p>
            <w:pPr>
              <w:pStyle w:val="41"/>
              <w:rPr>
                <w:color w:val="auto"/>
              </w:rPr>
            </w:pPr>
          </w:p>
          <w:p>
            <w:pPr>
              <w:pStyle w:val="23"/>
              <w:ind w:left="420" w:hanging="420"/>
              <w:rPr>
                <w:color w:val="auto"/>
              </w:rPr>
            </w:pPr>
          </w:p>
          <w:p>
            <w:pPr>
              <w:rPr>
                <w:color w:val="auto"/>
              </w:rPr>
            </w:pPr>
          </w:p>
          <w:p>
            <w:pPr>
              <w:pStyle w:val="41"/>
              <w:rPr>
                <w:color w:val="auto"/>
              </w:rPr>
            </w:pPr>
          </w:p>
          <w:p>
            <w:pPr>
              <w:pStyle w:val="23"/>
              <w:ind w:left="420" w:hanging="420"/>
              <w:rPr>
                <w:color w:val="auto"/>
              </w:rPr>
            </w:pPr>
          </w:p>
          <w:p>
            <w:pPr>
              <w:rPr>
                <w:color w:val="auto"/>
              </w:rPr>
            </w:pPr>
          </w:p>
          <w:p>
            <w:pPr>
              <w:pStyle w:val="41"/>
              <w:rPr>
                <w:color w:val="auto"/>
              </w:rPr>
            </w:pPr>
          </w:p>
          <w:p>
            <w:pPr>
              <w:pStyle w:val="23"/>
              <w:ind w:left="420" w:hanging="420"/>
              <w:rPr>
                <w:color w:val="auto"/>
              </w:rPr>
            </w:pPr>
          </w:p>
          <w:p>
            <w:pPr>
              <w:rPr>
                <w:color w:val="auto"/>
              </w:rPr>
            </w:pPr>
          </w:p>
          <w:p>
            <w:pPr>
              <w:pStyle w:val="41"/>
              <w:rPr>
                <w:color w:val="auto"/>
              </w:rPr>
            </w:pPr>
          </w:p>
          <w:p>
            <w:pPr>
              <w:pStyle w:val="23"/>
              <w:ind w:left="420" w:hanging="420"/>
              <w:rPr>
                <w:color w:val="auto"/>
              </w:rPr>
            </w:pPr>
          </w:p>
          <w:p>
            <w:pPr>
              <w:rPr>
                <w:color w:val="auto"/>
              </w:rPr>
            </w:pPr>
          </w:p>
          <w:p>
            <w:pPr>
              <w:pStyle w:val="41"/>
              <w:rPr>
                <w:color w:val="auto"/>
              </w:rPr>
            </w:pPr>
          </w:p>
          <w:p>
            <w:pPr>
              <w:pStyle w:val="23"/>
              <w:ind w:left="420" w:hanging="420"/>
              <w:rPr>
                <w:color w:val="auto"/>
              </w:rPr>
            </w:pPr>
          </w:p>
          <w:p>
            <w:pPr>
              <w:rPr>
                <w:color w:val="auto"/>
              </w:rPr>
            </w:pPr>
          </w:p>
          <w:p>
            <w:pPr>
              <w:pStyle w:val="41"/>
              <w:rPr>
                <w:color w:val="auto"/>
              </w:rPr>
            </w:pPr>
          </w:p>
          <w:p>
            <w:pPr>
              <w:pStyle w:val="23"/>
              <w:ind w:left="420" w:hanging="420"/>
              <w:rPr>
                <w:color w:val="auto"/>
              </w:rPr>
            </w:pPr>
          </w:p>
          <w:p>
            <w:pPr>
              <w:rPr>
                <w:color w:val="auto"/>
              </w:rPr>
            </w:pPr>
          </w:p>
          <w:p>
            <w:pPr>
              <w:pStyle w:val="41"/>
              <w:rPr>
                <w:color w:val="auto"/>
              </w:rPr>
            </w:pPr>
          </w:p>
          <w:p>
            <w:pPr>
              <w:pStyle w:val="23"/>
              <w:ind w:left="420" w:hanging="420"/>
              <w:rPr>
                <w:color w:val="auto"/>
              </w:rPr>
            </w:pPr>
          </w:p>
          <w:p>
            <w:pPr>
              <w:pStyle w:val="41"/>
              <w:rPr>
                <w:color w:val="auto"/>
              </w:rPr>
            </w:pPr>
          </w:p>
          <w:p>
            <w:pPr>
              <w:pStyle w:val="23"/>
              <w:ind w:left="420" w:hanging="420"/>
              <w:rPr>
                <w:color w:val="auto"/>
              </w:rPr>
            </w:pPr>
          </w:p>
          <w:p>
            <w:pPr>
              <w:adjustRightInd w:val="0"/>
              <w:snapToGrid w:val="0"/>
              <w:jc w:val="center"/>
              <w:rPr>
                <w:color w:val="auto"/>
                <w:szCs w:val="21"/>
              </w:rPr>
            </w:pPr>
          </w:p>
        </w:tc>
      </w:tr>
    </w:tbl>
    <w:p>
      <w:pPr>
        <w:pStyle w:val="26"/>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520" w:lineRule="exact"/>
              <w:ind w:firstLine="480" w:firstLineChars="200"/>
              <w:rPr>
                <w:sz w:val="24"/>
              </w:rPr>
            </w:pPr>
            <w:r>
              <w:rPr>
                <w:sz w:val="24"/>
              </w:rPr>
              <w:t>本次评价对建项目及其周围区域环境现状进行了调查、监测和评价分析，通过对营运期污染物排放的环境影响分析和对环境风险的分析，提出了项目污染防治措施以及要求和建议，污染物的排放均能够严于相关标准，符合国家环境保护的要求。</w:t>
            </w:r>
          </w:p>
          <w:p>
            <w:pPr>
              <w:spacing w:line="520" w:lineRule="exact"/>
              <w:rPr>
                <w:sz w:val="24"/>
              </w:rPr>
            </w:pPr>
            <w:r>
              <w:rPr>
                <w:sz w:val="24"/>
              </w:rPr>
              <w:t>本项目运行期间产生一定量的废水、废气、噪声和固体废物，通过采取有效的污染防治措施，可将项目对周围环境造成的影响降到最低。同时，项目运营过程中，依据本次评价所提出的有关污染防治措施，全面落实“三同时”制度，加强运营期环境管理，定期监测，确保污染防治设施稳定达标运行，则项目建设对周围环境质量不会产生明显的影响，从环境保护角度出发，本项目建设是可行的。</w:t>
            </w: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p>
            <w:pPr>
              <w:pStyle w:val="9"/>
              <w:jc w:val="center"/>
              <w:rPr>
                <w:sz w:val="24"/>
              </w:rPr>
            </w:pPr>
          </w:p>
        </w:tc>
      </w:tr>
    </w:tbl>
    <w:p>
      <w:pPr>
        <w:rPr>
          <w:rFonts w:ascii="宋体"/>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6"/>
        <w:adjustRightInd w:val="0"/>
        <w:snapToGrid w:val="0"/>
        <w:spacing w:before="0" w:beforeAutospacing="0" w:after="0" w:afterAutospacing="0"/>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26"/>
        <w:adjustRightInd w:val="0"/>
        <w:snapToGrid w:val="0"/>
        <w:spacing w:before="0" w:beforeAutospacing="0" w:after="0" w:afterAutospacing="0"/>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275"/>
        <w:gridCol w:w="1701"/>
        <w:gridCol w:w="1276"/>
        <w:gridCol w:w="1701"/>
        <w:gridCol w:w="1559"/>
        <w:gridCol w:w="1761"/>
        <w:gridCol w:w="1641"/>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58"/>
              <w:spacing w:beforeLines="0" w:afterLines="0" w:line="240" w:lineRule="auto"/>
              <w:jc w:val="right"/>
              <w:rPr>
                <w:rFonts w:ascii="Times New Roman"/>
                <w:snapToGrid w:val="0"/>
                <w:spacing w:val="-6"/>
                <w:kern w:val="21"/>
                <w:szCs w:val="21"/>
              </w:rPr>
            </w:pPr>
            <w:r>
              <w:rPr>
                <w:rFonts w:ascii="Times New Roman"/>
                <w:snapToGrid w:val="0"/>
                <w:spacing w:val="-6"/>
                <w:kern w:val="21"/>
                <w:szCs w:val="21"/>
              </w:rPr>
              <w:t>项目</w:t>
            </w:r>
          </w:p>
          <w:p>
            <w:pPr>
              <w:pStyle w:val="58"/>
              <w:spacing w:beforeLines="0" w:afterLines="0" w:line="240" w:lineRule="auto"/>
              <w:jc w:val="left"/>
              <w:rPr>
                <w:rFonts w:ascii="Times New Roman"/>
                <w:snapToGrid w:val="0"/>
                <w:spacing w:val="-6"/>
                <w:kern w:val="21"/>
                <w:szCs w:val="21"/>
              </w:rPr>
            </w:pPr>
            <w:r>
              <w:rPr>
                <w:rFonts w:ascii="Times New Roman"/>
                <w:snapToGrid w:val="0"/>
                <w:spacing w:val="-6"/>
                <w:kern w:val="21"/>
                <w:szCs w:val="21"/>
              </w:rPr>
              <w:t>分类</w:t>
            </w:r>
          </w:p>
        </w:tc>
        <w:tc>
          <w:tcPr>
            <w:tcW w:w="1275" w:type="dxa"/>
            <w:tcMar>
              <w:left w:w="28" w:type="dxa"/>
              <w:right w:w="28" w:type="dxa"/>
            </w:tcMar>
            <w:vAlign w:val="center"/>
          </w:tcPr>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污染物名称</w:t>
            </w:r>
          </w:p>
        </w:tc>
        <w:tc>
          <w:tcPr>
            <w:tcW w:w="1701" w:type="dxa"/>
            <w:tcMar>
              <w:left w:w="28" w:type="dxa"/>
              <w:right w:w="28" w:type="dxa"/>
            </w:tcMar>
            <w:vAlign w:val="center"/>
          </w:tcPr>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ascii="Times New Roman"/>
                <w:kern w:val="2"/>
                <w:szCs w:val="21"/>
              </w:rPr>
              <w:t>①</w:t>
            </w:r>
            <w:r>
              <w:rPr>
                <w:rFonts w:ascii="Times New Roman"/>
                <w:snapToGrid w:val="0"/>
                <w:spacing w:val="-6"/>
                <w:kern w:val="21"/>
                <w:szCs w:val="21"/>
              </w:rPr>
              <w:fldChar w:fldCharType="end"/>
            </w:r>
          </w:p>
        </w:tc>
        <w:tc>
          <w:tcPr>
            <w:tcW w:w="1276" w:type="dxa"/>
            <w:tcMar>
              <w:left w:w="28" w:type="dxa"/>
              <w:right w:w="28" w:type="dxa"/>
            </w:tcMar>
            <w:vAlign w:val="center"/>
          </w:tcPr>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现有工程</w:t>
            </w:r>
          </w:p>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许可排放量</w:t>
            </w:r>
          </w:p>
          <w:p>
            <w:pPr>
              <w:pStyle w:val="58"/>
              <w:spacing w:beforeLines="0" w:afterLines="0"/>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2 \* GB3 \* MERGEFORMAT </w:instrText>
            </w:r>
            <w:r>
              <w:rPr>
                <w:rFonts w:ascii="Times New Roman"/>
                <w:snapToGrid w:val="0"/>
                <w:spacing w:val="-6"/>
                <w:kern w:val="21"/>
                <w:szCs w:val="21"/>
              </w:rPr>
              <w:fldChar w:fldCharType="separate"/>
            </w:r>
            <w:r>
              <w:rPr>
                <w:rFonts w:ascii="Times New Roman"/>
                <w:snapToGrid w:val="0"/>
                <w:spacing w:val="-6"/>
                <w:kern w:val="21"/>
                <w:szCs w:val="21"/>
              </w:rPr>
              <w:t>②</w:t>
            </w:r>
            <w:r>
              <w:rPr>
                <w:rFonts w:ascii="Times New Roman"/>
                <w:snapToGrid w:val="0"/>
                <w:spacing w:val="-6"/>
                <w:kern w:val="21"/>
                <w:szCs w:val="21"/>
              </w:rPr>
              <w:fldChar w:fldCharType="end"/>
            </w:r>
          </w:p>
        </w:tc>
        <w:tc>
          <w:tcPr>
            <w:tcW w:w="1701" w:type="dxa"/>
            <w:tcMar>
              <w:left w:w="28" w:type="dxa"/>
              <w:right w:w="28" w:type="dxa"/>
            </w:tcMar>
            <w:vAlign w:val="center"/>
          </w:tcPr>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在建工程</w:t>
            </w:r>
          </w:p>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ascii="Times New Roman"/>
                <w:kern w:val="2"/>
                <w:szCs w:val="21"/>
              </w:rPr>
              <w:t>③</w:t>
            </w:r>
            <w:r>
              <w:rPr>
                <w:rFonts w:ascii="Times New Roman"/>
                <w:snapToGrid w:val="0"/>
                <w:spacing w:val="-6"/>
                <w:kern w:val="21"/>
                <w:szCs w:val="21"/>
              </w:rPr>
              <w:fldChar w:fldCharType="end"/>
            </w:r>
          </w:p>
        </w:tc>
        <w:tc>
          <w:tcPr>
            <w:tcW w:w="1559" w:type="dxa"/>
            <w:tcMar>
              <w:left w:w="28" w:type="dxa"/>
              <w:right w:w="28" w:type="dxa"/>
            </w:tcMar>
            <w:vAlign w:val="center"/>
          </w:tcPr>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本项目</w:t>
            </w:r>
          </w:p>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排放量（固体废物产生量）</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ascii="Times New Roman"/>
                <w:kern w:val="2"/>
                <w:szCs w:val="21"/>
              </w:rPr>
              <w:t>④</w:t>
            </w:r>
            <w:r>
              <w:rPr>
                <w:rFonts w:ascii="Times New Roman"/>
                <w:snapToGrid w:val="0"/>
                <w:spacing w:val="-6"/>
                <w:kern w:val="21"/>
                <w:szCs w:val="21"/>
              </w:rPr>
              <w:fldChar w:fldCharType="end"/>
            </w:r>
          </w:p>
        </w:tc>
        <w:tc>
          <w:tcPr>
            <w:tcW w:w="1761" w:type="dxa"/>
            <w:tcMar>
              <w:left w:w="28" w:type="dxa"/>
              <w:right w:w="28" w:type="dxa"/>
            </w:tcMar>
            <w:vAlign w:val="center"/>
          </w:tcPr>
          <w:p>
            <w:pPr>
              <w:pStyle w:val="58"/>
              <w:spacing w:beforeLines="0" w:afterLines="0" w:line="240" w:lineRule="auto"/>
              <w:rPr>
                <w:rFonts w:ascii="Times New Roman"/>
                <w:snapToGrid w:val="0"/>
                <w:spacing w:val="-16"/>
                <w:kern w:val="21"/>
                <w:szCs w:val="21"/>
              </w:rPr>
            </w:pPr>
            <w:r>
              <w:rPr>
                <w:rFonts w:ascii="Times New Roman"/>
                <w:snapToGrid w:val="0"/>
                <w:spacing w:val="-16"/>
                <w:kern w:val="21"/>
                <w:szCs w:val="21"/>
              </w:rPr>
              <w:t>以新带老削减量</w:t>
            </w:r>
          </w:p>
          <w:p>
            <w:pPr>
              <w:pStyle w:val="58"/>
              <w:spacing w:beforeLines="0" w:afterLines="0" w:line="240" w:lineRule="auto"/>
              <w:rPr>
                <w:rFonts w:ascii="Times New Roman"/>
                <w:snapToGrid w:val="0"/>
                <w:spacing w:val="-16"/>
                <w:kern w:val="21"/>
                <w:szCs w:val="21"/>
              </w:rPr>
            </w:pPr>
            <w:r>
              <w:rPr>
                <w:rFonts w:ascii="Times New Roman"/>
                <w:snapToGrid w:val="0"/>
                <w:spacing w:val="-16"/>
                <w:kern w:val="21"/>
                <w:szCs w:val="21"/>
              </w:rPr>
              <w:t>（新建项目不填）</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ascii="Times New Roman"/>
                <w:kern w:val="2"/>
                <w:szCs w:val="21"/>
              </w:rPr>
              <w:t>⑤</w:t>
            </w:r>
            <w:r>
              <w:rPr>
                <w:rFonts w:ascii="Times New Roman"/>
                <w:snapToGrid w:val="0"/>
                <w:spacing w:val="-16"/>
                <w:kern w:val="21"/>
                <w:szCs w:val="21"/>
              </w:rPr>
              <w:fldChar w:fldCharType="end"/>
            </w:r>
          </w:p>
        </w:tc>
        <w:tc>
          <w:tcPr>
            <w:tcW w:w="1641" w:type="dxa"/>
            <w:tcMar>
              <w:left w:w="28" w:type="dxa"/>
              <w:right w:w="28" w:type="dxa"/>
            </w:tcMar>
            <w:vAlign w:val="center"/>
          </w:tcPr>
          <w:p>
            <w:pPr>
              <w:pStyle w:val="58"/>
              <w:spacing w:beforeLines="0" w:afterLines="0" w:line="240" w:lineRule="auto"/>
              <w:rPr>
                <w:rFonts w:ascii="Times New Roman"/>
                <w:snapToGrid w:val="0"/>
                <w:spacing w:val="-16"/>
                <w:kern w:val="21"/>
                <w:szCs w:val="21"/>
              </w:rPr>
            </w:pPr>
            <w:r>
              <w:rPr>
                <w:rFonts w:ascii="Times New Roman"/>
                <w:snapToGrid w:val="0"/>
                <w:spacing w:val="-16"/>
                <w:kern w:val="21"/>
                <w:szCs w:val="21"/>
              </w:rPr>
              <w:t>本项目建成后</w:t>
            </w:r>
          </w:p>
          <w:p>
            <w:pPr>
              <w:pStyle w:val="58"/>
              <w:spacing w:beforeLines="0" w:afterLines="0" w:line="240" w:lineRule="auto"/>
              <w:rPr>
                <w:rFonts w:ascii="Times New Roman"/>
                <w:snapToGrid w:val="0"/>
                <w:spacing w:val="-16"/>
                <w:kern w:val="21"/>
                <w:szCs w:val="21"/>
              </w:rPr>
            </w:pPr>
            <w:r>
              <w:rPr>
                <w:rFonts w:ascii="Times New Roman"/>
                <w:snapToGrid w:val="0"/>
                <w:spacing w:val="-16"/>
                <w:kern w:val="21"/>
                <w:szCs w:val="21"/>
              </w:rPr>
              <w:t>全厂排放量（固体废物产生量）</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ascii="Times New Roman"/>
                <w:kern w:val="2"/>
                <w:szCs w:val="21"/>
              </w:rPr>
              <w:t>⑥</w:t>
            </w:r>
            <w:r>
              <w:rPr>
                <w:rFonts w:ascii="Times New Roman"/>
                <w:snapToGrid w:val="0"/>
                <w:spacing w:val="-16"/>
                <w:kern w:val="21"/>
                <w:szCs w:val="21"/>
              </w:rPr>
              <w:fldChar w:fldCharType="end"/>
            </w:r>
          </w:p>
        </w:tc>
        <w:tc>
          <w:tcPr>
            <w:tcW w:w="1134" w:type="dxa"/>
            <w:tcMar>
              <w:left w:w="28" w:type="dxa"/>
              <w:right w:w="28" w:type="dxa"/>
            </w:tcMar>
            <w:vAlign w:val="center"/>
          </w:tcPr>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t>变化量</w:t>
            </w:r>
          </w:p>
          <w:p>
            <w:pPr>
              <w:pStyle w:val="58"/>
              <w:spacing w:beforeLines="0" w:afterLines="0" w:line="240" w:lineRule="auto"/>
              <w:rPr>
                <w:rFonts w:ascii="Times New Roman"/>
                <w:snapToGrid w:val="0"/>
                <w:spacing w:val="-6"/>
                <w:kern w:val="21"/>
                <w:szCs w:val="21"/>
              </w:rPr>
            </w:pP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ascii="Times New Roman"/>
                <w:kern w:val="2"/>
                <w:szCs w:val="21"/>
              </w:rPr>
              <w:t>⑦</w:t>
            </w:r>
            <w:r>
              <w:rPr>
                <w:rFonts w:ascii="Times New Roman"/>
                <w:snapToGrid w:val="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废气</w:t>
            </w:r>
          </w:p>
        </w:tc>
        <w:tc>
          <w:tcPr>
            <w:tcW w:w="1275" w:type="dxa"/>
            <w:vAlign w:val="center"/>
          </w:tcPr>
          <w:p>
            <w:pPr>
              <w:pStyle w:val="58"/>
              <w:spacing w:beforeLines="0" w:afterLines="0" w:line="240" w:lineRule="auto"/>
              <w:rPr>
                <w:rFonts w:ascii="Times New Roman"/>
                <w:snapToGrid w:val="0"/>
                <w:kern w:val="21"/>
                <w:szCs w:val="21"/>
              </w:rPr>
            </w:pPr>
            <w:r>
              <w:rPr>
                <w:rFonts w:ascii="Times New Roman"/>
                <w:szCs w:val="21"/>
              </w:rPr>
              <w:t>颗粒物</w:t>
            </w:r>
          </w:p>
        </w:tc>
        <w:tc>
          <w:tcPr>
            <w:tcW w:w="170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zCs w:val="21"/>
                <w:lang w:val="en-US" w:eastAsia="zh-CN"/>
              </w:rPr>
              <w:t>11.349</w:t>
            </w:r>
            <w:r>
              <w:rPr>
                <w:rFonts w:hint="eastAsia" w:ascii="Times New Roman"/>
                <w:szCs w:val="21"/>
              </w:rPr>
              <w:t>t/a</w:t>
            </w:r>
          </w:p>
        </w:tc>
        <w:tc>
          <w:tcPr>
            <w:tcW w:w="176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641" w:type="dxa"/>
            <w:vAlign w:val="center"/>
          </w:tcPr>
          <w:p>
            <w:pPr>
              <w:pStyle w:val="58"/>
              <w:spacing w:beforeLines="0" w:afterLines="0" w:line="240" w:lineRule="auto"/>
              <w:rPr>
                <w:rFonts w:ascii="Times New Roman"/>
                <w:snapToGrid w:val="0"/>
                <w:kern w:val="21"/>
                <w:szCs w:val="21"/>
              </w:rPr>
            </w:pPr>
            <w:r>
              <w:rPr>
                <w:rFonts w:hint="eastAsia" w:ascii="Times New Roman"/>
                <w:szCs w:val="21"/>
                <w:lang w:eastAsia="zh-CN"/>
              </w:rPr>
              <w:t>11.349</w:t>
            </w:r>
            <w:r>
              <w:rPr>
                <w:rFonts w:hint="eastAsia" w:ascii="Times New Roman"/>
                <w:szCs w:val="21"/>
              </w:rPr>
              <w:t>t/a</w:t>
            </w:r>
          </w:p>
        </w:tc>
        <w:tc>
          <w:tcPr>
            <w:tcW w:w="1134" w:type="dxa"/>
            <w:vAlign w:val="center"/>
          </w:tcPr>
          <w:p>
            <w:pPr>
              <w:pStyle w:val="58"/>
              <w:spacing w:beforeLines="0" w:afterLines="0" w:line="240" w:lineRule="auto"/>
              <w:rPr>
                <w:rFonts w:ascii="Times New Roman"/>
                <w:snapToGrid w:val="0"/>
                <w:kern w:val="21"/>
                <w:szCs w:val="21"/>
              </w:rPr>
            </w:pPr>
            <w:r>
              <w:rPr>
                <w:rFonts w:ascii="Times New Roman"/>
                <w:szCs w:val="21"/>
              </w:rPr>
              <w:t>+</w:t>
            </w:r>
            <w:r>
              <w:rPr>
                <w:rFonts w:hint="eastAsia" w:ascii="Times New Roman"/>
                <w:szCs w:val="21"/>
              </w:rPr>
              <w:t>1</w:t>
            </w:r>
            <w:r>
              <w:rPr>
                <w:rFonts w:hint="eastAsia" w:ascii="Times New Roman"/>
                <w:szCs w:val="21"/>
                <w:lang w:val="en-US" w:eastAsia="zh-CN"/>
              </w:rPr>
              <w:t>1.2.98</w:t>
            </w:r>
            <w:r>
              <w:rPr>
                <w:rFonts w:hint="eastAsia" w:ascii="Times New Roman"/>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rPr>
                <w:rFonts w:ascii="Times New Roman"/>
                <w:snapToGrid w:val="0"/>
                <w:kern w:val="21"/>
                <w:szCs w:val="21"/>
              </w:rPr>
            </w:pPr>
            <w:r>
              <w:rPr>
                <w:rFonts w:ascii="Times New Roman"/>
                <w:spacing w:val="6"/>
                <w:szCs w:val="21"/>
              </w:rPr>
              <w:t>SO</w:t>
            </w:r>
            <w:r>
              <w:rPr>
                <w:rFonts w:ascii="Times New Roman"/>
                <w:spacing w:val="6"/>
                <w:szCs w:val="21"/>
                <w:vertAlign w:val="subscript"/>
              </w:rPr>
              <w:t>2</w:t>
            </w:r>
          </w:p>
        </w:tc>
        <w:tc>
          <w:tcPr>
            <w:tcW w:w="170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zCs w:val="21"/>
              </w:rPr>
              <w:t>0</w:t>
            </w:r>
          </w:p>
        </w:tc>
        <w:tc>
          <w:tcPr>
            <w:tcW w:w="176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641" w:type="dxa"/>
            <w:vAlign w:val="center"/>
          </w:tcPr>
          <w:p>
            <w:pPr>
              <w:pStyle w:val="58"/>
              <w:spacing w:beforeLines="0" w:afterLines="0" w:line="240" w:lineRule="auto"/>
              <w:rPr>
                <w:rFonts w:ascii="Times New Roman"/>
                <w:snapToGrid w:val="0"/>
                <w:kern w:val="21"/>
                <w:szCs w:val="21"/>
              </w:rPr>
            </w:pPr>
            <w:r>
              <w:rPr>
                <w:rFonts w:hint="eastAsia" w:ascii="Times New Roman"/>
                <w:szCs w:val="21"/>
              </w:rPr>
              <w:t>0</w:t>
            </w:r>
          </w:p>
        </w:tc>
        <w:tc>
          <w:tcPr>
            <w:tcW w:w="1134" w:type="dxa"/>
            <w:vAlign w:val="center"/>
          </w:tcPr>
          <w:p>
            <w:pPr>
              <w:pStyle w:val="58"/>
              <w:spacing w:beforeLines="0" w:afterLines="0" w:line="240" w:lineRule="auto"/>
              <w:rPr>
                <w:rFonts w:ascii="Times New Roman"/>
                <w:snapToGrid w:val="0"/>
                <w:kern w:val="21"/>
                <w:szCs w:val="21"/>
              </w:rPr>
            </w:pPr>
            <w:r>
              <w:rPr>
                <w:rFonts w:hint="eastAsia" w:ascii="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rPr>
                <w:rFonts w:ascii="Times New Roman"/>
                <w:snapToGrid w:val="0"/>
                <w:kern w:val="21"/>
                <w:szCs w:val="21"/>
              </w:rPr>
            </w:pPr>
            <w:r>
              <w:rPr>
                <w:rFonts w:ascii="Times New Roman"/>
                <w:spacing w:val="6"/>
                <w:szCs w:val="21"/>
              </w:rPr>
              <w:t>NO</w:t>
            </w:r>
            <w:r>
              <w:rPr>
                <w:rFonts w:ascii="Times New Roman"/>
                <w:spacing w:val="6"/>
                <w:szCs w:val="21"/>
                <w:vertAlign w:val="subscript"/>
              </w:rPr>
              <w:t>x</w:t>
            </w:r>
          </w:p>
        </w:tc>
        <w:tc>
          <w:tcPr>
            <w:tcW w:w="170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zCs w:val="21"/>
              </w:rPr>
              <w:t>0</w:t>
            </w:r>
          </w:p>
        </w:tc>
        <w:tc>
          <w:tcPr>
            <w:tcW w:w="176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641" w:type="dxa"/>
            <w:vAlign w:val="center"/>
          </w:tcPr>
          <w:p>
            <w:pPr>
              <w:pStyle w:val="58"/>
              <w:spacing w:beforeLines="0" w:afterLines="0" w:line="240" w:lineRule="auto"/>
              <w:rPr>
                <w:rFonts w:ascii="Times New Roman"/>
                <w:snapToGrid w:val="0"/>
                <w:kern w:val="21"/>
                <w:szCs w:val="21"/>
              </w:rPr>
            </w:pPr>
            <w:r>
              <w:rPr>
                <w:rFonts w:hint="eastAsia" w:ascii="Times New Roman"/>
                <w:szCs w:val="21"/>
              </w:rPr>
              <w:t>0</w:t>
            </w:r>
          </w:p>
        </w:tc>
        <w:tc>
          <w:tcPr>
            <w:tcW w:w="1134" w:type="dxa"/>
            <w:vAlign w:val="center"/>
          </w:tcPr>
          <w:p>
            <w:pPr>
              <w:pStyle w:val="58"/>
              <w:spacing w:beforeLines="0" w:afterLines="0" w:line="240" w:lineRule="auto"/>
              <w:rPr>
                <w:rFonts w:ascii="Times New Roman"/>
                <w:snapToGrid w:val="0"/>
                <w:kern w:val="21"/>
                <w:szCs w:val="21"/>
              </w:rPr>
            </w:pPr>
            <w:r>
              <w:rPr>
                <w:rFonts w:hint="eastAsia" w:ascii="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废水</w:t>
            </w:r>
          </w:p>
        </w:tc>
        <w:tc>
          <w:tcPr>
            <w:tcW w:w="1275"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COD</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0.109t/a</w:t>
            </w:r>
          </w:p>
        </w:tc>
        <w:tc>
          <w:tcPr>
            <w:tcW w:w="176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64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0.109t/a</w:t>
            </w:r>
          </w:p>
        </w:tc>
        <w:tc>
          <w:tcPr>
            <w:tcW w:w="1134"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+0.109</w:t>
            </w:r>
            <w:r>
              <w:rPr>
                <w:rFonts w:hint="eastAsia" w:ascii="Times New Roman"/>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NH</w:t>
            </w:r>
            <w:r>
              <w:rPr>
                <w:rFonts w:ascii="Times New Roman"/>
                <w:snapToGrid w:val="0"/>
                <w:kern w:val="21"/>
                <w:szCs w:val="21"/>
                <w:vertAlign w:val="subscript"/>
              </w:rPr>
              <w:t>3</w:t>
            </w:r>
            <w:r>
              <w:rPr>
                <w:rFonts w:ascii="Times New Roman"/>
                <w:snapToGrid w:val="0"/>
                <w:kern w:val="21"/>
                <w:szCs w:val="21"/>
              </w:rPr>
              <w:t>-N</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0.0094</w:t>
            </w:r>
            <w:r>
              <w:rPr>
                <w:rFonts w:hint="eastAsia" w:ascii="Times New Roman"/>
                <w:szCs w:val="21"/>
              </w:rPr>
              <w:t>t/a</w:t>
            </w:r>
          </w:p>
        </w:tc>
        <w:tc>
          <w:tcPr>
            <w:tcW w:w="176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64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0.0094</w:t>
            </w:r>
            <w:r>
              <w:rPr>
                <w:rFonts w:hint="eastAsia" w:ascii="Times New Roman"/>
                <w:szCs w:val="21"/>
              </w:rPr>
              <w:t>t/a</w:t>
            </w:r>
          </w:p>
        </w:tc>
        <w:tc>
          <w:tcPr>
            <w:tcW w:w="1134"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+0.0094</w:t>
            </w:r>
            <w:r>
              <w:rPr>
                <w:rFonts w:hint="eastAsia" w:ascii="Times New Roman"/>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BOD</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0.062</w:t>
            </w:r>
            <w:r>
              <w:rPr>
                <w:rFonts w:hint="eastAsia" w:ascii="Times New Roman"/>
                <w:szCs w:val="21"/>
              </w:rPr>
              <w:t>t/a</w:t>
            </w:r>
          </w:p>
        </w:tc>
        <w:tc>
          <w:tcPr>
            <w:tcW w:w="176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64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0.062</w:t>
            </w:r>
            <w:r>
              <w:rPr>
                <w:rFonts w:hint="eastAsia" w:ascii="Times New Roman"/>
                <w:szCs w:val="21"/>
              </w:rPr>
              <w:t>t/a</w:t>
            </w:r>
          </w:p>
        </w:tc>
        <w:tc>
          <w:tcPr>
            <w:tcW w:w="1134"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+0.062</w:t>
            </w:r>
            <w:r>
              <w:rPr>
                <w:rFonts w:hint="eastAsia" w:ascii="Times New Roman"/>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SS</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0.078</w:t>
            </w:r>
            <w:r>
              <w:rPr>
                <w:rFonts w:hint="eastAsia" w:ascii="Times New Roman"/>
                <w:szCs w:val="21"/>
              </w:rPr>
              <w:t>t/a</w:t>
            </w:r>
          </w:p>
        </w:tc>
        <w:tc>
          <w:tcPr>
            <w:tcW w:w="176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641" w:type="dxa"/>
            <w:vAlign w:val="center"/>
          </w:tcPr>
          <w:p>
            <w:pPr>
              <w:ind w:firstLine="210" w:firstLineChars="100"/>
              <w:rPr>
                <w:snapToGrid w:val="0"/>
                <w:kern w:val="21"/>
                <w:szCs w:val="21"/>
              </w:rPr>
            </w:pPr>
            <w:r>
              <w:rPr>
                <w:rFonts w:hint="eastAsia"/>
                <w:snapToGrid w:val="0"/>
                <w:kern w:val="21"/>
                <w:szCs w:val="21"/>
              </w:rPr>
              <w:t>0.078</w:t>
            </w:r>
            <w:r>
              <w:rPr>
                <w:rFonts w:hint="eastAsia"/>
                <w:szCs w:val="21"/>
              </w:rPr>
              <w:t>t/a</w:t>
            </w:r>
          </w:p>
        </w:tc>
        <w:tc>
          <w:tcPr>
            <w:tcW w:w="1134" w:type="dxa"/>
            <w:vAlign w:val="center"/>
          </w:tcPr>
          <w:p>
            <w:pPr>
              <w:rPr>
                <w:snapToGrid w:val="0"/>
                <w:kern w:val="21"/>
                <w:szCs w:val="21"/>
              </w:rPr>
            </w:pPr>
            <w:r>
              <w:rPr>
                <w:rFonts w:hint="eastAsia"/>
                <w:snapToGrid w:val="0"/>
                <w:kern w:val="21"/>
                <w:szCs w:val="21"/>
                <w:lang w:val="en-US" w:eastAsia="zh-CN"/>
              </w:rPr>
              <w:t>+</w:t>
            </w:r>
            <w:r>
              <w:rPr>
                <w:rFonts w:hint="eastAsia"/>
                <w:snapToGrid w:val="0"/>
                <w:kern w:val="21"/>
                <w:szCs w:val="21"/>
              </w:rPr>
              <w:t>0.078</w:t>
            </w:r>
            <w:r>
              <w:rPr>
                <w:rFonts w:hint="eastAsia"/>
                <w:szCs w:val="21"/>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动植物油</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76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641"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c>
          <w:tcPr>
            <w:tcW w:w="1134"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一般工业</w:t>
            </w:r>
          </w:p>
          <w:p>
            <w:pPr>
              <w:pStyle w:val="58"/>
              <w:spacing w:beforeLines="0" w:afterLines="0" w:line="240" w:lineRule="auto"/>
              <w:rPr>
                <w:rFonts w:ascii="Times New Roman"/>
                <w:snapToGrid w:val="0"/>
                <w:kern w:val="21"/>
                <w:szCs w:val="21"/>
              </w:rPr>
            </w:pPr>
            <w:r>
              <w:rPr>
                <w:rFonts w:ascii="Times New Roman"/>
                <w:snapToGrid w:val="0"/>
                <w:kern w:val="21"/>
                <w:szCs w:val="21"/>
              </w:rPr>
              <w:t>固体废物</w:t>
            </w:r>
          </w:p>
        </w:tc>
        <w:tc>
          <w:tcPr>
            <w:tcW w:w="1275" w:type="dxa"/>
            <w:vAlign w:val="center"/>
          </w:tcPr>
          <w:p>
            <w:pPr>
              <w:pStyle w:val="58"/>
              <w:spacing w:beforeLines="0" w:afterLines="0" w:line="240" w:lineRule="auto"/>
              <w:jc w:val="center"/>
              <w:rPr>
                <w:rFonts w:ascii="Times New Roman"/>
                <w:snapToGrid w:val="0"/>
                <w:color w:val="auto"/>
                <w:kern w:val="21"/>
                <w:szCs w:val="21"/>
              </w:rPr>
            </w:pPr>
            <w:r>
              <w:rPr>
                <w:rFonts w:hint="default" w:ascii="Times New Roman" w:hAnsi="Times New Roman" w:eastAsia="仿宋_GB2312" w:cs="Times New Roman"/>
                <w:color w:val="auto"/>
                <w:szCs w:val="32"/>
                <w:lang w:val="en-US" w:eastAsia="zh-CN"/>
              </w:rPr>
              <w:t>不合格产品、废边角料</w:t>
            </w:r>
          </w:p>
        </w:tc>
        <w:tc>
          <w:tcPr>
            <w:tcW w:w="1701" w:type="dxa"/>
            <w:vAlign w:val="center"/>
          </w:tcPr>
          <w:p>
            <w:pPr>
              <w:spacing w:beforeLines="0" w:afterLines="0" w:line="240" w:lineRule="auto"/>
              <w:jc w:val="center"/>
              <w:rPr>
                <w:rFonts w:hint="eastAsia" w:ascii="Times New Roman" w:eastAsia="宋体"/>
                <w:snapToGrid w:val="0"/>
                <w:color w:val="auto"/>
                <w:kern w:val="21"/>
                <w:szCs w:val="21"/>
                <w:lang w:eastAsia="zh-CN"/>
              </w:rPr>
            </w:pPr>
            <w:r>
              <w:rPr>
                <w:rFonts w:hint="eastAsia" w:ascii="Times New Roman"/>
                <w:snapToGrid w:val="0"/>
                <w:color w:val="auto"/>
                <w:kern w:val="21"/>
                <w:szCs w:val="21"/>
                <w:lang w:val="en-US" w:eastAsia="zh-CN"/>
              </w:rPr>
              <w:t>0</w:t>
            </w:r>
          </w:p>
        </w:tc>
        <w:tc>
          <w:tcPr>
            <w:tcW w:w="1276" w:type="dxa"/>
            <w:vAlign w:val="center"/>
          </w:tcPr>
          <w:p>
            <w:pPr>
              <w:spacing w:beforeLines="0" w:afterLines="0" w:line="240" w:lineRule="auto"/>
              <w:jc w:val="center"/>
              <w:rPr>
                <w:rFonts w:ascii="Times New Roman"/>
                <w:snapToGrid w:val="0"/>
                <w:color w:val="auto"/>
                <w:kern w:val="21"/>
                <w:szCs w:val="21"/>
              </w:rPr>
            </w:pPr>
            <w:r>
              <w:rPr>
                <w:rFonts w:hint="eastAsia" w:ascii="Times New Roman"/>
                <w:snapToGrid w:val="0"/>
                <w:color w:val="auto"/>
                <w:kern w:val="21"/>
                <w:szCs w:val="21"/>
                <w:lang w:val="en-US" w:eastAsia="zh-CN"/>
              </w:rPr>
              <w:t>0</w:t>
            </w:r>
          </w:p>
        </w:tc>
        <w:tc>
          <w:tcPr>
            <w:tcW w:w="1701" w:type="dxa"/>
            <w:vAlign w:val="center"/>
          </w:tcPr>
          <w:p>
            <w:pPr>
              <w:spacing w:beforeLines="0" w:afterLines="0" w:line="240" w:lineRule="auto"/>
              <w:jc w:val="center"/>
              <w:rPr>
                <w:rFonts w:ascii="Times New Roman"/>
                <w:snapToGrid w:val="0"/>
                <w:color w:val="auto"/>
                <w:kern w:val="21"/>
                <w:szCs w:val="21"/>
              </w:rPr>
            </w:pPr>
            <w:r>
              <w:rPr>
                <w:rFonts w:hint="eastAsia" w:ascii="Times New Roman"/>
                <w:snapToGrid w:val="0"/>
                <w:color w:val="auto"/>
                <w:kern w:val="21"/>
                <w:szCs w:val="21"/>
                <w:lang w:val="en-US" w:eastAsia="zh-CN"/>
              </w:rPr>
              <w:t>0</w:t>
            </w:r>
          </w:p>
        </w:tc>
        <w:tc>
          <w:tcPr>
            <w:tcW w:w="1559" w:type="dxa"/>
            <w:vAlign w:val="center"/>
          </w:tcPr>
          <w:p>
            <w:pPr>
              <w:pStyle w:val="58"/>
              <w:spacing w:beforeLines="0" w:afterLines="0" w:line="240" w:lineRule="auto"/>
              <w:jc w:val="center"/>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855t/a</w:t>
            </w:r>
          </w:p>
        </w:tc>
        <w:tc>
          <w:tcPr>
            <w:tcW w:w="1761" w:type="dxa"/>
            <w:vAlign w:val="center"/>
          </w:tcPr>
          <w:p>
            <w:pPr>
              <w:spacing w:beforeLines="0" w:afterLines="0" w:line="240" w:lineRule="auto"/>
              <w:jc w:val="center"/>
              <w:rPr>
                <w:rFonts w:ascii="Times New Roman"/>
                <w:snapToGrid w:val="0"/>
                <w:color w:val="auto"/>
                <w:kern w:val="21"/>
                <w:szCs w:val="21"/>
              </w:rPr>
            </w:pPr>
            <w:r>
              <w:rPr>
                <w:rFonts w:hint="eastAsia" w:ascii="Times New Roman"/>
                <w:snapToGrid w:val="0"/>
                <w:color w:val="auto"/>
                <w:kern w:val="21"/>
                <w:szCs w:val="21"/>
                <w:lang w:val="en-US" w:eastAsia="zh-CN"/>
              </w:rPr>
              <w:t>0</w:t>
            </w:r>
          </w:p>
        </w:tc>
        <w:tc>
          <w:tcPr>
            <w:tcW w:w="1641" w:type="dxa"/>
            <w:vAlign w:val="center"/>
          </w:tcPr>
          <w:p>
            <w:pPr>
              <w:pStyle w:val="58"/>
              <w:spacing w:beforeLines="0" w:afterLines="0" w:line="240" w:lineRule="auto"/>
              <w:jc w:val="center"/>
              <w:rPr>
                <w:rFonts w:ascii="Times New Roman"/>
                <w:snapToGrid w:val="0"/>
                <w:color w:val="auto"/>
                <w:kern w:val="21"/>
                <w:szCs w:val="21"/>
              </w:rPr>
            </w:pPr>
            <w:r>
              <w:rPr>
                <w:rFonts w:hint="eastAsia" w:ascii="Times New Roman"/>
                <w:snapToGrid w:val="0"/>
                <w:color w:val="auto"/>
                <w:kern w:val="21"/>
                <w:szCs w:val="21"/>
                <w:lang w:val="en-US" w:eastAsia="zh-CN"/>
              </w:rPr>
              <w:t>855t/a</w:t>
            </w:r>
          </w:p>
        </w:tc>
        <w:tc>
          <w:tcPr>
            <w:tcW w:w="1134" w:type="dxa"/>
            <w:vAlign w:val="center"/>
          </w:tcPr>
          <w:p>
            <w:pPr>
              <w:pStyle w:val="58"/>
              <w:spacing w:beforeLines="0" w:afterLines="0" w:line="240" w:lineRule="auto"/>
              <w:jc w:val="center"/>
              <w:rPr>
                <w:rFonts w:ascii="Times New Roman"/>
                <w:snapToGrid w:val="0"/>
                <w:color w:val="auto"/>
                <w:kern w:val="21"/>
                <w:szCs w:val="21"/>
              </w:rPr>
            </w:pPr>
            <w:r>
              <w:rPr>
                <w:rFonts w:hint="eastAsia" w:ascii="Times New Roman"/>
                <w:snapToGrid w:val="0"/>
                <w:color w:val="auto"/>
                <w:kern w:val="21"/>
                <w:szCs w:val="21"/>
                <w:lang w:val="en-US" w:eastAsia="zh-CN"/>
              </w:rPr>
              <w:t>+855t/a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jc w:val="center"/>
              <w:rPr>
                <w:rFonts w:hint="eastAsia" w:ascii="Times New Roman"/>
                <w:snapToGrid w:val="0"/>
                <w:color w:val="auto"/>
                <w:kern w:val="21"/>
                <w:szCs w:val="21"/>
              </w:rPr>
            </w:pPr>
            <w:r>
              <w:rPr>
                <w:rFonts w:hint="default" w:ascii="Times New Roman" w:hAnsi="Times New Roman" w:eastAsia="仿宋_GB2312" w:cs="Times New Roman"/>
                <w:color w:val="auto"/>
                <w:szCs w:val="32"/>
              </w:rPr>
              <w:t>除尘器收集的粉尘</w:t>
            </w:r>
          </w:p>
        </w:tc>
        <w:tc>
          <w:tcPr>
            <w:tcW w:w="170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276"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70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559" w:type="dxa"/>
            <w:vAlign w:val="center"/>
          </w:tcPr>
          <w:p>
            <w:pPr>
              <w:pStyle w:val="58"/>
              <w:spacing w:beforeLines="0" w:afterLines="0" w:line="240" w:lineRule="auto"/>
              <w:jc w:val="center"/>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41.296t/a</w:t>
            </w:r>
          </w:p>
        </w:tc>
        <w:tc>
          <w:tcPr>
            <w:tcW w:w="176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641" w:type="dxa"/>
            <w:vAlign w:val="center"/>
          </w:tcPr>
          <w:p>
            <w:pPr>
              <w:pStyle w:val="58"/>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41.296t/a</w:t>
            </w:r>
          </w:p>
        </w:tc>
        <w:tc>
          <w:tcPr>
            <w:tcW w:w="1134" w:type="dxa"/>
            <w:vAlign w:val="center"/>
          </w:tcPr>
          <w:p>
            <w:pPr>
              <w:pStyle w:val="58"/>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+41.296t/a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jc w:val="center"/>
              <w:rPr>
                <w:rFonts w:hint="eastAsia" w:ascii="Times New Roman"/>
                <w:snapToGrid w:val="0"/>
                <w:color w:val="auto"/>
                <w:kern w:val="21"/>
                <w:szCs w:val="21"/>
              </w:rPr>
            </w:pPr>
            <w:r>
              <w:rPr>
                <w:rFonts w:hint="default" w:ascii="Times New Roman" w:hAnsi="Times New Roman" w:eastAsia="仿宋_GB2312" w:cs="Times New Roman"/>
                <w:color w:val="auto"/>
                <w:szCs w:val="32"/>
                <w:highlight w:val="none"/>
                <w:lang w:val="en-US" w:eastAsia="zh-CN"/>
              </w:rPr>
              <w:t>沉淀废渣</w:t>
            </w:r>
          </w:p>
        </w:tc>
        <w:tc>
          <w:tcPr>
            <w:tcW w:w="170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276"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70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559" w:type="dxa"/>
            <w:vAlign w:val="center"/>
          </w:tcPr>
          <w:p>
            <w:pPr>
              <w:pStyle w:val="58"/>
              <w:spacing w:beforeLines="0" w:afterLines="0" w:line="240" w:lineRule="auto"/>
              <w:jc w:val="center"/>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2.8t/a</w:t>
            </w:r>
          </w:p>
        </w:tc>
        <w:tc>
          <w:tcPr>
            <w:tcW w:w="176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641" w:type="dxa"/>
            <w:vAlign w:val="center"/>
          </w:tcPr>
          <w:p>
            <w:pPr>
              <w:pStyle w:val="58"/>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2.8t/a</w:t>
            </w:r>
          </w:p>
        </w:tc>
        <w:tc>
          <w:tcPr>
            <w:tcW w:w="1134" w:type="dxa"/>
            <w:vAlign w:val="center"/>
          </w:tcPr>
          <w:p>
            <w:pPr>
              <w:pStyle w:val="58"/>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+2.8t/a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jc w:val="center"/>
              <w:rPr>
                <w:rFonts w:hint="eastAsia" w:ascii="Times New Roman"/>
                <w:snapToGrid w:val="0"/>
                <w:color w:val="auto"/>
                <w:kern w:val="21"/>
                <w:szCs w:val="21"/>
              </w:rPr>
            </w:pPr>
            <w:r>
              <w:rPr>
                <w:rFonts w:hint="default" w:ascii="Times New Roman" w:hAnsi="Times New Roman" w:eastAsia="仿宋_GB2312" w:cs="Times New Roman"/>
                <w:color w:val="auto"/>
                <w:szCs w:val="32"/>
                <w:highlight w:val="none"/>
                <w:lang w:val="en-US" w:eastAsia="zh-CN"/>
              </w:rPr>
              <w:t>实验残渣</w:t>
            </w:r>
          </w:p>
        </w:tc>
        <w:tc>
          <w:tcPr>
            <w:tcW w:w="170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276"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70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559" w:type="dxa"/>
            <w:vAlign w:val="center"/>
          </w:tcPr>
          <w:p>
            <w:pPr>
              <w:pStyle w:val="58"/>
              <w:spacing w:beforeLines="0" w:afterLines="0" w:line="240" w:lineRule="auto"/>
              <w:jc w:val="center"/>
              <w:rPr>
                <w:rFonts w:hint="eastAsia"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5t/a</w:t>
            </w:r>
          </w:p>
        </w:tc>
        <w:tc>
          <w:tcPr>
            <w:tcW w:w="176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641" w:type="dxa"/>
            <w:vAlign w:val="center"/>
          </w:tcPr>
          <w:p>
            <w:pPr>
              <w:pStyle w:val="58"/>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5t/a</w:t>
            </w:r>
          </w:p>
        </w:tc>
        <w:tc>
          <w:tcPr>
            <w:tcW w:w="1134" w:type="dxa"/>
            <w:vAlign w:val="center"/>
          </w:tcPr>
          <w:p>
            <w:pPr>
              <w:pStyle w:val="58"/>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58"/>
              <w:spacing w:beforeLines="0" w:afterLines="0" w:line="240" w:lineRule="auto"/>
              <w:rPr>
                <w:rFonts w:ascii="Times New Roman"/>
                <w:snapToGrid w:val="0"/>
                <w:kern w:val="21"/>
                <w:szCs w:val="21"/>
              </w:rPr>
            </w:pPr>
          </w:p>
        </w:tc>
        <w:tc>
          <w:tcPr>
            <w:tcW w:w="1275" w:type="dxa"/>
            <w:vAlign w:val="center"/>
          </w:tcPr>
          <w:p>
            <w:pPr>
              <w:pStyle w:val="58"/>
              <w:spacing w:beforeLines="0" w:afterLines="0" w:line="240" w:lineRule="auto"/>
              <w:jc w:val="center"/>
              <w:rPr>
                <w:rFonts w:hint="default" w:ascii="Times New Roman" w:hAnsi="Times New Roman" w:eastAsia="仿宋_GB2312" w:cs="Times New Roman"/>
                <w:color w:val="auto"/>
                <w:szCs w:val="32"/>
                <w:highlight w:val="none"/>
                <w:lang w:val="en-US" w:eastAsia="zh-CN"/>
              </w:rPr>
            </w:pPr>
            <w:r>
              <w:rPr>
                <w:rFonts w:hint="default" w:ascii="Times New Roman" w:hAnsi="Times New Roman" w:eastAsia="仿宋_GB2312" w:cs="Times New Roman"/>
                <w:color w:val="auto"/>
                <w:szCs w:val="32"/>
                <w:highlight w:val="none"/>
                <w:lang w:val="en-US" w:eastAsia="zh-CN"/>
              </w:rPr>
              <w:t>隔油池废油</w:t>
            </w:r>
          </w:p>
        </w:tc>
        <w:tc>
          <w:tcPr>
            <w:tcW w:w="170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276"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70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559" w:type="dxa"/>
            <w:vAlign w:val="center"/>
          </w:tcPr>
          <w:p>
            <w:pPr>
              <w:pStyle w:val="58"/>
              <w:spacing w:beforeLines="0" w:afterLines="0" w:line="240" w:lineRule="auto"/>
              <w:jc w:val="center"/>
              <w:rPr>
                <w:rFonts w:hint="default" w:ascii="Times New Roman" w:eastAsia="宋体"/>
                <w:snapToGrid w:val="0"/>
                <w:color w:val="auto"/>
                <w:kern w:val="21"/>
                <w:szCs w:val="21"/>
                <w:lang w:val="en-US" w:eastAsia="zh-CN"/>
              </w:rPr>
            </w:pPr>
            <w:r>
              <w:rPr>
                <w:rFonts w:hint="eastAsia" w:ascii="Times New Roman"/>
                <w:snapToGrid w:val="0"/>
                <w:color w:val="auto"/>
                <w:kern w:val="21"/>
                <w:szCs w:val="21"/>
                <w:lang w:val="en-US" w:eastAsia="zh-CN"/>
              </w:rPr>
              <w:t>0.02t/a</w:t>
            </w:r>
          </w:p>
        </w:tc>
        <w:tc>
          <w:tcPr>
            <w:tcW w:w="1761" w:type="dxa"/>
            <w:vAlign w:val="center"/>
          </w:tcPr>
          <w:p>
            <w:pPr>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w:t>
            </w:r>
          </w:p>
        </w:tc>
        <w:tc>
          <w:tcPr>
            <w:tcW w:w="1641" w:type="dxa"/>
            <w:vAlign w:val="center"/>
          </w:tcPr>
          <w:p>
            <w:pPr>
              <w:pStyle w:val="58"/>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0.02t/a</w:t>
            </w:r>
          </w:p>
        </w:tc>
        <w:tc>
          <w:tcPr>
            <w:tcW w:w="1134" w:type="dxa"/>
            <w:vAlign w:val="center"/>
          </w:tcPr>
          <w:p>
            <w:pPr>
              <w:pStyle w:val="58"/>
              <w:spacing w:beforeLines="0" w:afterLines="0" w:line="240" w:lineRule="auto"/>
              <w:jc w:val="center"/>
              <w:rPr>
                <w:rFonts w:hint="eastAsia" w:ascii="Times New Roman"/>
                <w:snapToGrid w:val="0"/>
                <w:color w:val="auto"/>
                <w:kern w:val="21"/>
                <w:szCs w:val="21"/>
              </w:rPr>
            </w:pPr>
            <w:r>
              <w:rPr>
                <w:rFonts w:hint="eastAsia" w:ascii="Times New Roman"/>
                <w:snapToGrid w:val="0"/>
                <w:color w:val="auto"/>
                <w:kern w:val="21"/>
                <w:szCs w:val="21"/>
                <w:lang w:val="en-US" w:eastAsia="zh-CN"/>
              </w:rPr>
              <w:t>+0.02t/a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危险废物</w:t>
            </w:r>
          </w:p>
        </w:tc>
        <w:tc>
          <w:tcPr>
            <w:tcW w:w="1275" w:type="dxa"/>
            <w:vAlign w:val="center"/>
          </w:tcPr>
          <w:p>
            <w:pPr>
              <w:pStyle w:val="58"/>
              <w:spacing w:beforeLines="0" w:afterLines="0" w:line="240" w:lineRule="auto"/>
              <w:rPr>
                <w:rFonts w:hint="default" w:ascii="Times New Roman" w:eastAsia="宋体"/>
                <w:snapToGrid w:val="0"/>
                <w:kern w:val="21"/>
                <w:szCs w:val="21"/>
                <w:lang w:val="en-US" w:eastAsia="zh-CN"/>
              </w:rPr>
            </w:pPr>
            <w:r>
              <w:rPr>
                <w:rFonts w:hint="eastAsia" w:ascii="Times New Roman"/>
                <w:snapToGrid w:val="0"/>
                <w:kern w:val="21"/>
                <w:szCs w:val="21"/>
              </w:rPr>
              <w:t>废润滑油</w:t>
            </w:r>
            <w:r>
              <w:rPr>
                <w:rFonts w:hint="eastAsia" w:ascii="Times New Roman"/>
                <w:snapToGrid w:val="0"/>
                <w:kern w:val="21"/>
                <w:szCs w:val="21"/>
                <w:lang w:val="en-US" w:eastAsia="zh-CN"/>
              </w:rPr>
              <w:t>、</w:t>
            </w:r>
            <w:r>
              <w:rPr>
                <w:rFonts w:hint="eastAsia" w:ascii="Times New Roman"/>
                <w:snapToGrid w:val="0"/>
                <w:kern w:val="21"/>
                <w:szCs w:val="21"/>
              </w:rPr>
              <w:t>废油桶</w:t>
            </w:r>
            <w:r>
              <w:rPr>
                <w:rFonts w:hint="eastAsia" w:ascii="Times New Roman"/>
                <w:snapToGrid w:val="0"/>
                <w:kern w:val="21"/>
                <w:szCs w:val="21"/>
                <w:lang w:eastAsia="zh-CN"/>
              </w:rPr>
              <w:t>、</w:t>
            </w:r>
            <w:r>
              <w:rPr>
                <w:rFonts w:hint="eastAsia" w:ascii="Times New Roman"/>
                <w:snapToGrid w:val="0"/>
                <w:kern w:val="21"/>
                <w:szCs w:val="21"/>
                <w:lang w:val="en-US" w:eastAsia="zh-CN"/>
              </w:rPr>
              <w:t>废手套</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276"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70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559" w:type="dxa"/>
            <w:vAlign w:val="center"/>
          </w:tcPr>
          <w:p>
            <w:pPr>
              <w:pStyle w:val="58"/>
              <w:spacing w:beforeLines="0" w:afterLines="0" w:line="240" w:lineRule="auto"/>
              <w:rPr>
                <w:rFonts w:ascii="Times New Roman"/>
                <w:snapToGrid w:val="0"/>
                <w:kern w:val="21"/>
                <w:szCs w:val="21"/>
              </w:rPr>
            </w:pPr>
            <w:r>
              <w:rPr>
                <w:rFonts w:hint="eastAsia" w:ascii="Times New Roman"/>
                <w:snapToGrid w:val="0"/>
                <w:kern w:val="21"/>
                <w:szCs w:val="21"/>
                <w:lang w:val="en-US" w:eastAsia="zh-CN"/>
              </w:rPr>
              <w:t>0.15</w:t>
            </w:r>
            <w:r>
              <w:rPr>
                <w:rFonts w:hint="eastAsia" w:ascii="Times New Roman"/>
                <w:szCs w:val="21"/>
              </w:rPr>
              <w:t>t/a</w:t>
            </w:r>
          </w:p>
        </w:tc>
        <w:tc>
          <w:tcPr>
            <w:tcW w:w="176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p>
        </w:tc>
        <w:tc>
          <w:tcPr>
            <w:tcW w:w="1641"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r>
              <w:rPr>
                <w:rFonts w:hint="eastAsia" w:ascii="Times New Roman"/>
                <w:snapToGrid w:val="0"/>
                <w:kern w:val="21"/>
                <w:szCs w:val="21"/>
              </w:rPr>
              <w:t>5</w:t>
            </w:r>
            <w:r>
              <w:rPr>
                <w:rFonts w:hint="eastAsia" w:ascii="Times New Roman"/>
                <w:szCs w:val="21"/>
              </w:rPr>
              <w:t>t/a</w:t>
            </w:r>
          </w:p>
        </w:tc>
        <w:tc>
          <w:tcPr>
            <w:tcW w:w="1134" w:type="dxa"/>
            <w:vAlign w:val="center"/>
          </w:tcPr>
          <w:p>
            <w:pPr>
              <w:pStyle w:val="58"/>
              <w:spacing w:beforeLines="0" w:afterLines="0" w:line="240" w:lineRule="auto"/>
              <w:rPr>
                <w:rFonts w:ascii="Times New Roman"/>
                <w:snapToGrid w:val="0"/>
                <w:kern w:val="21"/>
                <w:szCs w:val="21"/>
              </w:rPr>
            </w:pPr>
            <w:r>
              <w:rPr>
                <w:rFonts w:ascii="Times New Roman"/>
                <w:snapToGrid w:val="0"/>
                <w:kern w:val="21"/>
                <w:szCs w:val="21"/>
              </w:rPr>
              <w:t>+0.</w:t>
            </w:r>
            <w:r>
              <w:rPr>
                <w:rFonts w:hint="eastAsia" w:ascii="Times New Roman"/>
                <w:snapToGrid w:val="0"/>
                <w:kern w:val="21"/>
                <w:szCs w:val="21"/>
              </w:rPr>
              <w:t>5</w:t>
            </w:r>
            <w:r>
              <w:rPr>
                <w:rFonts w:hint="eastAsia" w:ascii="Times New Roman"/>
                <w:szCs w:val="21"/>
              </w:rPr>
              <w:t>t/a</w:t>
            </w:r>
          </w:p>
        </w:tc>
      </w:tr>
    </w:tbl>
    <w:p>
      <w:pPr>
        <w:pStyle w:val="58"/>
        <w:spacing w:before="192" w:beforeLines="80" w:after="24"/>
        <w:jc w:val="left"/>
        <w:rPr>
          <w:rFonts w:hAnsi="宋体"/>
          <w:snapToGrid w:val="0"/>
          <w:spacing w:val="-6"/>
          <w:kern w:val="21"/>
          <w:szCs w:val="21"/>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p>
      <w:pPr>
        <w:rPr>
          <w:highlight w:val="yellow"/>
        </w:rPr>
        <w:sectPr>
          <w:footerReference r:id="rId4"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
        <w:rPr>
          <w:rFonts w:hint="eastAsia"/>
        </w:rPr>
      </w:pPr>
      <w:r>
        <w:rPr>
          <w:rFonts w:hint="eastAsia"/>
        </w:rPr>
        <w:t>附件1  环评委托书</w:t>
      </w:r>
    </w:p>
    <w:p>
      <w:pPr>
        <w:rPr>
          <w:rFonts w:hint="eastAsia" w:eastAsia="宋体"/>
          <w:lang w:eastAsia="zh-CN"/>
        </w:rPr>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type="lines" w:linePitch="312" w:charSpace="0"/>
        </w:sectPr>
      </w:pPr>
    </w:p>
    <w:p>
      <w:pPr>
        <w:pStyle w:val="3"/>
      </w:pPr>
      <w:r>
        <w:rPr>
          <w:rFonts w:hint="eastAsia"/>
        </w:rPr>
        <w:t>附件2 备案表</w:t>
      </w:r>
    </w:p>
    <w:p>
      <w:pPr>
        <w:pStyle w:val="29"/>
        <w:spacing w:line="360" w:lineRule="auto"/>
        <w:ind w:left="0" w:leftChars="0" w:firstLine="0" w:firstLineChars="0"/>
        <w:jc w:val="center"/>
        <w:rPr>
          <w:sz w:val="28"/>
          <w:szCs w:val="28"/>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pStyle w:val="3"/>
      </w:pPr>
      <w:r>
        <w:rPr>
          <w:rFonts w:hint="eastAsia"/>
        </w:rPr>
        <w:t>附件3  土地出让合同</w:t>
      </w:r>
    </w:p>
    <w:p>
      <w:pPr>
        <w:jc w:val="cente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rPr>
          <w:b/>
          <w:bCs/>
          <w:sz w:val="28"/>
          <w:szCs w:val="28"/>
        </w:rPr>
      </w:pPr>
      <w:r>
        <w:rPr>
          <w:rFonts w:hint="eastAsia"/>
          <w:b/>
          <w:bCs/>
          <w:sz w:val="28"/>
          <w:szCs w:val="28"/>
        </w:rPr>
        <w:br w:type="page"/>
      </w:r>
    </w:p>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
      </w:pPr>
      <w:r>
        <w:rPr>
          <w:rFonts w:hint="eastAsia"/>
        </w:rPr>
        <w:t>附件4  环境质量现状监测报告</w:t>
      </w:r>
    </w:p>
    <w:p>
      <w:pPr>
        <w:pStyle w:val="41"/>
        <w:rPr>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
      </w:pPr>
      <w:r>
        <w:rPr>
          <w:rFonts w:hint="eastAsia"/>
        </w:rPr>
        <w:t>附图1  第七师胡杨河市环境管控单元分类图</w:t>
      </w:r>
    </w:p>
    <w:p>
      <w:pPr>
        <w:jc w:val="cente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r>
        <mc:AlternateContent>
          <mc:Choice Requires="wps">
            <w:drawing>
              <wp:anchor distT="0" distB="0" distL="114300" distR="114300" simplePos="0" relativeHeight="251759616" behindDoc="0" locked="0" layoutInCell="1" allowOverlap="1">
                <wp:simplePos x="0" y="0"/>
                <wp:positionH relativeFrom="column">
                  <wp:posOffset>2385695</wp:posOffset>
                </wp:positionH>
                <wp:positionV relativeFrom="paragraph">
                  <wp:posOffset>1769745</wp:posOffset>
                </wp:positionV>
                <wp:extent cx="76200" cy="76200"/>
                <wp:effectExtent l="12700" t="12700" r="25400" b="25400"/>
                <wp:wrapNone/>
                <wp:docPr id="147" name="椭圆 147"/>
                <wp:cNvGraphicFramePr/>
                <a:graphic xmlns:a="http://schemas.openxmlformats.org/drawingml/2006/main">
                  <a:graphicData uri="http://schemas.microsoft.com/office/word/2010/wordprocessingShape">
                    <wps:wsp>
                      <wps:cNvSpPr/>
                      <wps:spPr>
                        <a:xfrm>
                          <a:off x="5156200" y="4563745"/>
                          <a:ext cx="76200" cy="7620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7.85pt;margin-top:139.35pt;height:6pt;width:6pt;z-index:251759616;v-text-anchor:middle;mso-width-relative:page;mso-height-relative:page;" fillcolor="#FFFF00" filled="t" stroked="t" coordsize="21600,21600" o:gfxdata="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XJ0+z2wAAAAsBAAAPAAAAAAAAAAEAIAAAACIAAABkcnMvZG93bnJldi54&#10;bWxQSwECFAAUAAAACACHTuJA/CPKJmkCAADtBAAADgAAAAAAAAABACAAAAAqAQAAZHJzL2Uyb0Rv&#10;Yy54bWxQSwUGAAAAAAYABgBZAQAABQYAAAAA&#10;">
                <v:fill on="t" focussize="0,0"/>
                <v:stroke weight="2pt" color="#FFFF00 [3204]" joinstyle="round"/>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3249295</wp:posOffset>
                </wp:positionH>
                <wp:positionV relativeFrom="paragraph">
                  <wp:posOffset>4735830</wp:posOffset>
                </wp:positionV>
                <wp:extent cx="76200" cy="76200"/>
                <wp:effectExtent l="12700" t="12700" r="25400" b="25400"/>
                <wp:wrapNone/>
                <wp:docPr id="148" name="椭圆 14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5.85pt;margin-top:372.9pt;height:6pt;width:6pt;z-index:251760640;v-text-anchor:middle;mso-width-relative:page;mso-height-relative:page;" fillcolor="#FFFF00" filled="t" stroked="t" coordsize="21600,21600" o:gfxdata="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XkPH9oAAAALAQAADwAAAAAAAAABACAAAAAiAAAAZHJzL2Rvd25yZXYueG1sUEsBAhQAFAAAAAgA&#10;h07iQB2qK3JcAgAA4QQAAA4AAAAAAAAAAQAgAAAAKQEAAGRycy9lMm9Eb2MueG1sUEsFBgAAAAAG&#10;AAYAWQEAAPcFAAAAAA==&#10;">
                <v:fill on="t" focussize="0,0"/>
                <v:stroke weight="2pt" color="#FFFF00 [3204]" joinstyle="round"/>
                <v:imagedata o:title=""/>
                <o:lock v:ext="edit" aspectratio="f"/>
              </v:shape>
            </w:pict>
          </mc:Fallback>
        </mc:AlternateContent>
      </w:r>
    </w:p>
    <w:p>
      <w:pPr>
        <w:pStyle w:val="3"/>
      </w:pPr>
      <w:r>
        <w:drawing>
          <wp:anchor distT="0" distB="0" distL="114300" distR="114300" simplePos="0" relativeHeight="251778048" behindDoc="0" locked="0" layoutInCell="1" allowOverlap="1">
            <wp:simplePos x="0" y="0"/>
            <wp:positionH relativeFrom="column">
              <wp:posOffset>6740525</wp:posOffset>
            </wp:positionH>
            <wp:positionV relativeFrom="paragraph">
              <wp:posOffset>316230</wp:posOffset>
            </wp:positionV>
            <wp:extent cx="956945" cy="952500"/>
            <wp:effectExtent l="0" t="0" r="14605" b="0"/>
            <wp:wrapNone/>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
                    <pic:cNvPicPr>
                      <a:picLocks noChangeAspect="1"/>
                    </pic:cNvPicPr>
                  </pic:nvPicPr>
                  <pic:blipFill>
                    <a:blip r:embed="rId41"/>
                    <a:stretch>
                      <a:fillRect/>
                    </a:stretch>
                  </pic:blipFill>
                  <pic:spPr>
                    <a:xfrm>
                      <a:off x="0" y="0"/>
                      <a:ext cx="956945" cy="952500"/>
                    </a:xfrm>
                    <a:prstGeom prst="rect">
                      <a:avLst/>
                    </a:prstGeom>
                    <a:noFill/>
                    <a:ln>
                      <a:noFill/>
                    </a:ln>
                  </pic:spPr>
                </pic:pic>
              </a:graphicData>
            </a:graphic>
          </wp:anchor>
        </w:drawing>
      </w:r>
      <w:r>
        <w:rPr>
          <w:rFonts w:hint="eastAsia"/>
        </w:rPr>
        <w:t>附图2   项目地理位置图</w:t>
      </w:r>
    </w:p>
    <w:p>
      <w:pPr>
        <w:jc w:val="center"/>
      </w:pPr>
      <w:r>
        <w:rPr>
          <w:sz w:val="32"/>
          <w:szCs w:val="32"/>
        </w:rPr>
        <mc:AlternateContent>
          <mc:Choice Requires="wps">
            <w:drawing>
              <wp:anchor distT="0" distB="0" distL="114300" distR="114300" simplePos="0" relativeHeight="251749376" behindDoc="0" locked="0" layoutInCell="1" allowOverlap="1">
                <wp:simplePos x="0" y="0"/>
                <wp:positionH relativeFrom="column">
                  <wp:posOffset>5782945</wp:posOffset>
                </wp:positionH>
                <wp:positionV relativeFrom="paragraph">
                  <wp:posOffset>2190115</wp:posOffset>
                </wp:positionV>
                <wp:extent cx="946150" cy="307975"/>
                <wp:effectExtent l="1958340" t="4445" r="10160" b="373380"/>
                <wp:wrapNone/>
                <wp:docPr id="151" name="对话气泡: 圆角矩形 1466"/>
                <wp:cNvGraphicFramePr/>
                <a:graphic xmlns:a="http://schemas.openxmlformats.org/drawingml/2006/main">
                  <a:graphicData uri="http://schemas.microsoft.com/office/word/2010/wordprocessingShape">
                    <wps:wsp>
                      <wps:cNvSpPr>
                        <a:spLocks noChangeArrowheads="1"/>
                      </wps:cNvSpPr>
                      <wps:spPr bwMode="auto">
                        <a:xfrm>
                          <a:off x="0" y="0"/>
                          <a:ext cx="946150" cy="307975"/>
                        </a:xfrm>
                        <a:prstGeom prst="wedgeRoundRectCallout">
                          <a:avLst>
                            <a:gd name="adj1" fmla="val -252953"/>
                            <a:gd name="adj2" fmla="val 164020"/>
                            <a:gd name="adj3" fmla="val 16667"/>
                          </a:avLst>
                        </a:prstGeom>
                        <a:solidFill>
                          <a:srgbClr val="FFFFFF"/>
                        </a:solidFill>
                        <a:ln w="9525">
                          <a:solidFill>
                            <a:srgbClr val="000000"/>
                          </a:solidFill>
                          <a:miter lim="800000"/>
                        </a:ln>
                      </wps:spPr>
                      <wps:txbx>
                        <w:txbxContent>
                          <w:p>
                            <w:r>
                              <w:t>项目所在地</w:t>
                            </w:r>
                          </w:p>
                        </w:txbxContent>
                      </wps:txbx>
                      <wps:bodyPr rot="0" vert="horz" wrap="square" lIns="91440" tIns="45720" rIns="91440" bIns="45720" anchor="t" anchorCtr="0" upright="1">
                        <a:noAutofit/>
                      </wps:bodyPr>
                    </wps:wsp>
                  </a:graphicData>
                </a:graphic>
              </wp:anchor>
            </w:drawing>
          </mc:Choice>
          <mc:Fallback>
            <w:pict>
              <v:shape id="对话气泡: 圆角矩形 1466" o:spid="_x0000_s1026" o:spt="62" type="#_x0000_t62" style="position:absolute;left:0pt;margin-left:455.35pt;margin-top:172.45pt;height:24.25pt;width:74.5pt;z-index:251749376;mso-width-relative:page;mso-height-relative:page;" fillcolor="#FFFFFF" filled="t" stroked="t" coordsize="21600,21600" o:gfxdata="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pASzI2wAAAAwBAAAPAAAAAAAAAAEAIAAAACIAAABkcnMvZG93bnJldi54bWxQSwECFAAUAAAA&#10;CACHTuJA614PM5YCAAAbBQAADgAAAAAAAAABACAAAAAqAQAAZHJzL2Uyb0RvYy54bWxQSwUGAAAA&#10;AAYABgBZAQAAMgYAAAAA&#10;" adj="-43838,46228,14400">
                <v:fill on="t" focussize="0,0"/>
                <v:stroke color="#000000" miterlimit="8" joinstyle="miter"/>
                <v:imagedata o:title=""/>
                <o:lock v:ext="edit" aspectratio="f"/>
                <v:textbox>
                  <w:txbxContent>
                    <w:p>
                      <w:r>
                        <w:t>项目所在地</w:t>
                      </w:r>
                    </w:p>
                  </w:txbxContent>
                </v:textbox>
              </v:shap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2997835</wp:posOffset>
                </wp:positionH>
                <wp:positionV relativeFrom="paragraph">
                  <wp:posOffset>-2655570</wp:posOffset>
                </wp:positionV>
                <wp:extent cx="675640" cy="233680"/>
                <wp:effectExtent l="0" t="0" r="0" b="0"/>
                <wp:wrapNone/>
                <wp:docPr id="8" name="文本框 8"/>
                <wp:cNvGraphicFramePr/>
                <a:graphic xmlns:a="http://schemas.openxmlformats.org/drawingml/2006/main">
                  <a:graphicData uri="http://schemas.microsoft.com/office/word/2010/wordprocessingShape">
                    <wps:wsp>
                      <wps:cNvSpPr txBox="1"/>
                      <wps:spPr>
                        <a:xfrm>
                          <a:off x="4207510" y="4027170"/>
                          <a:ext cx="675640" cy="233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项目区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05pt;margin-top:-209.1pt;height:18.4pt;width:53.2pt;z-index:251743232;mso-width-relative:page;mso-height-relative:page;" filled="f" stroked="f" coordsize="21600,21600" o:gfxdata="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53m963gAAAA0BAAAPAAAAAAAA&#10;AAEAIAAAACIAAABkcnMvZG93bnJldi54bWxQSwECFAAUAAAACACHTuJACAUKakUCAABxBAAADgAA&#10;AAAAAAABACAAAAAtAQAAZHJzL2Uyb0RvYy54bWxQSwUGAAAAAAYABgBZAQAA5AUAAAAA&#10;">
                <v:fill on="f" focussize="0,0"/>
                <v:stroke on="f" weight="0.5pt"/>
                <v:imagedata o:title=""/>
                <o:lock v:ext="edit" aspectratio="f"/>
                <v:textbox>
                  <w:txbxContent>
                    <w:p>
                      <w:r>
                        <w:rPr>
                          <w:rFonts w:hint="eastAsia"/>
                        </w:rPr>
                        <w:t>项目区</w:t>
                      </w:r>
                    </w:p>
                  </w:txbxContent>
                </v:textbox>
              </v:shap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2893695</wp:posOffset>
                </wp:positionH>
                <wp:positionV relativeFrom="paragraph">
                  <wp:posOffset>-2499995</wp:posOffset>
                </wp:positionV>
                <wp:extent cx="130175" cy="138430"/>
                <wp:effectExtent l="12700" t="12700" r="28575" b="20320"/>
                <wp:wrapNone/>
                <wp:docPr id="7" name="十字星 7"/>
                <wp:cNvGraphicFramePr/>
                <a:graphic xmlns:a="http://schemas.openxmlformats.org/drawingml/2006/main">
                  <a:graphicData uri="http://schemas.microsoft.com/office/word/2010/wordprocessingShape">
                    <wps:wsp>
                      <wps:cNvSpPr/>
                      <wps:spPr>
                        <a:xfrm>
                          <a:off x="3999865" y="4208780"/>
                          <a:ext cx="130175" cy="138430"/>
                        </a:xfrm>
                        <a:prstGeom prst="star4">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227.85pt;margin-top:-196.85pt;height:10.9pt;width:10.25pt;z-index:251742208;v-text-anchor:middle;mso-width-relative:page;mso-height-relative:page;" fillcolor="#FF0000" filled="t" stroked="t" coordsize="21600,21600" o:gfxdata="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&#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EBNQ+3QAAAA0BAAAPAAAAAAAAAAEAIAAAACIAAABk&#10;cnMvZG93bnJldi54bWxQSwECFAAUAAAACACHTuJA0Vp9PnMCAADsBAAADgAAAAAAAAABACAAAAAs&#10;AQAAZHJzL2Uyb0RvYy54bWxQSwUGAAAAAAYABgBZAQAAEQYAAAAA&#10;" adj="8100">
                <v:fill on="t" focussize="0,0"/>
                <v:stroke weight="2pt" color="#FF0000 [3204]" joinstyle="round"/>
                <v:imagedata o:title=""/>
                <o:lock v:ext="edit" aspectratio="f"/>
              </v:shape>
            </w:pict>
          </mc:Fallback>
        </mc:AlternateContent>
      </w:r>
      <w:r>
        <w:br w:type="page"/>
      </w:r>
    </w:p>
    <w:p>
      <w:pPr>
        <w:pStyle w:val="3"/>
      </w:pPr>
      <w:r>
        <w:rPr>
          <w:rFonts w:hint="eastAsia"/>
        </w:rPr>
        <w:t>附图3    项目卫星影像图及敏感点示意图</w:t>
      </w:r>
    </w:p>
    <w:p>
      <w:pPr>
        <w:jc w:val="center"/>
      </w:pPr>
      <w:r>
        <mc:AlternateContent>
          <mc:Choice Requires="wps">
            <w:drawing>
              <wp:anchor distT="0" distB="0" distL="114300" distR="114300" simplePos="0" relativeHeight="251780096" behindDoc="0" locked="0" layoutInCell="1" allowOverlap="1">
                <wp:simplePos x="0" y="0"/>
                <wp:positionH relativeFrom="column">
                  <wp:posOffset>5825490</wp:posOffset>
                </wp:positionH>
                <wp:positionV relativeFrom="paragraph">
                  <wp:posOffset>2737485</wp:posOffset>
                </wp:positionV>
                <wp:extent cx="1583055" cy="52895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583055" cy="528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00"/>
                              </w:rPr>
                            </w:pPr>
                            <w:r>
                              <w:rPr>
                                <w:rFonts w:hint="eastAsia"/>
                                <w:color w:val="FFFF00"/>
                                <w:sz w:val="24"/>
                              </w:rPr>
                              <w:t>大气补充监测点位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7pt;margin-top:215.55pt;height:41.65pt;width:124.65pt;z-index:251780096;mso-width-relative:page;mso-height-relative:page;" filled="f" stroked="f" coordsize="21600,21600" o:gfxdata="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af1Ta3QAAAAwBAAAPAAAAAAAAAAEAIAAAACIA&#10;AABkcnMvZG93bnJldi54bWxQSwECFAAUAAAACACHTuJAgfv8cT0CAABqBAAADgAAAAAAAAABACAA&#10;AAAsAQAAZHJzL2Uyb0RvYy54bWxQSwUGAAAAAAYABgBZAQAA2wUAAAAA&#10;">
                <v:fill on="f" focussize="0,0"/>
                <v:stroke on="f" weight="0.5pt"/>
                <v:imagedata o:title=""/>
                <o:lock v:ext="edit" aspectratio="f"/>
                <v:textbox>
                  <w:txbxContent>
                    <w:p>
                      <w:pPr>
                        <w:rPr>
                          <w:color w:val="FFFF00"/>
                        </w:rPr>
                      </w:pPr>
                      <w:r>
                        <w:rPr>
                          <w:rFonts w:hint="eastAsia"/>
                          <w:color w:val="FFFF00"/>
                          <w:sz w:val="24"/>
                        </w:rPr>
                        <w:t>大气补充监测点位</w:t>
                      </w:r>
                    </w:p>
                  </w:txbxContent>
                </v:textbox>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6276340</wp:posOffset>
                </wp:positionH>
                <wp:positionV relativeFrom="paragraph">
                  <wp:posOffset>2634615</wp:posOffset>
                </wp:positionV>
                <wp:extent cx="201295" cy="180975"/>
                <wp:effectExtent l="15240" t="14605" r="31115" b="13970"/>
                <wp:wrapNone/>
                <wp:docPr id="91" name="五角星 91"/>
                <wp:cNvGraphicFramePr/>
                <a:graphic xmlns:a="http://schemas.openxmlformats.org/drawingml/2006/main">
                  <a:graphicData uri="http://schemas.microsoft.com/office/word/2010/wordprocessingShape">
                    <wps:wsp>
                      <wps:cNvSpPr/>
                      <wps:spPr>
                        <a:xfrm>
                          <a:off x="0" y="0"/>
                          <a:ext cx="201295" cy="18097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494.2pt;margin-top:207.45pt;height:14.25pt;width:15.85pt;z-index:251779072;mso-width-relative:page;mso-height-relative:page;" fillcolor="#FF0000" filled="t" stroked="t" coordsize="201295,180975" o:gfxdata="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N+1F9sAAAAMAQAADwAAAAAAAAABACAAAAAiAAAAZHJzL2Rv&#10;d25yZXYueG1sUEsBAhQAFAAAAAgAh07iQHDaWr/+AQAAIwQAAA4AAAAAAAAAAQAgAAAAKgEAAGRy&#10;cy9lMm9Eb2MueG1sUEsFBgAAAAAGAAYAWQEAAJoFAAAAAA==&#10;" path="m0,69126l76888,69126,100647,0,124406,69126,201294,69126,139090,111848,162850,180974,100647,138251,38444,180974,62204,111848xe">
                <v:path o:connectlocs="100647,0;0,69126;38444,180974;162850,180974;201294,69126" o:connectangles="247,164,82,82,0"/>
                <v:fill on="t" focussize="0,0"/>
                <v:stroke color="#FF0000" joinstyle="miter"/>
                <v:imagedata o:title=""/>
                <o:lock v:ext="edit" aspectratio="f"/>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4439920</wp:posOffset>
                </wp:positionH>
                <wp:positionV relativeFrom="paragraph">
                  <wp:posOffset>3039110</wp:posOffset>
                </wp:positionV>
                <wp:extent cx="1404620" cy="52895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404620" cy="528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00"/>
                              </w:rPr>
                            </w:pPr>
                            <w:r>
                              <w:rPr>
                                <w:rFonts w:hint="eastAsia"/>
                                <w:color w:val="FFFF00"/>
                                <w:sz w:val="24"/>
                              </w:rPr>
                              <w:t>空地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6pt;margin-top:239.3pt;height:41.65pt;width:110.6pt;z-index:251777024;mso-width-relative:page;mso-height-relative:page;" filled="f" stroked="f" coordsize="21600,21600" o:gfxdata="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&#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0ZJvNwAAAALAQAADwAAAAAAAAABACAAAAAiAAAA&#10;ZHJzL2Rvd25yZXYueG1sUEsBAhQAFAAAAAgAh07iQGBkToA8AgAAaAQAAA4AAAAAAAAAAQAgAAAA&#10;KwEAAGRycy9lMm9Eb2MueG1sUEsFBgAAAAAGAAYAWQEAANkFAAAAAA==&#10;">
                <v:fill on="f" focussize="0,0"/>
                <v:stroke on="f" weight="0.5pt"/>
                <v:imagedata o:title=""/>
                <o:lock v:ext="edit" aspectratio="f"/>
                <v:textbox>
                  <w:txbxContent>
                    <w:p>
                      <w:pPr>
                        <w:rPr>
                          <w:color w:val="FFFF00"/>
                        </w:rPr>
                      </w:pPr>
                      <w:r>
                        <w:rPr>
                          <w:rFonts w:hint="eastAsia"/>
                          <w:color w:val="FFFF00"/>
                          <w:sz w:val="24"/>
                        </w:rPr>
                        <w:t>空地</w:t>
                      </w:r>
                    </w:p>
                  </w:txbxContent>
                </v:textbox>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3708400</wp:posOffset>
                </wp:positionH>
                <wp:positionV relativeFrom="paragraph">
                  <wp:posOffset>1442085</wp:posOffset>
                </wp:positionV>
                <wp:extent cx="1404620" cy="52895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404620" cy="528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00"/>
                              </w:rPr>
                            </w:pPr>
                            <w:r>
                              <w:rPr>
                                <w:rFonts w:hint="eastAsia"/>
                                <w:color w:val="FFFF00"/>
                                <w:sz w:val="24"/>
                              </w:rPr>
                              <w:t>在建水溶肥项目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pt;margin-top:113.55pt;height:41.65pt;width:110.6pt;z-index:251776000;mso-width-relative:page;mso-height-relative:page;" filled="f" stroked="f" coordsize="21600,21600" o:gfxdata="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XTO/2wAAAAsBAAAPAAAAAAAAAAEAIAAAACIAAABk&#10;cnMvZG93bnJldi54bWxQSwECFAAUAAAACACHTuJA9R8YCzwCAABoBAAADgAAAAAAAAABACAAAAAq&#10;AQAAZHJzL2Uyb0RvYy54bWxQSwUGAAAAAAYABgBZAQAA2AUAAAAA&#10;">
                <v:fill on="f" focussize="0,0"/>
                <v:stroke on="f" weight="0.5pt"/>
                <v:imagedata o:title=""/>
                <o:lock v:ext="edit" aspectratio="f"/>
                <v:textbox>
                  <w:txbxContent>
                    <w:p>
                      <w:pPr>
                        <w:rPr>
                          <w:color w:val="FFFF00"/>
                        </w:rPr>
                      </w:pPr>
                      <w:r>
                        <w:rPr>
                          <w:rFonts w:hint="eastAsia"/>
                          <w:color w:val="FFFF00"/>
                          <w:sz w:val="24"/>
                        </w:rPr>
                        <w:t>在建水溶肥项目</w:t>
                      </w:r>
                    </w:p>
                  </w:txbxContent>
                </v:textbox>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2232025</wp:posOffset>
                </wp:positionH>
                <wp:positionV relativeFrom="paragraph">
                  <wp:posOffset>1847215</wp:posOffset>
                </wp:positionV>
                <wp:extent cx="1404620" cy="52895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404620" cy="528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00"/>
                              </w:rPr>
                            </w:pPr>
                            <w:r>
                              <w:rPr>
                                <w:rFonts w:hint="eastAsia"/>
                                <w:color w:val="FFFF00"/>
                                <w:sz w:val="24"/>
                              </w:rPr>
                              <w:t>空地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75pt;margin-top:145.45pt;height:41.65pt;width:110.6pt;z-index:251774976;mso-width-relative:page;mso-height-relative:page;" filled="f" stroked="f" coordsize="21600,21600" o:gfxdata="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&#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QUovNwAAAALAQAADwAAAAAAAAABACAAAAAiAAAA&#10;ZHJzL2Rvd25yZXYueG1sUEsBAhQAFAAAAAgAh07iQGvnYwo8AgAAaAQAAA4AAAAAAAAAAQAgAAAA&#10;KwEAAGRycy9lMm9Eb2MueG1sUEsFBgAAAAAGAAYAWQEAANkFAAAAAA==&#10;">
                <v:fill on="f" focussize="0,0"/>
                <v:stroke on="f" weight="0.5pt"/>
                <v:imagedata o:title=""/>
                <o:lock v:ext="edit" aspectratio="f"/>
                <v:textbox>
                  <w:txbxContent>
                    <w:p>
                      <w:pPr>
                        <w:rPr>
                          <w:color w:val="FFFF00"/>
                        </w:rPr>
                      </w:pPr>
                      <w:r>
                        <w:rPr>
                          <w:rFonts w:hint="eastAsia"/>
                          <w:color w:val="FFFF00"/>
                          <w:sz w:val="24"/>
                        </w:rPr>
                        <w:t>空地</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2667000</wp:posOffset>
                </wp:positionH>
                <wp:positionV relativeFrom="paragraph">
                  <wp:posOffset>3083560</wp:posOffset>
                </wp:positionV>
                <wp:extent cx="1404620" cy="52895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404620" cy="528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00"/>
                              </w:rPr>
                            </w:pPr>
                            <w:r>
                              <w:rPr>
                                <w:rFonts w:hint="eastAsia"/>
                                <w:color w:val="FFFF00"/>
                                <w:sz w:val="24"/>
                              </w:rPr>
                              <w:t>奎皖塑料厂及百信商混站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pt;margin-top:242.8pt;height:41.65pt;width:110.6pt;z-index:251753472;mso-width-relative:page;mso-height-relative:page;" filled="f" stroked="f" coordsize="21600,21600" o:gfxdata="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&#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FeVg2wAAAAsBAAAPAAAAAAAAAAEAIAAAACIAAABk&#10;cnMvZG93bnJldi54bWxQSwECFAAUAAAACACHTuJA/pw1gTwCAABoBAAADgAAAAAAAAABACAAAAAq&#10;AQAAZHJzL2Uyb0RvYy54bWxQSwUGAAAAAAYABgBZAQAA2AUAAAAA&#10;">
                <v:fill on="f" focussize="0,0"/>
                <v:stroke on="f" weight="0.5pt"/>
                <v:imagedata o:title=""/>
                <o:lock v:ext="edit" aspectratio="f"/>
                <v:textbox>
                  <w:txbxContent>
                    <w:p>
                      <w:pPr>
                        <w:rPr>
                          <w:color w:val="FFFF00"/>
                        </w:rPr>
                      </w:pPr>
                      <w:r>
                        <w:rPr>
                          <w:rFonts w:hint="eastAsia"/>
                          <w:color w:val="FFFF00"/>
                          <w:sz w:val="24"/>
                        </w:rPr>
                        <w:t>奎皖塑料厂及百信商混站</w:t>
                      </w: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5957570</wp:posOffset>
                </wp:positionH>
                <wp:positionV relativeFrom="paragraph">
                  <wp:posOffset>2155825</wp:posOffset>
                </wp:positionV>
                <wp:extent cx="1270000" cy="40259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270000" cy="402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00"/>
                              </w:rPr>
                            </w:pPr>
                            <w:r>
                              <w:rPr>
                                <w:rFonts w:hint="eastAsia"/>
                                <w:color w:val="FFFF00"/>
                              </w:rPr>
                              <w:t>131团10连居民点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9.1pt;margin-top:169.75pt;height:31.7pt;width:100pt;z-index:251754496;mso-width-relative:page;mso-height-relative:page;" filled="f" stroked="f" coordsize="21600,21600" o:gfxdata="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TZBTNwAAAAMAQAADwAAAAAAAAABACAAAAAiAAAA&#10;ZHJzL2Rvd25yZXYueG1sUEsBAhQAFAAAAAgAh07iQKN2D908AgAAaAQAAA4AAAAAAAAAAQAgAAAA&#10;KwEAAGRycy9lMm9Eb2MueG1sUEsFBgAAAAAGAAYAWQEAANkFAAAAAA==&#10;">
                <v:fill on="f" focussize="0,0"/>
                <v:stroke on="f" weight="0.5pt"/>
                <v:imagedata o:title=""/>
                <o:lock v:ext="edit" aspectratio="f"/>
                <v:textbox>
                  <w:txbxContent>
                    <w:p>
                      <w:pPr>
                        <w:rPr>
                          <w:color w:val="FFFF00"/>
                        </w:rPr>
                      </w:pPr>
                      <w:r>
                        <w:rPr>
                          <w:rFonts w:hint="eastAsia"/>
                          <w:color w:val="FFFF00"/>
                        </w:rPr>
                        <w:t>131团10连居民点</w:t>
                      </w:r>
                    </w:p>
                  </w:txbxContent>
                </v:textbox>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3306445</wp:posOffset>
                </wp:positionH>
                <wp:positionV relativeFrom="paragraph">
                  <wp:posOffset>2282825</wp:posOffset>
                </wp:positionV>
                <wp:extent cx="1270000" cy="40259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270000" cy="402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00B0F0"/>
                              </w:rPr>
                            </w:pPr>
                            <w:r>
                              <w:rPr>
                                <w:rFonts w:hint="eastAsia"/>
                                <w:color w:val="00B0F0"/>
                              </w:rPr>
                              <w:t>项目区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35pt;margin-top:179.75pt;height:31.7pt;width:100pt;z-index:251755520;mso-width-relative:page;mso-height-relative:page;" filled="f" stroked="f" coordsize="21600,21600" o:gfxdata="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A8z4A2wAAAAsBAAAPAAAAAAAAAAEAIAAAACIAAABk&#10;cnMvZG93bnJldi54bWxQSwECFAAUAAAACACHTuJAGltQHDwCAABoBAAADgAAAAAAAAABACAAAAAq&#10;AQAAZHJzL2Uyb0RvYy54bWxQSwUGAAAAAAYABgBZAQAA2AUAAAAA&#10;">
                <v:fill on="f" focussize="0,0"/>
                <v:stroke on="f" weight="0.5pt"/>
                <v:imagedata o:title=""/>
                <o:lock v:ext="edit" aspectratio="f"/>
                <v:textbox>
                  <w:txbxContent>
                    <w:p>
                      <w:pPr>
                        <w:rPr>
                          <w:color w:val="00B0F0"/>
                        </w:rPr>
                      </w:pPr>
                      <w:r>
                        <w:rPr>
                          <w:rFonts w:hint="eastAsia"/>
                          <w:color w:val="00B0F0"/>
                        </w:rPr>
                        <w:t>项目区</w:t>
                      </w:r>
                    </w:p>
                  </w:txbxContent>
                </v:textbox>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3391535</wp:posOffset>
                </wp:positionH>
                <wp:positionV relativeFrom="paragraph">
                  <wp:posOffset>678815</wp:posOffset>
                </wp:positionV>
                <wp:extent cx="158750" cy="116205"/>
                <wp:effectExtent l="12700" t="12700" r="19050" b="23495"/>
                <wp:wrapNone/>
                <wp:docPr id="25" name="任意多边形 25"/>
                <wp:cNvGraphicFramePr/>
                <a:graphic xmlns:a="http://schemas.openxmlformats.org/drawingml/2006/main">
                  <a:graphicData uri="http://schemas.microsoft.com/office/word/2010/wordprocessingShape">
                    <wps:wsp>
                      <wps:cNvSpPr/>
                      <wps:spPr>
                        <a:xfrm>
                          <a:off x="4471670" y="1957705"/>
                          <a:ext cx="158750" cy="116205"/>
                        </a:xfrm>
                        <a:custGeom>
                          <a:avLst/>
                          <a:gdLst>
                            <a:gd name="connisteX0" fmla="*/ 41910 w 158750"/>
                            <a:gd name="connsiteY0" fmla="*/ 0 h 116205"/>
                            <a:gd name="connisteX1" fmla="*/ 0 w 158750"/>
                            <a:gd name="connsiteY1" fmla="*/ 68580 h 116205"/>
                            <a:gd name="connisteX2" fmla="*/ 153035 w 158750"/>
                            <a:gd name="connsiteY2" fmla="*/ 116205 h 116205"/>
                            <a:gd name="connisteX3" fmla="*/ 158750 w 158750"/>
                            <a:gd name="connsiteY3" fmla="*/ 63500 h 116205"/>
                            <a:gd name="connisteX4" fmla="*/ 41910 w 158750"/>
                            <a:gd name="connsiteY4" fmla="*/ 0 h 11620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58750" h="116205">
                              <a:moveTo>
                                <a:pt x="41910" y="0"/>
                              </a:moveTo>
                              <a:lnTo>
                                <a:pt x="0" y="68580"/>
                              </a:lnTo>
                              <a:lnTo>
                                <a:pt x="153035" y="116205"/>
                              </a:lnTo>
                              <a:lnTo>
                                <a:pt x="158750" y="63500"/>
                              </a:lnTo>
                              <a:lnTo>
                                <a:pt x="41910" y="0"/>
                              </a:lnTo>
                              <a:close/>
                            </a:path>
                          </a:pathLst>
                        </a:custGeom>
                        <a:solidFill>
                          <a:srgbClr val="7413F9">
                            <a:alpha val="40000"/>
                          </a:srgb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67.05pt;margin-top:53.45pt;height:9.15pt;width:12.5pt;z-index:251756544;mso-width-relative:page;mso-height-relative:page;" fillcolor="#7413F9" filled="t" stroked="t" coordsize="158750,116205" o:gfxdata="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gK3wH1wAAAAsBAAAPAAAAAAAAAAEAIAAA&#10;ACIAAABkcnMvZG93bnJldi54bWxQSwECFAAUAAAACACHTuJAI7ZWFyoDAACaCAAADgAAAAAAAAAB&#10;ACAAAAAmAQAAZHJzL2Uyb0RvYy54bWxQSwUGAAAAAAYABgBZAQAAwgYAAAAA&#10;" path="m41910,0l0,68580,153035,116205,158750,63500,41910,0xe">
                <v:path o:connectlocs="41910,0;0,68580;153035,116205;158750,63500;41910,0" o:connectangles="0,0,0,0,0"/>
                <v:fill on="t" opacity="26214f" focussize="0,0"/>
                <v:stroke weight="2pt" color="#385D8A [3204]" joinstyle="round"/>
                <v:imagedata o:title=""/>
                <o:lock v:ext="edit" aspectratio="f"/>
              </v:shape>
            </w:pict>
          </mc:Fallback>
        </mc:AlternateContent>
      </w:r>
      <w:r>
        <w:br w:type="page"/>
      </w:r>
    </w:p>
    <w:p>
      <w:pPr>
        <w:pStyle w:val="3"/>
      </w:pPr>
      <w:r>
        <w:rPr>
          <w:rFonts w:hint="eastAsia"/>
        </w:rPr>
        <w:t>附图4   总平面布置图</w:t>
      </w:r>
    </w:p>
    <w:p>
      <w:pPr>
        <w:pStyle w:val="41"/>
        <w:jc w:val="center"/>
        <w:rPr>
          <w:color w:val="auto"/>
        </w:rPr>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p>
      <w:pPr>
        <w:pStyle w:val="3"/>
        <w:rPr>
          <w:rFonts w:hint="default" w:eastAsia="宋体"/>
          <w:lang w:val="en-US" w:eastAsia="zh-CN"/>
        </w:rPr>
      </w:pPr>
      <w:bookmarkStart w:id="16" w:name="_GoBack"/>
      <w:bookmarkEnd w:id="16"/>
      <w:r>
        <w:rPr>
          <w:rFonts w:hint="eastAsia"/>
        </w:rPr>
        <w:t>附图</w:t>
      </w:r>
      <w:r>
        <w:rPr>
          <w:rFonts w:hint="eastAsia"/>
          <w:lang w:val="en-US" w:eastAsia="zh-CN"/>
        </w:rPr>
        <w:t>5</w:t>
      </w:r>
      <w:r>
        <w:rPr>
          <w:rFonts w:hint="eastAsia"/>
        </w:rPr>
        <w:t xml:space="preserve">   </w:t>
      </w:r>
      <w:r>
        <w:rPr>
          <w:rFonts w:hint="eastAsia"/>
          <w:lang w:val="en-US" w:eastAsia="zh-CN"/>
        </w:rPr>
        <w:t>分区防渗示意图</w:t>
      </w:r>
    </w:p>
    <w:p>
      <w:pPr>
        <w:pStyle w:val="23"/>
        <w:jc w:val="center"/>
      </w:pPr>
    </w:p>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5">
      <wne:acd wne:acdName="acd1"/>
    </wne:keymap>
  </wne:keymaps>
  <wne:acds>
    <wne:acd wne:argValue="AQAAAAEA"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C6348B-EB36-44E1-BEDE-179FA6A6DD6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仿宋简体">
    <w:altName w:val="仿宋"/>
    <w:panose1 w:val="00000000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E2C06BB-A267-4673-BE92-F1C35137DCC9}"/>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C0A6AFE0-F47A-450F-A196-8B0EA26836EA}"/>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726848" behindDoc="0" locked="0" layoutInCell="1" allowOverlap="1">
              <wp:simplePos x="0" y="0"/>
              <wp:positionH relativeFrom="margin">
                <wp:posOffset>2799715</wp:posOffset>
              </wp:positionH>
              <wp:positionV relativeFrom="paragraph">
                <wp:posOffset>-103505</wp:posOffset>
              </wp:positionV>
              <wp:extent cx="314325" cy="194945"/>
              <wp:effectExtent l="0" t="0" r="9525" b="14605"/>
              <wp:wrapNone/>
              <wp:docPr id="98" name="文本框 98"/>
              <wp:cNvGraphicFramePr/>
              <a:graphic xmlns:a="http://schemas.openxmlformats.org/drawingml/2006/main">
                <a:graphicData uri="http://schemas.microsoft.com/office/word/2010/wordprocessingShape">
                  <wps:wsp>
                    <wps:cNvSpPr txBox="1"/>
                    <wps:spPr>
                      <a:xfrm>
                        <a:off x="0" y="0"/>
                        <a:ext cx="314325" cy="194945"/>
                      </a:xfrm>
                      <a:prstGeom prst="rect">
                        <a:avLst/>
                      </a:prstGeom>
                      <a:noFill/>
                      <a:ln w="6350">
                        <a:noFill/>
                      </a:ln>
                      <a:effectLst/>
                    </wps:spPr>
                    <wps:txbx>
                      <w:txbxContent>
                        <w:p>
                          <w:pPr>
                            <w:pStyle w:val="18"/>
                            <w:rPr>
                              <w:b/>
                              <w:bCs/>
                            </w:rPr>
                          </w:pPr>
                          <w:r>
                            <w:rPr>
                              <w:b/>
                              <w:bCs/>
                            </w:rPr>
                            <w:fldChar w:fldCharType="begin"/>
                          </w:r>
                          <w:r>
                            <w:rPr>
                              <w:b/>
                              <w:bCs/>
                            </w:rPr>
                            <w:instrText xml:space="preserve"> PAGE  \* MERGEFORMAT </w:instrText>
                          </w:r>
                          <w:r>
                            <w:rPr>
                              <w:b/>
                              <w:bCs/>
                            </w:rPr>
                            <w:fldChar w:fldCharType="separate"/>
                          </w:r>
                          <w:r>
                            <w:rPr>
                              <w:b/>
                              <w:bCs/>
                            </w:rPr>
                            <w:t>4</w:t>
                          </w:r>
                          <w:r>
                            <w:rPr>
                              <w:b/>
                              <w:bC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0.45pt;margin-top:-8.15pt;height:15.35pt;width:24.75pt;mso-position-horizontal-relative:margin;z-index:251726848;mso-width-relative:page;mso-height-relative:page;" filled="f" stroked="f" coordsize="21600,21600" o:gfxdata="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s0wKO2AAAAAoBAAAPAAAAAAAAAAEAIAAAACIAAABkcnMvZG93&#10;bnJldi54bWxQSwECFAAUAAAACACHTuJAYNj5ejkCAABlBAAADgAAAAAAAAABACAAAAAnAQAAZHJz&#10;L2Uyb0RvYy54bWxQSwUGAAAAAAYABgBZAQAA0gUAAAAA&#10;">
              <v:fill on="f" focussize="0,0"/>
              <v:stroke on="f" weight="0.5pt"/>
              <v:imagedata o:title=""/>
              <o:lock v:ext="edit" aspectratio="f"/>
              <v:textbox inset="0mm,0mm,0mm,0mm">
                <w:txbxContent>
                  <w:p>
                    <w:pPr>
                      <w:pStyle w:val="18"/>
                      <w:rPr>
                        <w:b/>
                        <w:bCs/>
                      </w:rPr>
                    </w:pPr>
                    <w:r>
                      <w:rPr>
                        <w:b/>
                        <w:bCs/>
                      </w:rPr>
                      <w:fldChar w:fldCharType="begin"/>
                    </w:r>
                    <w:r>
                      <w:rPr>
                        <w:b/>
                        <w:bCs/>
                      </w:rPr>
                      <w:instrText xml:space="preserve"> PAGE  \* MERGEFORMAT </w:instrText>
                    </w:r>
                    <w:r>
                      <w:rPr>
                        <w:b/>
                        <w:bCs/>
                      </w:rPr>
                      <w:fldChar w:fldCharType="separate"/>
                    </w:r>
                    <w:r>
                      <w:rPr>
                        <w:b/>
                        <w:bCs/>
                      </w:rPr>
                      <w:t>4</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e40IzAgAAZQ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fU6KZQsdP37+d&#10;fvw6/fxKcAeBWutniHuwiAzdW9NhbIZ7j8vIu6ucir9gROCHvMeLvKILhMdH08l0msPF4RsOwM8e&#10;n1vnwzthFIlGQR36l2Rlh40PfegQErNps26kTD2UmrQFvXr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8e40IzAgAAZQ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fQYkxAgAAZ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X0GJMQIAAGc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7E879"/>
    <w:multiLevelType w:val="singleLevel"/>
    <w:tmpl w:val="8417E879"/>
    <w:lvl w:ilvl="0" w:tentative="0">
      <w:start w:val="6"/>
      <w:numFmt w:val="decimal"/>
      <w:suff w:val="nothing"/>
      <w:lvlText w:val="%1、"/>
      <w:lvlJc w:val="left"/>
    </w:lvl>
  </w:abstractNum>
  <w:abstractNum w:abstractNumId="1">
    <w:nsid w:val="A08E0653"/>
    <w:multiLevelType w:val="singleLevel"/>
    <w:tmpl w:val="A08E0653"/>
    <w:lvl w:ilvl="0" w:tentative="0">
      <w:start w:val="1"/>
      <w:numFmt w:val="decimal"/>
      <w:suff w:val="nothing"/>
      <w:lvlText w:val="%1、"/>
      <w:lvlJc w:val="left"/>
    </w:lvl>
  </w:abstractNum>
  <w:abstractNum w:abstractNumId="2">
    <w:nsid w:val="C620450F"/>
    <w:multiLevelType w:val="singleLevel"/>
    <w:tmpl w:val="C620450F"/>
    <w:lvl w:ilvl="0" w:tentative="0">
      <w:start w:val="4"/>
      <w:numFmt w:val="decimal"/>
      <w:suff w:val="nothing"/>
      <w:lvlText w:val="%1、"/>
      <w:lvlJc w:val="left"/>
    </w:lvl>
  </w:abstractNum>
  <w:abstractNum w:abstractNumId="3">
    <w:nsid w:val="05EF78DE"/>
    <w:multiLevelType w:val="singleLevel"/>
    <w:tmpl w:val="05EF78DE"/>
    <w:lvl w:ilvl="0" w:tentative="0">
      <w:start w:val="3"/>
      <w:numFmt w:val="decimal"/>
      <w:suff w:val="nothing"/>
      <w:lvlText w:val="（%1）"/>
      <w:lvlJc w:val="left"/>
    </w:lvl>
  </w:abstractNum>
  <w:abstractNum w:abstractNumId="4">
    <w:nsid w:val="06B8BCD5"/>
    <w:multiLevelType w:val="singleLevel"/>
    <w:tmpl w:val="06B8BCD5"/>
    <w:lvl w:ilvl="0" w:tentative="0">
      <w:start w:val="1"/>
      <w:numFmt w:val="bullet"/>
      <w:pStyle w:val="10"/>
      <w:lvlText w:val=""/>
      <w:lvlJc w:val="left"/>
      <w:pPr>
        <w:tabs>
          <w:tab w:val="left" w:pos="2040"/>
        </w:tabs>
        <w:ind w:left="2040" w:hanging="360"/>
      </w:pPr>
      <w:rPr>
        <w:rFonts w:hint="default" w:ascii="Wingdings" w:hAnsi="Wingdings"/>
      </w:rPr>
    </w:lvl>
  </w:abstractNum>
  <w:abstractNum w:abstractNumId="5">
    <w:nsid w:val="1A01BA1A"/>
    <w:multiLevelType w:val="singleLevel"/>
    <w:tmpl w:val="1A01BA1A"/>
    <w:lvl w:ilvl="0" w:tentative="0">
      <w:start w:val="1"/>
      <w:numFmt w:val="decimal"/>
      <w:suff w:val="nothing"/>
      <w:lvlText w:val="%1、"/>
      <w:lvlJc w:val="left"/>
      <w:pPr>
        <w:ind w:left="-60"/>
      </w:pPr>
    </w:lvl>
  </w:abstractNum>
  <w:abstractNum w:abstractNumId="6">
    <w:nsid w:val="226BCE92"/>
    <w:multiLevelType w:val="singleLevel"/>
    <w:tmpl w:val="226BCE92"/>
    <w:lvl w:ilvl="0" w:tentative="0">
      <w:start w:val="1"/>
      <w:numFmt w:val="decimal"/>
      <w:suff w:val="nothing"/>
      <w:lvlText w:val="%1、"/>
      <w:lvlJc w:val="left"/>
    </w:lvl>
  </w:abstractNum>
  <w:abstractNum w:abstractNumId="7">
    <w:nsid w:val="31C4C697"/>
    <w:multiLevelType w:val="singleLevel"/>
    <w:tmpl w:val="31C4C697"/>
    <w:lvl w:ilvl="0" w:tentative="0">
      <w:start w:val="3"/>
      <w:numFmt w:val="decimal"/>
      <w:suff w:val="nothing"/>
      <w:lvlText w:val="（%1）"/>
      <w:lvlJc w:val="left"/>
    </w:lvl>
  </w:abstractNum>
  <w:abstractNum w:abstractNumId="8">
    <w:nsid w:val="576167E7"/>
    <w:multiLevelType w:val="multilevel"/>
    <w:tmpl w:val="576167E7"/>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740B6945"/>
    <w:multiLevelType w:val="singleLevel"/>
    <w:tmpl w:val="740B6945"/>
    <w:lvl w:ilvl="0" w:tentative="0">
      <w:start w:val="6"/>
      <w:numFmt w:val="decimal"/>
      <w:suff w:val="nothing"/>
      <w:lvlText w:val="%1）"/>
      <w:lvlJc w:val="left"/>
    </w:lvl>
  </w:abstractNum>
  <w:abstractNum w:abstractNumId="10">
    <w:nsid w:val="7E2E1C74"/>
    <w:multiLevelType w:val="singleLevel"/>
    <w:tmpl w:val="7E2E1C74"/>
    <w:lvl w:ilvl="0" w:tentative="0">
      <w:start w:val="2"/>
      <w:numFmt w:val="decimal"/>
      <w:suff w:val="nothing"/>
      <w:lvlText w:val="%1）"/>
      <w:lvlJc w:val="left"/>
    </w:lvl>
  </w:abstractNum>
  <w:num w:numId="1">
    <w:abstractNumId w:val="8"/>
  </w:num>
  <w:num w:numId="2">
    <w:abstractNumId w:val="4"/>
  </w:num>
  <w:num w:numId="3">
    <w:abstractNumId w:val="1"/>
  </w:num>
  <w:num w:numId="4">
    <w:abstractNumId w:val="0"/>
  </w:num>
  <w:num w:numId="5">
    <w:abstractNumId w:val="3"/>
  </w:num>
  <w:num w:numId="6">
    <w:abstractNumId w:val="9"/>
  </w:num>
  <w:num w:numId="7">
    <w:abstractNumId w:val="5"/>
  </w:num>
  <w:num w:numId="8">
    <w:abstractNumId w:val="10"/>
  </w:num>
  <w:num w:numId="9">
    <w:abstractNumId w:val="7"/>
  </w:num>
  <w:num w:numId="10">
    <w:abstractNumId w:val="2"/>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尕毛毛">
    <w15:presenceInfo w15:providerId="WPS Office" w15:userId="9129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OTIwNmZkZDZhZWZhNDk2NzhjNDFiMDFlMDI5OWMifQ=="/>
  </w:docVars>
  <w:rsids>
    <w:rsidRoot w:val="00A14947"/>
    <w:rsid w:val="000060B3"/>
    <w:rsid w:val="00037F47"/>
    <w:rsid w:val="00042886"/>
    <w:rsid w:val="0004364B"/>
    <w:rsid w:val="0004450C"/>
    <w:rsid w:val="00061B1F"/>
    <w:rsid w:val="00063502"/>
    <w:rsid w:val="00065CB7"/>
    <w:rsid w:val="000733C4"/>
    <w:rsid w:val="00074783"/>
    <w:rsid w:val="0008070B"/>
    <w:rsid w:val="000810AC"/>
    <w:rsid w:val="00081A02"/>
    <w:rsid w:val="00082231"/>
    <w:rsid w:val="00092D38"/>
    <w:rsid w:val="0009377B"/>
    <w:rsid w:val="000A20C9"/>
    <w:rsid w:val="000B058F"/>
    <w:rsid w:val="000B1D97"/>
    <w:rsid w:val="000B3898"/>
    <w:rsid w:val="000B4467"/>
    <w:rsid w:val="000B4DB9"/>
    <w:rsid w:val="000C09AC"/>
    <w:rsid w:val="000C767F"/>
    <w:rsid w:val="000D5A44"/>
    <w:rsid w:val="000E320B"/>
    <w:rsid w:val="000E3ED2"/>
    <w:rsid w:val="00104980"/>
    <w:rsid w:val="00131F42"/>
    <w:rsid w:val="001357F1"/>
    <w:rsid w:val="00140FA8"/>
    <w:rsid w:val="00142FEB"/>
    <w:rsid w:val="00143A2D"/>
    <w:rsid w:val="00145A41"/>
    <w:rsid w:val="00151675"/>
    <w:rsid w:val="00157435"/>
    <w:rsid w:val="0017504D"/>
    <w:rsid w:val="00175A52"/>
    <w:rsid w:val="0017671A"/>
    <w:rsid w:val="00177422"/>
    <w:rsid w:val="00184590"/>
    <w:rsid w:val="001870D1"/>
    <w:rsid w:val="0018781E"/>
    <w:rsid w:val="0019262D"/>
    <w:rsid w:val="001A1B35"/>
    <w:rsid w:val="001A48A2"/>
    <w:rsid w:val="001A51A4"/>
    <w:rsid w:val="001A6F61"/>
    <w:rsid w:val="001B72B8"/>
    <w:rsid w:val="001C13B2"/>
    <w:rsid w:val="001C69B3"/>
    <w:rsid w:val="001D2668"/>
    <w:rsid w:val="001D5595"/>
    <w:rsid w:val="001D56DB"/>
    <w:rsid w:val="001D7874"/>
    <w:rsid w:val="001D7F22"/>
    <w:rsid w:val="001F0F17"/>
    <w:rsid w:val="001F3347"/>
    <w:rsid w:val="001F69E4"/>
    <w:rsid w:val="002125B4"/>
    <w:rsid w:val="002155B8"/>
    <w:rsid w:val="00217C1E"/>
    <w:rsid w:val="00224839"/>
    <w:rsid w:val="002249B2"/>
    <w:rsid w:val="00224A1A"/>
    <w:rsid w:val="00226574"/>
    <w:rsid w:val="002278EC"/>
    <w:rsid w:val="0023280E"/>
    <w:rsid w:val="002377D1"/>
    <w:rsid w:val="002506BC"/>
    <w:rsid w:val="0025231A"/>
    <w:rsid w:val="00254345"/>
    <w:rsid w:val="00264557"/>
    <w:rsid w:val="002805AB"/>
    <w:rsid w:val="00284204"/>
    <w:rsid w:val="00291773"/>
    <w:rsid w:val="002A168C"/>
    <w:rsid w:val="002A1C8A"/>
    <w:rsid w:val="002A3DC7"/>
    <w:rsid w:val="002B49E2"/>
    <w:rsid w:val="002B5123"/>
    <w:rsid w:val="002B7B00"/>
    <w:rsid w:val="002B7C44"/>
    <w:rsid w:val="002C0F5F"/>
    <w:rsid w:val="002C2B17"/>
    <w:rsid w:val="002C6B57"/>
    <w:rsid w:val="002D3DD0"/>
    <w:rsid w:val="002D4747"/>
    <w:rsid w:val="002E1F3A"/>
    <w:rsid w:val="002E298A"/>
    <w:rsid w:val="00301978"/>
    <w:rsid w:val="0030332C"/>
    <w:rsid w:val="00304E23"/>
    <w:rsid w:val="003051C2"/>
    <w:rsid w:val="00312296"/>
    <w:rsid w:val="00314F0E"/>
    <w:rsid w:val="00316131"/>
    <w:rsid w:val="00321D8E"/>
    <w:rsid w:val="00325928"/>
    <w:rsid w:val="00332863"/>
    <w:rsid w:val="0033684D"/>
    <w:rsid w:val="00336ABB"/>
    <w:rsid w:val="00337B42"/>
    <w:rsid w:val="00341B42"/>
    <w:rsid w:val="0034348F"/>
    <w:rsid w:val="00356653"/>
    <w:rsid w:val="0035743F"/>
    <w:rsid w:val="00357BE2"/>
    <w:rsid w:val="0036170C"/>
    <w:rsid w:val="003656DF"/>
    <w:rsid w:val="00366E0F"/>
    <w:rsid w:val="0037164D"/>
    <w:rsid w:val="00381A72"/>
    <w:rsid w:val="00384676"/>
    <w:rsid w:val="00390857"/>
    <w:rsid w:val="003A4BF3"/>
    <w:rsid w:val="003A6B47"/>
    <w:rsid w:val="003B1D47"/>
    <w:rsid w:val="003B420D"/>
    <w:rsid w:val="003C6C16"/>
    <w:rsid w:val="003D3FBC"/>
    <w:rsid w:val="003D794D"/>
    <w:rsid w:val="003E3058"/>
    <w:rsid w:val="003E76A9"/>
    <w:rsid w:val="003F0809"/>
    <w:rsid w:val="003F3A8E"/>
    <w:rsid w:val="003F6A8C"/>
    <w:rsid w:val="003F755C"/>
    <w:rsid w:val="00404833"/>
    <w:rsid w:val="00406F01"/>
    <w:rsid w:val="004106CC"/>
    <w:rsid w:val="00416D50"/>
    <w:rsid w:val="00416FD5"/>
    <w:rsid w:val="00417772"/>
    <w:rsid w:val="00420E6A"/>
    <w:rsid w:val="00421358"/>
    <w:rsid w:val="00425A9E"/>
    <w:rsid w:val="00426D6B"/>
    <w:rsid w:val="00431E6C"/>
    <w:rsid w:val="00433CE7"/>
    <w:rsid w:val="0045210B"/>
    <w:rsid w:val="00452738"/>
    <w:rsid w:val="00456091"/>
    <w:rsid w:val="00466321"/>
    <w:rsid w:val="004719CF"/>
    <w:rsid w:val="00484B9B"/>
    <w:rsid w:val="004855F6"/>
    <w:rsid w:val="0048661E"/>
    <w:rsid w:val="00494670"/>
    <w:rsid w:val="004A3823"/>
    <w:rsid w:val="004D259A"/>
    <w:rsid w:val="004E6946"/>
    <w:rsid w:val="004F1AD8"/>
    <w:rsid w:val="004F4B06"/>
    <w:rsid w:val="005039CB"/>
    <w:rsid w:val="0050558F"/>
    <w:rsid w:val="00506286"/>
    <w:rsid w:val="00510813"/>
    <w:rsid w:val="00511990"/>
    <w:rsid w:val="00511DE0"/>
    <w:rsid w:val="00512A4D"/>
    <w:rsid w:val="00514870"/>
    <w:rsid w:val="00514B9B"/>
    <w:rsid w:val="00514E01"/>
    <w:rsid w:val="00517F02"/>
    <w:rsid w:val="00524303"/>
    <w:rsid w:val="005258A2"/>
    <w:rsid w:val="005366A0"/>
    <w:rsid w:val="00537F42"/>
    <w:rsid w:val="005401AE"/>
    <w:rsid w:val="00542E07"/>
    <w:rsid w:val="00545424"/>
    <w:rsid w:val="00553BE4"/>
    <w:rsid w:val="00554A7B"/>
    <w:rsid w:val="0055572C"/>
    <w:rsid w:val="0056106A"/>
    <w:rsid w:val="005720AE"/>
    <w:rsid w:val="00573BE7"/>
    <w:rsid w:val="005800E0"/>
    <w:rsid w:val="00583B10"/>
    <w:rsid w:val="00594D77"/>
    <w:rsid w:val="005969E4"/>
    <w:rsid w:val="005A06B7"/>
    <w:rsid w:val="005A1759"/>
    <w:rsid w:val="005A44BE"/>
    <w:rsid w:val="005A5FC4"/>
    <w:rsid w:val="005A68A7"/>
    <w:rsid w:val="005C178B"/>
    <w:rsid w:val="005D36AB"/>
    <w:rsid w:val="005D7F68"/>
    <w:rsid w:val="00610E11"/>
    <w:rsid w:val="00617CC3"/>
    <w:rsid w:val="006377A6"/>
    <w:rsid w:val="00637A3D"/>
    <w:rsid w:val="006411EF"/>
    <w:rsid w:val="0064223F"/>
    <w:rsid w:val="00644627"/>
    <w:rsid w:val="00663447"/>
    <w:rsid w:val="006748B8"/>
    <w:rsid w:val="00677355"/>
    <w:rsid w:val="006775C3"/>
    <w:rsid w:val="00691A6A"/>
    <w:rsid w:val="0069290A"/>
    <w:rsid w:val="0069775A"/>
    <w:rsid w:val="00697813"/>
    <w:rsid w:val="006A02FB"/>
    <w:rsid w:val="006A3EE8"/>
    <w:rsid w:val="006A72BF"/>
    <w:rsid w:val="006B03F2"/>
    <w:rsid w:val="006B37DC"/>
    <w:rsid w:val="006B4F68"/>
    <w:rsid w:val="006B6118"/>
    <w:rsid w:val="006B7335"/>
    <w:rsid w:val="006C0592"/>
    <w:rsid w:val="006C272E"/>
    <w:rsid w:val="006C5479"/>
    <w:rsid w:val="006D10B2"/>
    <w:rsid w:val="006D13B5"/>
    <w:rsid w:val="006E12FF"/>
    <w:rsid w:val="006E51EE"/>
    <w:rsid w:val="006E607E"/>
    <w:rsid w:val="00701B65"/>
    <w:rsid w:val="00706C5D"/>
    <w:rsid w:val="00732922"/>
    <w:rsid w:val="0075162E"/>
    <w:rsid w:val="00754034"/>
    <w:rsid w:val="00756556"/>
    <w:rsid w:val="007618C4"/>
    <w:rsid w:val="0076467D"/>
    <w:rsid w:val="00767980"/>
    <w:rsid w:val="00770B19"/>
    <w:rsid w:val="0077463F"/>
    <w:rsid w:val="007776D0"/>
    <w:rsid w:val="007836EA"/>
    <w:rsid w:val="00784CDA"/>
    <w:rsid w:val="007906C4"/>
    <w:rsid w:val="007940EA"/>
    <w:rsid w:val="007967E8"/>
    <w:rsid w:val="007A2170"/>
    <w:rsid w:val="007A22BF"/>
    <w:rsid w:val="007A3323"/>
    <w:rsid w:val="007A51C9"/>
    <w:rsid w:val="007B2FEB"/>
    <w:rsid w:val="007B72B8"/>
    <w:rsid w:val="007B7A58"/>
    <w:rsid w:val="007C21B5"/>
    <w:rsid w:val="007E4BD2"/>
    <w:rsid w:val="007F511B"/>
    <w:rsid w:val="007F7CC5"/>
    <w:rsid w:val="00801393"/>
    <w:rsid w:val="00802578"/>
    <w:rsid w:val="00802F88"/>
    <w:rsid w:val="0081293E"/>
    <w:rsid w:val="00815465"/>
    <w:rsid w:val="00817E9A"/>
    <w:rsid w:val="00826A45"/>
    <w:rsid w:val="008306BD"/>
    <w:rsid w:val="00831A80"/>
    <w:rsid w:val="00832714"/>
    <w:rsid w:val="00833743"/>
    <w:rsid w:val="008340A4"/>
    <w:rsid w:val="00837279"/>
    <w:rsid w:val="00865AB5"/>
    <w:rsid w:val="0087135F"/>
    <w:rsid w:val="00872D94"/>
    <w:rsid w:val="008777F1"/>
    <w:rsid w:val="00880364"/>
    <w:rsid w:val="00891592"/>
    <w:rsid w:val="00891E9E"/>
    <w:rsid w:val="008A2F68"/>
    <w:rsid w:val="008B4FA6"/>
    <w:rsid w:val="008B5282"/>
    <w:rsid w:val="008B7C17"/>
    <w:rsid w:val="008C20CF"/>
    <w:rsid w:val="008C2D01"/>
    <w:rsid w:val="008C40E6"/>
    <w:rsid w:val="008C5510"/>
    <w:rsid w:val="008D0F7A"/>
    <w:rsid w:val="008D68E4"/>
    <w:rsid w:val="008E0506"/>
    <w:rsid w:val="008E0CFF"/>
    <w:rsid w:val="008E5D6B"/>
    <w:rsid w:val="008E76F0"/>
    <w:rsid w:val="008F15FE"/>
    <w:rsid w:val="008F2D29"/>
    <w:rsid w:val="008F5187"/>
    <w:rsid w:val="008F60D8"/>
    <w:rsid w:val="00902727"/>
    <w:rsid w:val="0090312B"/>
    <w:rsid w:val="0090318F"/>
    <w:rsid w:val="00903450"/>
    <w:rsid w:val="0091736D"/>
    <w:rsid w:val="009175AF"/>
    <w:rsid w:val="009241BA"/>
    <w:rsid w:val="0093037A"/>
    <w:rsid w:val="0094154D"/>
    <w:rsid w:val="0095155F"/>
    <w:rsid w:val="00954429"/>
    <w:rsid w:val="009563CE"/>
    <w:rsid w:val="009702EE"/>
    <w:rsid w:val="00976328"/>
    <w:rsid w:val="0097680D"/>
    <w:rsid w:val="00982438"/>
    <w:rsid w:val="0098404C"/>
    <w:rsid w:val="00985283"/>
    <w:rsid w:val="00991522"/>
    <w:rsid w:val="00995296"/>
    <w:rsid w:val="009953DB"/>
    <w:rsid w:val="00995992"/>
    <w:rsid w:val="009A03E5"/>
    <w:rsid w:val="009A0F3B"/>
    <w:rsid w:val="009A1BB4"/>
    <w:rsid w:val="009A2628"/>
    <w:rsid w:val="009A3200"/>
    <w:rsid w:val="009B0897"/>
    <w:rsid w:val="009B7BD9"/>
    <w:rsid w:val="009C7DD5"/>
    <w:rsid w:val="009D6BDF"/>
    <w:rsid w:val="009E227D"/>
    <w:rsid w:val="009E5019"/>
    <w:rsid w:val="00A04F1B"/>
    <w:rsid w:val="00A0501B"/>
    <w:rsid w:val="00A14947"/>
    <w:rsid w:val="00A32A83"/>
    <w:rsid w:val="00A368DB"/>
    <w:rsid w:val="00A403F3"/>
    <w:rsid w:val="00A423AA"/>
    <w:rsid w:val="00A53EC6"/>
    <w:rsid w:val="00A55C0F"/>
    <w:rsid w:val="00A67B41"/>
    <w:rsid w:val="00A746FC"/>
    <w:rsid w:val="00A8713F"/>
    <w:rsid w:val="00A90BA1"/>
    <w:rsid w:val="00A97A9A"/>
    <w:rsid w:val="00AA0671"/>
    <w:rsid w:val="00AA2531"/>
    <w:rsid w:val="00AB1E09"/>
    <w:rsid w:val="00AB5330"/>
    <w:rsid w:val="00AB7747"/>
    <w:rsid w:val="00AC14CE"/>
    <w:rsid w:val="00AC2A56"/>
    <w:rsid w:val="00AD055E"/>
    <w:rsid w:val="00AD0BCC"/>
    <w:rsid w:val="00AD47A7"/>
    <w:rsid w:val="00AF0CBF"/>
    <w:rsid w:val="00AF257F"/>
    <w:rsid w:val="00AF33CF"/>
    <w:rsid w:val="00AF4D50"/>
    <w:rsid w:val="00AF6179"/>
    <w:rsid w:val="00AF7ED4"/>
    <w:rsid w:val="00B002BD"/>
    <w:rsid w:val="00B0222D"/>
    <w:rsid w:val="00B1295A"/>
    <w:rsid w:val="00B20A45"/>
    <w:rsid w:val="00B22C5C"/>
    <w:rsid w:val="00B24F30"/>
    <w:rsid w:val="00B301C1"/>
    <w:rsid w:val="00B31ABF"/>
    <w:rsid w:val="00B33BE3"/>
    <w:rsid w:val="00B53B5D"/>
    <w:rsid w:val="00B6055E"/>
    <w:rsid w:val="00B6317D"/>
    <w:rsid w:val="00B66D19"/>
    <w:rsid w:val="00B7723F"/>
    <w:rsid w:val="00B80534"/>
    <w:rsid w:val="00B8433C"/>
    <w:rsid w:val="00B87491"/>
    <w:rsid w:val="00BA29E9"/>
    <w:rsid w:val="00BA3A13"/>
    <w:rsid w:val="00BA7142"/>
    <w:rsid w:val="00BB237C"/>
    <w:rsid w:val="00BB41A3"/>
    <w:rsid w:val="00BB6A1B"/>
    <w:rsid w:val="00BC292D"/>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3751F"/>
    <w:rsid w:val="00C4409D"/>
    <w:rsid w:val="00C44E72"/>
    <w:rsid w:val="00C45A06"/>
    <w:rsid w:val="00C47E5B"/>
    <w:rsid w:val="00C50D79"/>
    <w:rsid w:val="00C61E4B"/>
    <w:rsid w:val="00C64BFF"/>
    <w:rsid w:val="00C704E9"/>
    <w:rsid w:val="00C71910"/>
    <w:rsid w:val="00C763C9"/>
    <w:rsid w:val="00C80057"/>
    <w:rsid w:val="00C82232"/>
    <w:rsid w:val="00C82913"/>
    <w:rsid w:val="00C94296"/>
    <w:rsid w:val="00C972B1"/>
    <w:rsid w:val="00CA2CCE"/>
    <w:rsid w:val="00CA43FD"/>
    <w:rsid w:val="00CA7EF8"/>
    <w:rsid w:val="00CC489B"/>
    <w:rsid w:val="00CD2A97"/>
    <w:rsid w:val="00CD2BCD"/>
    <w:rsid w:val="00CD3A4C"/>
    <w:rsid w:val="00CD4494"/>
    <w:rsid w:val="00CE10E9"/>
    <w:rsid w:val="00CE2910"/>
    <w:rsid w:val="00CE5393"/>
    <w:rsid w:val="00CF36BE"/>
    <w:rsid w:val="00CF6000"/>
    <w:rsid w:val="00D003F3"/>
    <w:rsid w:val="00D0364F"/>
    <w:rsid w:val="00D06834"/>
    <w:rsid w:val="00D16D25"/>
    <w:rsid w:val="00D23ACE"/>
    <w:rsid w:val="00D308ED"/>
    <w:rsid w:val="00D36D86"/>
    <w:rsid w:val="00D428AA"/>
    <w:rsid w:val="00D50A34"/>
    <w:rsid w:val="00D50A53"/>
    <w:rsid w:val="00D53EFA"/>
    <w:rsid w:val="00D54EB4"/>
    <w:rsid w:val="00D571FC"/>
    <w:rsid w:val="00D64E37"/>
    <w:rsid w:val="00D6540A"/>
    <w:rsid w:val="00D72099"/>
    <w:rsid w:val="00D94A7C"/>
    <w:rsid w:val="00D95896"/>
    <w:rsid w:val="00D95DAE"/>
    <w:rsid w:val="00DA0122"/>
    <w:rsid w:val="00DA7606"/>
    <w:rsid w:val="00DB2983"/>
    <w:rsid w:val="00DC1257"/>
    <w:rsid w:val="00DC3DC0"/>
    <w:rsid w:val="00DC56FA"/>
    <w:rsid w:val="00DC5B2B"/>
    <w:rsid w:val="00DC7623"/>
    <w:rsid w:val="00DD318D"/>
    <w:rsid w:val="00DF2E12"/>
    <w:rsid w:val="00DF514A"/>
    <w:rsid w:val="00DF6690"/>
    <w:rsid w:val="00DF6804"/>
    <w:rsid w:val="00E02489"/>
    <w:rsid w:val="00E0358D"/>
    <w:rsid w:val="00E04323"/>
    <w:rsid w:val="00E070A2"/>
    <w:rsid w:val="00E2656A"/>
    <w:rsid w:val="00E412D0"/>
    <w:rsid w:val="00E56322"/>
    <w:rsid w:val="00E60982"/>
    <w:rsid w:val="00E62C62"/>
    <w:rsid w:val="00E63C30"/>
    <w:rsid w:val="00E654C1"/>
    <w:rsid w:val="00E65D97"/>
    <w:rsid w:val="00E72A5A"/>
    <w:rsid w:val="00E72A67"/>
    <w:rsid w:val="00E73354"/>
    <w:rsid w:val="00E77AB7"/>
    <w:rsid w:val="00E814DA"/>
    <w:rsid w:val="00E87D11"/>
    <w:rsid w:val="00E9242D"/>
    <w:rsid w:val="00E93108"/>
    <w:rsid w:val="00E96967"/>
    <w:rsid w:val="00EB5255"/>
    <w:rsid w:val="00EB5C47"/>
    <w:rsid w:val="00ED0639"/>
    <w:rsid w:val="00ED1E43"/>
    <w:rsid w:val="00EF2BA5"/>
    <w:rsid w:val="00EF4755"/>
    <w:rsid w:val="00EF7135"/>
    <w:rsid w:val="00F027DB"/>
    <w:rsid w:val="00F14A7A"/>
    <w:rsid w:val="00F1600F"/>
    <w:rsid w:val="00F22985"/>
    <w:rsid w:val="00F3383E"/>
    <w:rsid w:val="00F370A0"/>
    <w:rsid w:val="00F422F8"/>
    <w:rsid w:val="00F465A7"/>
    <w:rsid w:val="00F50B7C"/>
    <w:rsid w:val="00F550E6"/>
    <w:rsid w:val="00F55404"/>
    <w:rsid w:val="00F733CE"/>
    <w:rsid w:val="00F74345"/>
    <w:rsid w:val="00F80388"/>
    <w:rsid w:val="00F80A0A"/>
    <w:rsid w:val="00F82B19"/>
    <w:rsid w:val="00F85102"/>
    <w:rsid w:val="00F9212D"/>
    <w:rsid w:val="00F961F0"/>
    <w:rsid w:val="00F965DA"/>
    <w:rsid w:val="00FA2BDD"/>
    <w:rsid w:val="00FA406A"/>
    <w:rsid w:val="00FB503A"/>
    <w:rsid w:val="00FB516C"/>
    <w:rsid w:val="00FB74ED"/>
    <w:rsid w:val="00FC1A7B"/>
    <w:rsid w:val="00FD0236"/>
    <w:rsid w:val="00FD1465"/>
    <w:rsid w:val="00FD18F4"/>
    <w:rsid w:val="00FD54DB"/>
    <w:rsid w:val="00FD593C"/>
    <w:rsid w:val="00FD619F"/>
    <w:rsid w:val="0114437B"/>
    <w:rsid w:val="01284C10"/>
    <w:rsid w:val="01290F7E"/>
    <w:rsid w:val="012B1219"/>
    <w:rsid w:val="015D1E09"/>
    <w:rsid w:val="017E29E3"/>
    <w:rsid w:val="01BD1C60"/>
    <w:rsid w:val="021D05F0"/>
    <w:rsid w:val="023829D6"/>
    <w:rsid w:val="02697903"/>
    <w:rsid w:val="02D21887"/>
    <w:rsid w:val="02E025B4"/>
    <w:rsid w:val="02F96569"/>
    <w:rsid w:val="030D1EF4"/>
    <w:rsid w:val="032D7F7E"/>
    <w:rsid w:val="033E666E"/>
    <w:rsid w:val="035E700F"/>
    <w:rsid w:val="03EA7B21"/>
    <w:rsid w:val="041643E8"/>
    <w:rsid w:val="04173407"/>
    <w:rsid w:val="042846AA"/>
    <w:rsid w:val="04470EA0"/>
    <w:rsid w:val="049C25A4"/>
    <w:rsid w:val="0515057B"/>
    <w:rsid w:val="054360DF"/>
    <w:rsid w:val="058A5E9A"/>
    <w:rsid w:val="059C5BCD"/>
    <w:rsid w:val="05B17A34"/>
    <w:rsid w:val="05EA14FE"/>
    <w:rsid w:val="05F83EAE"/>
    <w:rsid w:val="06065B43"/>
    <w:rsid w:val="063E7D85"/>
    <w:rsid w:val="064179DC"/>
    <w:rsid w:val="06827348"/>
    <w:rsid w:val="06924F0D"/>
    <w:rsid w:val="06A33768"/>
    <w:rsid w:val="06D04334"/>
    <w:rsid w:val="06F3796E"/>
    <w:rsid w:val="07293586"/>
    <w:rsid w:val="07295285"/>
    <w:rsid w:val="07550D4C"/>
    <w:rsid w:val="07636392"/>
    <w:rsid w:val="07770C56"/>
    <w:rsid w:val="077A480B"/>
    <w:rsid w:val="078E0B3A"/>
    <w:rsid w:val="07B7700B"/>
    <w:rsid w:val="07F41CF0"/>
    <w:rsid w:val="080966AF"/>
    <w:rsid w:val="08391DD9"/>
    <w:rsid w:val="089274F8"/>
    <w:rsid w:val="089A0371"/>
    <w:rsid w:val="08CD62B5"/>
    <w:rsid w:val="08D13CB5"/>
    <w:rsid w:val="08E811EE"/>
    <w:rsid w:val="092217DD"/>
    <w:rsid w:val="093A7294"/>
    <w:rsid w:val="096C5148"/>
    <w:rsid w:val="099B5EFC"/>
    <w:rsid w:val="0A076498"/>
    <w:rsid w:val="0A1D552E"/>
    <w:rsid w:val="0A263993"/>
    <w:rsid w:val="0A2D3AC2"/>
    <w:rsid w:val="0A3A7DB9"/>
    <w:rsid w:val="0AA755DF"/>
    <w:rsid w:val="0B120D44"/>
    <w:rsid w:val="0B37555E"/>
    <w:rsid w:val="0B3D2C95"/>
    <w:rsid w:val="0BBB392A"/>
    <w:rsid w:val="0BBF69EB"/>
    <w:rsid w:val="0BD27BF6"/>
    <w:rsid w:val="0BF72C57"/>
    <w:rsid w:val="0BFA4F8B"/>
    <w:rsid w:val="0BFC48DE"/>
    <w:rsid w:val="0C271BB9"/>
    <w:rsid w:val="0C3B3C7D"/>
    <w:rsid w:val="0C4F2677"/>
    <w:rsid w:val="0CAB2EAE"/>
    <w:rsid w:val="0CDE3C35"/>
    <w:rsid w:val="0CE84AA6"/>
    <w:rsid w:val="0CEB1914"/>
    <w:rsid w:val="0CF12CA2"/>
    <w:rsid w:val="0D1050BD"/>
    <w:rsid w:val="0D191390"/>
    <w:rsid w:val="0D5716BB"/>
    <w:rsid w:val="0D621C7D"/>
    <w:rsid w:val="0DBE36AD"/>
    <w:rsid w:val="0DE04142"/>
    <w:rsid w:val="0DEA461B"/>
    <w:rsid w:val="0E262E7C"/>
    <w:rsid w:val="0E73034D"/>
    <w:rsid w:val="0ECA527C"/>
    <w:rsid w:val="0EDE2DB2"/>
    <w:rsid w:val="0F13775A"/>
    <w:rsid w:val="0F5F45FE"/>
    <w:rsid w:val="0F655F3A"/>
    <w:rsid w:val="0F782584"/>
    <w:rsid w:val="0F9A112B"/>
    <w:rsid w:val="0FB44F9A"/>
    <w:rsid w:val="0FC66870"/>
    <w:rsid w:val="0FEB39D9"/>
    <w:rsid w:val="10090044"/>
    <w:rsid w:val="106D2F64"/>
    <w:rsid w:val="10B63710"/>
    <w:rsid w:val="10F10820"/>
    <w:rsid w:val="10F21D8E"/>
    <w:rsid w:val="11021117"/>
    <w:rsid w:val="111B209C"/>
    <w:rsid w:val="111B3C09"/>
    <w:rsid w:val="111C2F7A"/>
    <w:rsid w:val="11523BCF"/>
    <w:rsid w:val="11665CA1"/>
    <w:rsid w:val="123900E6"/>
    <w:rsid w:val="12505070"/>
    <w:rsid w:val="12886951"/>
    <w:rsid w:val="12AC266A"/>
    <w:rsid w:val="12EA61CA"/>
    <w:rsid w:val="131645CE"/>
    <w:rsid w:val="1350682B"/>
    <w:rsid w:val="13810C71"/>
    <w:rsid w:val="1387341A"/>
    <w:rsid w:val="13951726"/>
    <w:rsid w:val="13A465FF"/>
    <w:rsid w:val="13BF056A"/>
    <w:rsid w:val="13C13ADF"/>
    <w:rsid w:val="13D57A27"/>
    <w:rsid w:val="14357918"/>
    <w:rsid w:val="14396509"/>
    <w:rsid w:val="14B303D8"/>
    <w:rsid w:val="14DD2C3C"/>
    <w:rsid w:val="14ED1FC3"/>
    <w:rsid w:val="15020A8B"/>
    <w:rsid w:val="15076350"/>
    <w:rsid w:val="154C297A"/>
    <w:rsid w:val="156D734F"/>
    <w:rsid w:val="15A829C6"/>
    <w:rsid w:val="15E76625"/>
    <w:rsid w:val="16032440"/>
    <w:rsid w:val="16087E1D"/>
    <w:rsid w:val="16394285"/>
    <w:rsid w:val="166511F2"/>
    <w:rsid w:val="16B47306"/>
    <w:rsid w:val="17701D14"/>
    <w:rsid w:val="17735226"/>
    <w:rsid w:val="17974A53"/>
    <w:rsid w:val="189F624C"/>
    <w:rsid w:val="19112D41"/>
    <w:rsid w:val="19125C4A"/>
    <w:rsid w:val="19166457"/>
    <w:rsid w:val="197C5DB6"/>
    <w:rsid w:val="199D1E47"/>
    <w:rsid w:val="19AE4A49"/>
    <w:rsid w:val="19BE50AD"/>
    <w:rsid w:val="19C57049"/>
    <w:rsid w:val="19D46B7B"/>
    <w:rsid w:val="1A1320D9"/>
    <w:rsid w:val="1A1C66C0"/>
    <w:rsid w:val="1A204BC7"/>
    <w:rsid w:val="1A2A63ED"/>
    <w:rsid w:val="1A42393B"/>
    <w:rsid w:val="1A5959E3"/>
    <w:rsid w:val="1AAD45DE"/>
    <w:rsid w:val="1ACE7C24"/>
    <w:rsid w:val="1AF35C55"/>
    <w:rsid w:val="1B046F80"/>
    <w:rsid w:val="1B2915DB"/>
    <w:rsid w:val="1B3267B5"/>
    <w:rsid w:val="1B40161D"/>
    <w:rsid w:val="1B441859"/>
    <w:rsid w:val="1B6606B1"/>
    <w:rsid w:val="1C5E7925"/>
    <w:rsid w:val="1CC7757C"/>
    <w:rsid w:val="1CFA2902"/>
    <w:rsid w:val="1CFD070F"/>
    <w:rsid w:val="1D0B4820"/>
    <w:rsid w:val="1D22463B"/>
    <w:rsid w:val="1D5F6196"/>
    <w:rsid w:val="1D6132A5"/>
    <w:rsid w:val="1D8E56D5"/>
    <w:rsid w:val="1DB66C15"/>
    <w:rsid w:val="1E7A43DA"/>
    <w:rsid w:val="1E802F8B"/>
    <w:rsid w:val="1EC9238B"/>
    <w:rsid w:val="1EE851A0"/>
    <w:rsid w:val="1F112AB0"/>
    <w:rsid w:val="1FCA2C8C"/>
    <w:rsid w:val="1FE7539E"/>
    <w:rsid w:val="1FFD1DFF"/>
    <w:rsid w:val="20227B87"/>
    <w:rsid w:val="20626BA7"/>
    <w:rsid w:val="20671BE0"/>
    <w:rsid w:val="208518B2"/>
    <w:rsid w:val="20963CB8"/>
    <w:rsid w:val="20A81A1B"/>
    <w:rsid w:val="20B07FB6"/>
    <w:rsid w:val="20B646FB"/>
    <w:rsid w:val="20BB2DEE"/>
    <w:rsid w:val="210F1978"/>
    <w:rsid w:val="211F47C9"/>
    <w:rsid w:val="212C3782"/>
    <w:rsid w:val="213500BD"/>
    <w:rsid w:val="213B74B1"/>
    <w:rsid w:val="215A2310"/>
    <w:rsid w:val="216D2097"/>
    <w:rsid w:val="2178649D"/>
    <w:rsid w:val="21816D1D"/>
    <w:rsid w:val="218331DE"/>
    <w:rsid w:val="21A2430B"/>
    <w:rsid w:val="21DE318A"/>
    <w:rsid w:val="21EC64D5"/>
    <w:rsid w:val="21EF11BC"/>
    <w:rsid w:val="21EF5B80"/>
    <w:rsid w:val="22576990"/>
    <w:rsid w:val="226118D9"/>
    <w:rsid w:val="229236E4"/>
    <w:rsid w:val="22F068FF"/>
    <w:rsid w:val="22F47480"/>
    <w:rsid w:val="231057D9"/>
    <w:rsid w:val="231E6B3F"/>
    <w:rsid w:val="232220F9"/>
    <w:rsid w:val="234E45A3"/>
    <w:rsid w:val="23975E06"/>
    <w:rsid w:val="23A10B26"/>
    <w:rsid w:val="23BD0BE6"/>
    <w:rsid w:val="23CB443D"/>
    <w:rsid w:val="23DE1C48"/>
    <w:rsid w:val="23FA2E32"/>
    <w:rsid w:val="240210CD"/>
    <w:rsid w:val="240512E3"/>
    <w:rsid w:val="24520C26"/>
    <w:rsid w:val="246A3D6E"/>
    <w:rsid w:val="246E3188"/>
    <w:rsid w:val="247E6772"/>
    <w:rsid w:val="24951DA1"/>
    <w:rsid w:val="24BF09F7"/>
    <w:rsid w:val="24F3344A"/>
    <w:rsid w:val="251F61A7"/>
    <w:rsid w:val="252D53FE"/>
    <w:rsid w:val="25432914"/>
    <w:rsid w:val="25EC2D81"/>
    <w:rsid w:val="262D7D0C"/>
    <w:rsid w:val="264F7DF4"/>
    <w:rsid w:val="26670D19"/>
    <w:rsid w:val="267C3185"/>
    <w:rsid w:val="267E2BB7"/>
    <w:rsid w:val="26832E31"/>
    <w:rsid w:val="268B447A"/>
    <w:rsid w:val="26B817BD"/>
    <w:rsid w:val="27651E6B"/>
    <w:rsid w:val="277057A2"/>
    <w:rsid w:val="277D081C"/>
    <w:rsid w:val="277D71B5"/>
    <w:rsid w:val="27A912DC"/>
    <w:rsid w:val="27D40308"/>
    <w:rsid w:val="28304227"/>
    <w:rsid w:val="28D35A40"/>
    <w:rsid w:val="28F76BEE"/>
    <w:rsid w:val="290F471D"/>
    <w:rsid w:val="29206EB8"/>
    <w:rsid w:val="29595666"/>
    <w:rsid w:val="2966445C"/>
    <w:rsid w:val="29725C52"/>
    <w:rsid w:val="298622B3"/>
    <w:rsid w:val="29874881"/>
    <w:rsid w:val="29891E41"/>
    <w:rsid w:val="29BB09F4"/>
    <w:rsid w:val="29E325E0"/>
    <w:rsid w:val="2A452503"/>
    <w:rsid w:val="2A874568"/>
    <w:rsid w:val="2AA66A22"/>
    <w:rsid w:val="2B047E3D"/>
    <w:rsid w:val="2B276594"/>
    <w:rsid w:val="2B6103AA"/>
    <w:rsid w:val="2B634913"/>
    <w:rsid w:val="2B6C1968"/>
    <w:rsid w:val="2BA936A8"/>
    <w:rsid w:val="2BB74223"/>
    <w:rsid w:val="2BF57C61"/>
    <w:rsid w:val="2C2551A4"/>
    <w:rsid w:val="2C315A5A"/>
    <w:rsid w:val="2C482B06"/>
    <w:rsid w:val="2C4B1C25"/>
    <w:rsid w:val="2C924616"/>
    <w:rsid w:val="2CE47C71"/>
    <w:rsid w:val="2CEB19FC"/>
    <w:rsid w:val="2CEF1CD0"/>
    <w:rsid w:val="2D261DC5"/>
    <w:rsid w:val="2D5409F3"/>
    <w:rsid w:val="2D875F2A"/>
    <w:rsid w:val="2D9E56F5"/>
    <w:rsid w:val="2DB7536D"/>
    <w:rsid w:val="2E1C4D8F"/>
    <w:rsid w:val="2E667F96"/>
    <w:rsid w:val="2E8226AB"/>
    <w:rsid w:val="2E863996"/>
    <w:rsid w:val="2EAD7799"/>
    <w:rsid w:val="2EE8322E"/>
    <w:rsid w:val="2F08199C"/>
    <w:rsid w:val="2F63571D"/>
    <w:rsid w:val="2F6427FC"/>
    <w:rsid w:val="2F697261"/>
    <w:rsid w:val="2F724D86"/>
    <w:rsid w:val="2F86151B"/>
    <w:rsid w:val="2FD065E6"/>
    <w:rsid w:val="2FD96870"/>
    <w:rsid w:val="2FE71B25"/>
    <w:rsid w:val="30580BC9"/>
    <w:rsid w:val="306E3319"/>
    <w:rsid w:val="30AE2769"/>
    <w:rsid w:val="30DF1C17"/>
    <w:rsid w:val="311E2ED7"/>
    <w:rsid w:val="315619EE"/>
    <w:rsid w:val="315C449C"/>
    <w:rsid w:val="316867E0"/>
    <w:rsid w:val="31B04DD9"/>
    <w:rsid w:val="31B82709"/>
    <w:rsid w:val="31C0089E"/>
    <w:rsid w:val="31D05482"/>
    <w:rsid w:val="320C1861"/>
    <w:rsid w:val="320F65D3"/>
    <w:rsid w:val="32400B34"/>
    <w:rsid w:val="325468DE"/>
    <w:rsid w:val="329E6876"/>
    <w:rsid w:val="32DD31FD"/>
    <w:rsid w:val="32E97F01"/>
    <w:rsid w:val="32F72511"/>
    <w:rsid w:val="333015F2"/>
    <w:rsid w:val="334B6320"/>
    <w:rsid w:val="33D934D4"/>
    <w:rsid w:val="33FE2F6A"/>
    <w:rsid w:val="340E07E5"/>
    <w:rsid w:val="34235BF7"/>
    <w:rsid w:val="344D2E75"/>
    <w:rsid w:val="34512C96"/>
    <w:rsid w:val="34670FD0"/>
    <w:rsid w:val="34763909"/>
    <w:rsid w:val="34825E0A"/>
    <w:rsid w:val="348B4330"/>
    <w:rsid w:val="34EE34A0"/>
    <w:rsid w:val="35840C31"/>
    <w:rsid w:val="358C5FA8"/>
    <w:rsid w:val="359A1669"/>
    <w:rsid w:val="35C15DF1"/>
    <w:rsid w:val="35CA5CBB"/>
    <w:rsid w:val="35F6632E"/>
    <w:rsid w:val="36074A7F"/>
    <w:rsid w:val="361C17F5"/>
    <w:rsid w:val="36653004"/>
    <w:rsid w:val="36923549"/>
    <w:rsid w:val="36A04C6E"/>
    <w:rsid w:val="36B75FBF"/>
    <w:rsid w:val="36BD0C45"/>
    <w:rsid w:val="37E00298"/>
    <w:rsid w:val="38082925"/>
    <w:rsid w:val="38886FB1"/>
    <w:rsid w:val="38B302F9"/>
    <w:rsid w:val="38DA45C0"/>
    <w:rsid w:val="38F12CD3"/>
    <w:rsid w:val="38F94775"/>
    <w:rsid w:val="3903243C"/>
    <w:rsid w:val="39033292"/>
    <w:rsid w:val="392971ED"/>
    <w:rsid w:val="39325651"/>
    <w:rsid w:val="39412EA6"/>
    <w:rsid w:val="396A5315"/>
    <w:rsid w:val="39A11D24"/>
    <w:rsid w:val="39FD547E"/>
    <w:rsid w:val="3A48361D"/>
    <w:rsid w:val="3A483652"/>
    <w:rsid w:val="3A6860DA"/>
    <w:rsid w:val="3A7E2A66"/>
    <w:rsid w:val="3A8013C4"/>
    <w:rsid w:val="3A872856"/>
    <w:rsid w:val="3AB26431"/>
    <w:rsid w:val="3AE841E7"/>
    <w:rsid w:val="3B036941"/>
    <w:rsid w:val="3B3763D1"/>
    <w:rsid w:val="3B6B4B17"/>
    <w:rsid w:val="3B6E7F12"/>
    <w:rsid w:val="3B8905E4"/>
    <w:rsid w:val="3B915700"/>
    <w:rsid w:val="3C2F6E1E"/>
    <w:rsid w:val="3C3522CD"/>
    <w:rsid w:val="3C4B2DBB"/>
    <w:rsid w:val="3C4F64BA"/>
    <w:rsid w:val="3CBE19AA"/>
    <w:rsid w:val="3CDA245A"/>
    <w:rsid w:val="3CF61143"/>
    <w:rsid w:val="3D1E06B7"/>
    <w:rsid w:val="3DA77731"/>
    <w:rsid w:val="3DB8307D"/>
    <w:rsid w:val="3DCD09F8"/>
    <w:rsid w:val="3DCE23EC"/>
    <w:rsid w:val="3E0C3AEC"/>
    <w:rsid w:val="3E527CEA"/>
    <w:rsid w:val="3E6E11AD"/>
    <w:rsid w:val="3E9C5F8A"/>
    <w:rsid w:val="3ED23E32"/>
    <w:rsid w:val="3EDA0523"/>
    <w:rsid w:val="3F0B5584"/>
    <w:rsid w:val="3F244998"/>
    <w:rsid w:val="3F4C624D"/>
    <w:rsid w:val="3F5327C1"/>
    <w:rsid w:val="3F6156D4"/>
    <w:rsid w:val="3F626F64"/>
    <w:rsid w:val="3F8276A8"/>
    <w:rsid w:val="3FB9235A"/>
    <w:rsid w:val="3FC574F3"/>
    <w:rsid w:val="40077295"/>
    <w:rsid w:val="407A6407"/>
    <w:rsid w:val="40B32BE1"/>
    <w:rsid w:val="40EB6256"/>
    <w:rsid w:val="410A340F"/>
    <w:rsid w:val="41177613"/>
    <w:rsid w:val="418538D4"/>
    <w:rsid w:val="418E0D47"/>
    <w:rsid w:val="41F8595E"/>
    <w:rsid w:val="4200449D"/>
    <w:rsid w:val="421D2C9A"/>
    <w:rsid w:val="423A3BCC"/>
    <w:rsid w:val="424E57D2"/>
    <w:rsid w:val="42916243"/>
    <w:rsid w:val="429E7E3B"/>
    <w:rsid w:val="42B26C49"/>
    <w:rsid w:val="42B62B53"/>
    <w:rsid w:val="42CB76AD"/>
    <w:rsid w:val="42D706F5"/>
    <w:rsid w:val="433A6FE6"/>
    <w:rsid w:val="43480868"/>
    <w:rsid w:val="4350713C"/>
    <w:rsid w:val="436653E0"/>
    <w:rsid w:val="437411B0"/>
    <w:rsid w:val="439039A1"/>
    <w:rsid w:val="43C4431A"/>
    <w:rsid w:val="444638B3"/>
    <w:rsid w:val="445138C5"/>
    <w:rsid w:val="448A4EA4"/>
    <w:rsid w:val="44904C10"/>
    <w:rsid w:val="44B951CC"/>
    <w:rsid w:val="44BF5774"/>
    <w:rsid w:val="44CD14E0"/>
    <w:rsid w:val="44F20B0B"/>
    <w:rsid w:val="451127CA"/>
    <w:rsid w:val="452C05AC"/>
    <w:rsid w:val="452E5F4C"/>
    <w:rsid w:val="454E1EA7"/>
    <w:rsid w:val="45526124"/>
    <w:rsid w:val="45612018"/>
    <w:rsid w:val="458946E9"/>
    <w:rsid w:val="45A47C0E"/>
    <w:rsid w:val="45A735A4"/>
    <w:rsid w:val="45B37668"/>
    <w:rsid w:val="46577FD6"/>
    <w:rsid w:val="46D955A7"/>
    <w:rsid w:val="46FD3EDD"/>
    <w:rsid w:val="47133957"/>
    <w:rsid w:val="47226A4C"/>
    <w:rsid w:val="474B26CA"/>
    <w:rsid w:val="475F4596"/>
    <w:rsid w:val="47A07E0C"/>
    <w:rsid w:val="48040509"/>
    <w:rsid w:val="48314BCF"/>
    <w:rsid w:val="48360F8E"/>
    <w:rsid w:val="4870272E"/>
    <w:rsid w:val="48FD1D08"/>
    <w:rsid w:val="491507D7"/>
    <w:rsid w:val="494D1F25"/>
    <w:rsid w:val="4962080E"/>
    <w:rsid w:val="49DC7715"/>
    <w:rsid w:val="4A023139"/>
    <w:rsid w:val="4A1920F3"/>
    <w:rsid w:val="4A7B576F"/>
    <w:rsid w:val="4AF561A9"/>
    <w:rsid w:val="4B107BAF"/>
    <w:rsid w:val="4B332719"/>
    <w:rsid w:val="4B554CA4"/>
    <w:rsid w:val="4BAC30E5"/>
    <w:rsid w:val="4BF93271"/>
    <w:rsid w:val="4C1E62B8"/>
    <w:rsid w:val="4C4A0649"/>
    <w:rsid w:val="4C7E5ECA"/>
    <w:rsid w:val="4C876AA5"/>
    <w:rsid w:val="4C913633"/>
    <w:rsid w:val="4CEB4DF7"/>
    <w:rsid w:val="4D0E00FB"/>
    <w:rsid w:val="4D10423C"/>
    <w:rsid w:val="4D11539B"/>
    <w:rsid w:val="4D151ABA"/>
    <w:rsid w:val="4D176606"/>
    <w:rsid w:val="4D3A55F0"/>
    <w:rsid w:val="4D3F4946"/>
    <w:rsid w:val="4D434A81"/>
    <w:rsid w:val="4D4A209F"/>
    <w:rsid w:val="4DB60DD4"/>
    <w:rsid w:val="4DD31794"/>
    <w:rsid w:val="4DEA7385"/>
    <w:rsid w:val="4DEC4FB0"/>
    <w:rsid w:val="4DEF3DD5"/>
    <w:rsid w:val="4E075D8A"/>
    <w:rsid w:val="4E0D05CE"/>
    <w:rsid w:val="4E0F74CD"/>
    <w:rsid w:val="4E1A0BC2"/>
    <w:rsid w:val="4E2A327F"/>
    <w:rsid w:val="4E4F2DA9"/>
    <w:rsid w:val="4E664843"/>
    <w:rsid w:val="4E950EFF"/>
    <w:rsid w:val="4E962786"/>
    <w:rsid w:val="4EA002DD"/>
    <w:rsid w:val="4EA100BB"/>
    <w:rsid w:val="4EA10581"/>
    <w:rsid w:val="4EC00FAD"/>
    <w:rsid w:val="4EFA609A"/>
    <w:rsid w:val="4F081382"/>
    <w:rsid w:val="4F2752A4"/>
    <w:rsid w:val="4F2F2F84"/>
    <w:rsid w:val="4F443F90"/>
    <w:rsid w:val="4F58582D"/>
    <w:rsid w:val="4F675ED1"/>
    <w:rsid w:val="4F90367A"/>
    <w:rsid w:val="4F9843DC"/>
    <w:rsid w:val="4FC23ABA"/>
    <w:rsid w:val="4FC62A8C"/>
    <w:rsid w:val="4FE20F0D"/>
    <w:rsid w:val="4FE319FB"/>
    <w:rsid w:val="4FE51552"/>
    <w:rsid w:val="500A0850"/>
    <w:rsid w:val="50330787"/>
    <w:rsid w:val="504601DC"/>
    <w:rsid w:val="50504C4B"/>
    <w:rsid w:val="506A725F"/>
    <w:rsid w:val="509C6E7C"/>
    <w:rsid w:val="50A866F2"/>
    <w:rsid w:val="50C23A0B"/>
    <w:rsid w:val="50CC6933"/>
    <w:rsid w:val="50DC0CC1"/>
    <w:rsid w:val="50FB1869"/>
    <w:rsid w:val="51525CD6"/>
    <w:rsid w:val="5162104E"/>
    <w:rsid w:val="51644DBE"/>
    <w:rsid w:val="51B746A8"/>
    <w:rsid w:val="51C72625"/>
    <w:rsid w:val="51E6296C"/>
    <w:rsid w:val="521A36CE"/>
    <w:rsid w:val="523A5B1F"/>
    <w:rsid w:val="524D5760"/>
    <w:rsid w:val="52546BE0"/>
    <w:rsid w:val="527903F5"/>
    <w:rsid w:val="52925E9B"/>
    <w:rsid w:val="52D7511B"/>
    <w:rsid w:val="52DC616C"/>
    <w:rsid w:val="53A039CC"/>
    <w:rsid w:val="53A1505A"/>
    <w:rsid w:val="53B042ED"/>
    <w:rsid w:val="53E5165E"/>
    <w:rsid w:val="53E83BC0"/>
    <w:rsid w:val="54041F40"/>
    <w:rsid w:val="54063E08"/>
    <w:rsid w:val="541F52A9"/>
    <w:rsid w:val="543437E8"/>
    <w:rsid w:val="54F33119"/>
    <w:rsid w:val="54F73313"/>
    <w:rsid w:val="54F80955"/>
    <w:rsid w:val="555170A7"/>
    <w:rsid w:val="5563094D"/>
    <w:rsid w:val="557B4484"/>
    <w:rsid w:val="5587536D"/>
    <w:rsid w:val="559B174B"/>
    <w:rsid w:val="55CE0CF4"/>
    <w:rsid w:val="565546E4"/>
    <w:rsid w:val="56987076"/>
    <w:rsid w:val="56B22A9C"/>
    <w:rsid w:val="57346908"/>
    <w:rsid w:val="573E67DA"/>
    <w:rsid w:val="57807C47"/>
    <w:rsid w:val="578245A0"/>
    <w:rsid w:val="57A655D0"/>
    <w:rsid w:val="57B72A76"/>
    <w:rsid w:val="57C20DC6"/>
    <w:rsid w:val="57C3426C"/>
    <w:rsid w:val="57CE1F93"/>
    <w:rsid w:val="57CE2F91"/>
    <w:rsid w:val="57DB12F8"/>
    <w:rsid w:val="57E02CC4"/>
    <w:rsid w:val="57F308BF"/>
    <w:rsid w:val="58006EC2"/>
    <w:rsid w:val="584850D4"/>
    <w:rsid w:val="588743D1"/>
    <w:rsid w:val="5887701A"/>
    <w:rsid w:val="58AF31E4"/>
    <w:rsid w:val="58DE6061"/>
    <w:rsid w:val="58E5269C"/>
    <w:rsid w:val="594F3C5E"/>
    <w:rsid w:val="59673A73"/>
    <w:rsid w:val="597D6EA0"/>
    <w:rsid w:val="59A457F7"/>
    <w:rsid w:val="59C0439F"/>
    <w:rsid w:val="5A8A0566"/>
    <w:rsid w:val="5ABE2233"/>
    <w:rsid w:val="5AFD4646"/>
    <w:rsid w:val="5B0B3FD4"/>
    <w:rsid w:val="5B184523"/>
    <w:rsid w:val="5B30041F"/>
    <w:rsid w:val="5B8E736C"/>
    <w:rsid w:val="5B8F2FEE"/>
    <w:rsid w:val="5BAF4667"/>
    <w:rsid w:val="5BDF5D95"/>
    <w:rsid w:val="5BFE7528"/>
    <w:rsid w:val="5C0610FE"/>
    <w:rsid w:val="5C323451"/>
    <w:rsid w:val="5C5563C3"/>
    <w:rsid w:val="5C5B1929"/>
    <w:rsid w:val="5CA32435"/>
    <w:rsid w:val="5D1217CA"/>
    <w:rsid w:val="5D672DB1"/>
    <w:rsid w:val="5E0920B6"/>
    <w:rsid w:val="5E170D70"/>
    <w:rsid w:val="5E2467F1"/>
    <w:rsid w:val="5E611E23"/>
    <w:rsid w:val="5E87578C"/>
    <w:rsid w:val="5EA67929"/>
    <w:rsid w:val="5F057D8C"/>
    <w:rsid w:val="5F1A2B43"/>
    <w:rsid w:val="5F64432D"/>
    <w:rsid w:val="5F6C469D"/>
    <w:rsid w:val="5F6D0BEE"/>
    <w:rsid w:val="5F703DCF"/>
    <w:rsid w:val="5F7449CE"/>
    <w:rsid w:val="5F8E025D"/>
    <w:rsid w:val="5FB837BB"/>
    <w:rsid w:val="5FC02CAF"/>
    <w:rsid w:val="5FC85466"/>
    <w:rsid w:val="5FE1142E"/>
    <w:rsid w:val="60824919"/>
    <w:rsid w:val="60980FE6"/>
    <w:rsid w:val="60B10850"/>
    <w:rsid w:val="60CC405A"/>
    <w:rsid w:val="60D35876"/>
    <w:rsid w:val="61043872"/>
    <w:rsid w:val="619857FD"/>
    <w:rsid w:val="619C2EE1"/>
    <w:rsid w:val="61C3168D"/>
    <w:rsid w:val="61E215D8"/>
    <w:rsid w:val="621230CA"/>
    <w:rsid w:val="621B3775"/>
    <w:rsid w:val="62364782"/>
    <w:rsid w:val="626D784A"/>
    <w:rsid w:val="6300421A"/>
    <w:rsid w:val="632A3C77"/>
    <w:rsid w:val="637B74D7"/>
    <w:rsid w:val="6394356A"/>
    <w:rsid w:val="63C61B2C"/>
    <w:rsid w:val="63D40BE9"/>
    <w:rsid w:val="63DE7303"/>
    <w:rsid w:val="640D3093"/>
    <w:rsid w:val="64102431"/>
    <w:rsid w:val="642668B2"/>
    <w:rsid w:val="64960552"/>
    <w:rsid w:val="64A5243A"/>
    <w:rsid w:val="64BF35CF"/>
    <w:rsid w:val="64F06497"/>
    <w:rsid w:val="64F531DE"/>
    <w:rsid w:val="64FB2EEB"/>
    <w:rsid w:val="65373578"/>
    <w:rsid w:val="65640A91"/>
    <w:rsid w:val="657B39D8"/>
    <w:rsid w:val="659C3AAB"/>
    <w:rsid w:val="65A32F22"/>
    <w:rsid w:val="65CA6EF8"/>
    <w:rsid w:val="65F046BB"/>
    <w:rsid w:val="6614554E"/>
    <w:rsid w:val="665B0278"/>
    <w:rsid w:val="66BB0C85"/>
    <w:rsid w:val="66F61BBC"/>
    <w:rsid w:val="671F124A"/>
    <w:rsid w:val="677A33C6"/>
    <w:rsid w:val="67A901F8"/>
    <w:rsid w:val="67B85BD0"/>
    <w:rsid w:val="67F02AB0"/>
    <w:rsid w:val="680D18B3"/>
    <w:rsid w:val="68123F05"/>
    <w:rsid w:val="681F6961"/>
    <w:rsid w:val="68366618"/>
    <w:rsid w:val="68534D10"/>
    <w:rsid w:val="68610A2F"/>
    <w:rsid w:val="686908DB"/>
    <w:rsid w:val="686D1FCA"/>
    <w:rsid w:val="687D3EBC"/>
    <w:rsid w:val="68805514"/>
    <w:rsid w:val="68D47A7B"/>
    <w:rsid w:val="69274428"/>
    <w:rsid w:val="69316E2F"/>
    <w:rsid w:val="69330731"/>
    <w:rsid w:val="694D7761"/>
    <w:rsid w:val="694E2071"/>
    <w:rsid w:val="695970D3"/>
    <w:rsid w:val="69766163"/>
    <w:rsid w:val="697A3B33"/>
    <w:rsid w:val="697C4644"/>
    <w:rsid w:val="69BC0DBC"/>
    <w:rsid w:val="69D44760"/>
    <w:rsid w:val="69F14347"/>
    <w:rsid w:val="6A520EC7"/>
    <w:rsid w:val="6A5922F3"/>
    <w:rsid w:val="6A905FCC"/>
    <w:rsid w:val="6A94013C"/>
    <w:rsid w:val="6AE849F9"/>
    <w:rsid w:val="6AF87E20"/>
    <w:rsid w:val="6B322639"/>
    <w:rsid w:val="6B414F08"/>
    <w:rsid w:val="6B854113"/>
    <w:rsid w:val="6C636C38"/>
    <w:rsid w:val="6C7F00F2"/>
    <w:rsid w:val="6CB22A29"/>
    <w:rsid w:val="6CED0F69"/>
    <w:rsid w:val="6D027D50"/>
    <w:rsid w:val="6D6103AE"/>
    <w:rsid w:val="6DB34098"/>
    <w:rsid w:val="6DB4457F"/>
    <w:rsid w:val="6DB545B6"/>
    <w:rsid w:val="6DCF4F15"/>
    <w:rsid w:val="6DE02FB4"/>
    <w:rsid w:val="6E141F28"/>
    <w:rsid w:val="6E334D51"/>
    <w:rsid w:val="6E3F406B"/>
    <w:rsid w:val="6E514CED"/>
    <w:rsid w:val="6E657628"/>
    <w:rsid w:val="6E7F4B8D"/>
    <w:rsid w:val="6EB563D5"/>
    <w:rsid w:val="6EBD7464"/>
    <w:rsid w:val="6ED92677"/>
    <w:rsid w:val="6EE113A4"/>
    <w:rsid w:val="6F225983"/>
    <w:rsid w:val="6F230905"/>
    <w:rsid w:val="6F2C33B6"/>
    <w:rsid w:val="6F6A779F"/>
    <w:rsid w:val="6FE22F68"/>
    <w:rsid w:val="6FFC5590"/>
    <w:rsid w:val="70080B6E"/>
    <w:rsid w:val="705139A0"/>
    <w:rsid w:val="706D1DD0"/>
    <w:rsid w:val="70856B87"/>
    <w:rsid w:val="709D411E"/>
    <w:rsid w:val="70C42D2B"/>
    <w:rsid w:val="70D45FB5"/>
    <w:rsid w:val="70D527EE"/>
    <w:rsid w:val="710B6EA4"/>
    <w:rsid w:val="714D316B"/>
    <w:rsid w:val="71512241"/>
    <w:rsid w:val="715B5300"/>
    <w:rsid w:val="71C42DB8"/>
    <w:rsid w:val="71D27F8A"/>
    <w:rsid w:val="721D4C52"/>
    <w:rsid w:val="721E46BD"/>
    <w:rsid w:val="722F2426"/>
    <w:rsid w:val="723F49EB"/>
    <w:rsid w:val="72553024"/>
    <w:rsid w:val="727A2530"/>
    <w:rsid w:val="72C07522"/>
    <w:rsid w:val="730F71A9"/>
    <w:rsid w:val="73122968"/>
    <w:rsid w:val="731B4A96"/>
    <w:rsid w:val="731D5D8A"/>
    <w:rsid w:val="731F5D5E"/>
    <w:rsid w:val="73467A28"/>
    <w:rsid w:val="734C2E72"/>
    <w:rsid w:val="739300FC"/>
    <w:rsid w:val="73C51AD5"/>
    <w:rsid w:val="741E793C"/>
    <w:rsid w:val="7424577E"/>
    <w:rsid w:val="74325F80"/>
    <w:rsid w:val="745C147E"/>
    <w:rsid w:val="745E3944"/>
    <w:rsid w:val="74604B19"/>
    <w:rsid w:val="74685B67"/>
    <w:rsid w:val="7499234F"/>
    <w:rsid w:val="74A40DCE"/>
    <w:rsid w:val="74AB7EAA"/>
    <w:rsid w:val="74C33581"/>
    <w:rsid w:val="751434AC"/>
    <w:rsid w:val="753B10E2"/>
    <w:rsid w:val="753D7BD6"/>
    <w:rsid w:val="75592324"/>
    <w:rsid w:val="757C5005"/>
    <w:rsid w:val="758A10F5"/>
    <w:rsid w:val="75904F22"/>
    <w:rsid w:val="76041BD9"/>
    <w:rsid w:val="7626186D"/>
    <w:rsid w:val="7635099D"/>
    <w:rsid w:val="76424E1E"/>
    <w:rsid w:val="764F3C8B"/>
    <w:rsid w:val="76810735"/>
    <w:rsid w:val="768A4D4D"/>
    <w:rsid w:val="76B478EB"/>
    <w:rsid w:val="76C814F7"/>
    <w:rsid w:val="770C3CAE"/>
    <w:rsid w:val="773E4F19"/>
    <w:rsid w:val="77443163"/>
    <w:rsid w:val="776439A2"/>
    <w:rsid w:val="77762421"/>
    <w:rsid w:val="77947980"/>
    <w:rsid w:val="77996CC0"/>
    <w:rsid w:val="77B56B1F"/>
    <w:rsid w:val="7806114A"/>
    <w:rsid w:val="780805DD"/>
    <w:rsid w:val="780F09F4"/>
    <w:rsid w:val="78282B14"/>
    <w:rsid w:val="785E4134"/>
    <w:rsid w:val="786673C2"/>
    <w:rsid w:val="78A90480"/>
    <w:rsid w:val="78E0447A"/>
    <w:rsid w:val="78E34E44"/>
    <w:rsid w:val="7A364017"/>
    <w:rsid w:val="7A396B72"/>
    <w:rsid w:val="7A7E64E3"/>
    <w:rsid w:val="7A8265E1"/>
    <w:rsid w:val="7AC862FD"/>
    <w:rsid w:val="7B430918"/>
    <w:rsid w:val="7B686D42"/>
    <w:rsid w:val="7B841746"/>
    <w:rsid w:val="7BB45EFA"/>
    <w:rsid w:val="7C266648"/>
    <w:rsid w:val="7C6C5AC7"/>
    <w:rsid w:val="7CB7157F"/>
    <w:rsid w:val="7CC6544B"/>
    <w:rsid w:val="7D0239FF"/>
    <w:rsid w:val="7D5B67C5"/>
    <w:rsid w:val="7D5E40CD"/>
    <w:rsid w:val="7D866A0E"/>
    <w:rsid w:val="7DAF0E8F"/>
    <w:rsid w:val="7DC8525D"/>
    <w:rsid w:val="7DCD56F2"/>
    <w:rsid w:val="7DF2712A"/>
    <w:rsid w:val="7E4F65AB"/>
    <w:rsid w:val="7ED1795E"/>
    <w:rsid w:val="7F001CE7"/>
    <w:rsid w:val="7F122209"/>
    <w:rsid w:val="7FB70B0F"/>
    <w:rsid w:val="7FE47E50"/>
    <w:rsid w:val="7FFC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line="360" w:lineRule="auto"/>
      <w:outlineLvl w:val="0"/>
    </w:pPr>
    <w:rPr>
      <w:b/>
      <w:bCs/>
      <w:color w:val="000000"/>
      <w:kern w:val="44"/>
      <w:sz w:val="28"/>
      <w:szCs w:val="28"/>
    </w:rPr>
  </w:style>
  <w:style w:type="paragraph" w:styleId="2">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locked/>
    <w:uiPriority w:val="0"/>
    <w:pPr>
      <w:keepNext/>
      <w:keepLines/>
      <w:spacing w:before="260" w:after="260" w:line="413" w:lineRule="auto"/>
      <w:outlineLvl w:val="2"/>
    </w:pPr>
    <w:rPr>
      <w:b/>
      <w:bCs/>
      <w:sz w:val="32"/>
      <w:szCs w:val="32"/>
    </w:rPr>
  </w:style>
  <w:style w:type="paragraph" w:styleId="5">
    <w:name w:val="heading 4"/>
    <w:basedOn w:val="1"/>
    <w:next w:val="1"/>
    <w:qFormat/>
    <w:locked/>
    <w:uiPriority w:val="0"/>
    <w:pPr>
      <w:keepNext/>
      <w:keepLines/>
      <w:numPr>
        <w:ilvl w:val="3"/>
        <w:numId w:val="1"/>
      </w:numPr>
      <w:ind w:left="0" w:firstLine="643" w:firstLineChars="200"/>
      <w:outlineLvl w:val="3"/>
    </w:pPr>
  </w:style>
  <w:style w:type="paragraph" w:styleId="6">
    <w:name w:val="heading 5"/>
    <w:basedOn w:val="1"/>
    <w:next w:val="1"/>
    <w:qFormat/>
    <w:locked/>
    <w:uiPriority w:val="0"/>
    <w:pPr>
      <w:keepNext/>
      <w:keepLines/>
      <w:autoSpaceDE w:val="0"/>
      <w:autoSpaceDN w:val="0"/>
      <w:adjustRightInd w:val="0"/>
      <w:spacing w:line="288" w:lineRule="auto"/>
      <w:jc w:val="left"/>
      <w:textAlignment w:val="baseline"/>
      <w:outlineLvl w:val="4"/>
    </w:pPr>
    <w:rPr>
      <w:b/>
      <w:kern w:val="0"/>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List 3"/>
    <w:basedOn w:val="1"/>
    <w:next w:val="1"/>
    <w:qFormat/>
    <w:locked/>
    <w:uiPriority w:val="0"/>
    <w:pPr>
      <w:autoSpaceDE w:val="0"/>
      <w:autoSpaceDN w:val="0"/>
      <w:adjustRightInd w:val="0"/>
      <w:spacing w:line="288" w:lineRule="auto"/>
      <w:ind w:left="1260" w:hanging="420"/>
      <w:jc w:val="left"/>
      <w:textAlignment w:val="baseline"/>
    </w:pPr>
    <w:rPr>
      <w:kern w:val="0"/>
      <w:sz w:val="20"/>
      <w:szCs w:val="20"/>
    </w:rPr>
  </w:style>
  <w:style w:type="paragraph" w:styleId="8">
    <w:name w:val="Normal Indent"/>
    <w:basedOn w:val="1"/>
    <w:next w:val="9"/>
    <w:qFormat/>
    <w:locked/>
    <w:uiPriority w:val="0"/>
    <w:pPr>
      <w:adjustRightInd w:val="0"/>
      <w:snapToGrid w:val="0"/>
      <w:spacing w:line="300" w:lineRule="auto"/>
      <w:ind w:left="-50" w:leftChars="-50" w:firstLine="482"/>
      <w:jc w:val="left"/>
    </w:pPr>
    <w:rPr>
      <w:sz w:val="24"/>
      <w:szCs w:val="20"/>
    </w:rPr>
  </w:style>
  <w:style w:type="paragraph" w:styleId="9">
    <w:name w:val="Body Text"/>
    <w:basedOn w:val="1"/>
    <w:next w:val="10"/>
    <w:link w:val="46"/>
    <w:qFormat/>
    <w:uiPriority w:val="0"/>
    <w:pPr>
      <w:widowControl/>
      <w:snapToGrid w:val="0"/>
      <w:spacing w:before="60" w:after="160" w:line="259" w:lineRule="auto"/>
      <w:ind w:right="113"/>
    </w:pPr>
    <w:rPr>
      <w:kern w:val="0"/>
      <w:sz w:val="18"/>
      <w:szCs w:val="20"/>
    </w:rPr>
  </w:style>
  <w:style w:type="paragraph" w:styleId="10">
    <w:name w:val="List Bullet 5"/>
    <w:basedOn w:val="1"/>
    <w:qFormat/>
    <w:locked/>
    <w:uiPriority w:val="0"/>
    <w:pPr>
      <w:numPr>
        <w:ilvl w:val="0"/>
        <w:numId w:val="2"/>
      </w:numPr>
    </w:pPr>
  </w:style>
  <w:style w:type="paragraph" w:styleId="11">
    <w:name w:val="annotation text"/>
    <w:basedOn w:val="1"/>
    <w:link w:val="45"/>
    <w:semiHidden/>
    <w:qFormat/>
    <w:uiPriority w:val="0"/>
    <w:pPr>
      <w:jc w:val="left"/>
    </w:pPr>
    <w:rPr>
      <w:kern w:val="0"/>
      <w:sz w:val="24"/>
      <w:szCs w:val="20"/>
    </w:rPr>
  </w:style>
  <w:style w:type="paragraph" w:styleId="12">
    <w:name w:val="Body Text Indent"/>
    <w:basedOn w:val="1"/>
    <w:next w:val="13"/>
    <w:link w:val="47"/>
    <w:qFormat/>
    <w:uiPriority w:val="0"/>
    <w:pPr>
      <w:spacing w:after="120"/>
      <w:ind w:left="420" w:leftChars="200"/>
    </w:pPr>
    <w:rPr>
      <w:kern w:val="0"/>
      <w:sz w:val="24"/>
      <w:szCs w:val="20"/>
    </w:rPr>
  </w:style>
  <w:style w:type="paragraph" w:customStyle="1" w:styleId="13">
    <w:name w:val="样式 正文文本缩进 + 行距: 1.5 倍行距"/>
    <w:basedOn w:val="1"/>
    <w:qFormat/>
    <w:uiPriority w:val="0"/>
    <w:pPr>
      <w:spacing w:after="120" w:line="360" w:lineRule="auto"/>
      <w:ind w:left="90" w:leftChars="32" w:firstLine="560"/>
    </w:pPr>
  </w:style>
  <w:style w:type="paragraph" w:styleId="14">
    <w:name w:val="Plain Text"/>
    <w:basedOn w:val="1"/>
    <w:link w:val="87"/>
    <w:qFormat/>
    <w:locked/>
    <w:uiPriority w:val="99"/>
    <w:rPr>
      <w:rFonts w:ascii="宋体" w:hAnsi="Courier New"/>
    </w:rPr>
  </w:style>
  <w:style w:type="paragraph" w:styleId="15">
    <w:name w:val="Date"/>
    <w:basedOn w:val="1"/>
    <w:next w:val="1"/>
    <w:link w:val="49"/>
    <w:qFormat/>
    <w:uiPriority w:val="0"/>
    <w:pPr>
      <w:ind w:left="100" w:leftChars="2500"/>
    </w:pPr>
    <w:rPr>
      <w:kern w:val="0"/>
      <w:sz w:val="24"/>
      <w:szCs w:val="20"/>
    </w:rPr>
  </w:style>
  <w:style w:type="paragraph" w:styleId="16">
    <w:name w:val="Body Text Indent 2"/>
    <w:basedOn w:val="1"/>
    <w:qFormat/>
    <w:locked/>
    <w:uiPriority w:val="0"/>
    <w:pPr>
      <w:spacing w:line="520" w:lineRule="exact"/>
      <w:ind w:firstLine="573"/>
    </w:pPr>
    <w:rPr>
      <w:sz w:val="28"/>
      <w:szCs w:val="28"/>
    </w:rPr>
  </w:style>
  <w:style w:type="paragraph" w:styleId="17">
    <w:name w:val="Balloon Text"/>
    <w:basedOn w:val="1"/>
    <w:link w:val="50"/>
    <w:semiHidden/>
    <w:qFormat/>
    <w:uiPriority w:val="0"/>
    <w:rPr>
      <w:kern w:val="0"/>
      <w:sz w:val="18"/>
      <w:szCs w:val="20"/>
    </w:rPr>
  </w:style>
  <w:style w:type="paragraph" w:styleId="18">
    <w:name w:val="footer"/>
    <w:basedOn w:val="1"/>
    <w:link w:val="51"/>
    <w:qFormat/>
    <w:uiPriority w:val="99"/>
    <w:pPr>
      <w:tabs>
        <w:tab w:val="center" w:pos="4153"/>
        <w:tab w:val="right" w:pos="8306"/>
      </w:tabs>
      <w:snapToGrid w:val="0"/>
      <w:jc w:val="left"/>
    </w:pPr>
    <w:rPr>
      <w:kern w:val="0"/>
      <w:sz w:val="18"/>
      <w:szCs w:val="20"/>
    </w:rPr>
  </w:style>
  <w:style w:type="paragraph" w:styleId="19">
    <w:name w:val="header"/>
    <w:basedOn w:val="1"/>
    <w:next w:val="20"/>
    <w:link w:val="48"/>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20">
    <w:name w:val="样式5"/>
    <w:basedOn w:val="21"/>
    <w:qFormat/>
    <w:uiPriority w:val="0"/>
    <w:pPr>
      <w:spacing w:line="360" w:lineRule="auto"/>
    </w:pPr>
    <w:rPr>
      <w:rFonts w:ascii="Times New Roman" w:hAnsi="Times New Roman"/>
      <w:sz w:val="24"/>
      <w:szCs w:val="22"/>
    </w:rPr>
  </w:style>
  <w:style w:type="paragraph" w:customStyle="1" w:styleId="21">
    <w:name w:val="正文1"/>
    <w:basedOn w:val="22"/>
    <w:next w:val="1"/>
    <w:qFormat/>
    <w:uiPriority w:val="0"/>
    <w:rPr>
      <w:rFonts w:ascii="宋体" w:hAnsi="宋体"/>
      <w:sz w:val="32"/>
      <w:szCs w:val="32"/>
    </w:rPr>
  </w:style>
  <w:style w:type="paragraph" w:customStyle="1" w:styleId="22">
    <w:name w:val="列出段落11"/>
    <w:basedOn w:val="1"/>
    <w:qFormat/>
    <w:uiPriority w:val="34"/>
    <w:pPr>
      <w:ind w:firstLine="420"/>
    </w:pPr>
  </w:style>
  <w:style w:type="paragraph" w:styleId="23">
    <w:name w:val="List"/>
    <w:basedOn w:val="1"/>
    <w:next w:val="1"/>
    <w:qFormat/>
    <w:locked/>
    <w:uiPriority w:val="0"/>
    <w:pPr>
      <w:ind w:left="200" w:hanging="200" w:hangingChars="200"/>
    </w:pPr>
  </w:style>
  <w:style w:type="paragraph" w:styleId="24">
    <w:name w:val="toc 2"/>
    <w:basedOn w:val="1"/>
    <w:next w:val="1"/>
    <w:qFormat/>
    <w:locked/>
    <w:uiPriority w:val="39"/>
    <w:pPr>
      <w:ind w:left="240"/>
      <w:jc w:val="left"/>
    </w:pPr>
    <w:rPr>
      <w:rFonts w:ascii="Calibri" w:hAnsi="Calibri"/>
      <w:smallCaps/>
      <w:sz w:val="20"/>
      <w:szCs w:val="20"/>
    </w:rPr>
  </w:style>
  <w:style w:type="paragraph" w:styleId="25">
    <w:name w:val="Body Text 2"/>
    <w:basedOn w:val="1"/>
    <w:unhideWhenUsed/>
    <w:qFormat/>
    <w:locked/>
    <w:uiPriority w:val="99"/>
    <w:pPr>
      <w:spacing w:after="120" w:line="480" w:lineRule="auto"/>
    </w:pPr>
  </w:style>
  <w:style w:type="paragraph" w:styleId="26">
    <w:name w:val="Normal (Web)"/>
    <w:basedOn w:val="1"/>
    <w:link w:val="52"/>
    <w:qFormat/>
    <w:uiPriority w:val="0"/>
    <w:pPr>
      <w:widowControl/>
      <w:spacing w:before="100" w:beforeAutospacing="1" w:after="100" w:afterAutospacing="1"/>
      <w:jc w:val="left"/>
    </w:pPr>
    <w:rPr>
      <w:rFonts w:ascii="宋体" w:hAnsi="宋体"/>
      <w:kern w:val="0"/>
      <w:sz w:val="24"/>
      <w:szCs w:val="20"/>
    </w:rPr>
  </w:style>
  <w:style w:type="paragraph" w:styleId="27">
    <w:name w:val="annotation subject"/>
    <w:basedOn w:val="11"/>
    <w:next w:val="11"/>
    <w:link w:val="53"/>
    <w:semiHidden/>
    <w:qFormat/>
    <w:uiPriority w:val="0"/>
    <w:rPr>
      <w:b/>
    </w:rPr>
  </w:style>
  <w:style w:type="paragraph" w:styleId="28">
    <w:name w:val="Body Text First Indent"/>
    <w:basedOn w:val="9"/>
    <w:qFormat/>
    <w:locked/>
    <w:uiPriority w:val="0"/>
    <w:pPr>
      <w:spacing w:after="120" w:line="240" w:lineRule="auto"/>
      <w:ind w:firstLine="100" w:firstLineChars="100"/>
    </w:pPr>
    <w:rPr>
      <w:sz w:val="21"/>
      <w:szCs w:val="24"/>
    </w:rPr>
  </w:style>
  <w:style w:type="paragraph" w:styleId="29">
    <w:name w:val="Body Text First Indent 2"/>
    <w:basedOn w:val="12"/>
    <w:next w:val="1"/>
    <w:qFormat/>
    <w:locked/>
    <w:uiPriority w:val="0"/>
    <w:pPr>
      <w:ind w:firstLine="420" w:firstLineChars="200"/>
    </w:pPr>
    <w:rPr>
      <w:sz w:val="21"/>
      <w:szCs w:val="24"/>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locked/>
    <w:uiPriority w:val="0"/>
  </w:style>
  <w:style w:type="character" w:styleId="34">
    <w:name w:val="FollowedHyperlink"/>
    <w:basedOn w:val="32"/>
    <w:qFormat/>
    <w:locked/>
    <w:uiPriority w:val="0"/>
    <w:rPr>
      <w:color w:val="800080" w:themeColor="followedHyperlink"/>
      <w:u w:val="single"/>
      <w14:textFill>
        <w14:solidFill>
          <w14:schemeClr w14:val="folHlink"/>
        </w14:solidFill>
      </w14:textFill>
    </w:rPr>
  </w:style>
  <w:style w:type="character" w:styleId="35">
    <w:name w:val="Hyperlink"/>
    <w:basedOn w:val="32"/>
    <w:qFormat/>
    <w:locked/>
    <w:uiPriority w:val="0"/>
    <w:rPr>
      <w:color w:val="0000FF" w:themeColor="hyperlink"/>
      <w:u w:val="single"/>
      <w14:textFill>
        <w14:solidFill>
          <w14:schemeClr w14:val="hlink"/>
        </w14:solidFill>
      </w14:textFill>
    </w:rPr>
  </w:style>
  <w:style w:type="character" w:styleId="36">
    <w:name w:val="annotation reference"/>
    <w:qFormat/>
    <w:uiPriority w:val="0"/>
    <w:rPr>
      <w:sz w:val="21"/>
    </w:rPr>
  </w:style>
  <w:style w:type="paragraph" w:customStyle="1" w:styleId="37">
    <w:name w:val="表格内"/>
    <w:basedOn w:val="1"/>
    <w:qFormat/>
    <w:uiPriority w:val="0"/>
    <w:pPr>
      <w:spacing w:line="360" w:lineRule="exact"/>
      <w:jc w:val="center"/>
    </w:pPr>
    <w:rPr>
      <w:rFonts w:ascii="Calibri" w:hAnsi="Calibri"/>
      <w:snapToGrid w:val="0"/>
      <w:szCs w:val="21"/>
    </w:rPr>
  </w:style>
  <w:style w:type="paragraph" w:customStyle="1" w:styleId="38">
    <w:name w:val="表中文字"/>
    <w:basedOn w:val="1"/>
    <w:link w:val="114"/>
    <w:qFormat/>
    <w:uiPriority w:val="0"/>
    <w:rPr>
      <w:szCs w:val="21"/>
    </w:rPr>
  </w:style>
  <w:style w:type="paragraph" w:customStyle="1" w:styleId="39">
    <w:name w:val="表格标题-yj"/>
    <w:basedOn w:val="1"/>
    <w:qFormat/>
    <w:uiPriority w:val="0"/>
    <w:pPr>
      <w:adjustRightInd w:val="0"/>
      <w:snapToGrid w:val="0"/>
      <w:spacing w:line="240" w:lineRule="auto"/>
      <w:ind w:firstLine="0" w:firstLineChars="0"/>
      <w:jc w:val="center"/>
      <w:textAlignment w:val="baseline"/>
    </w:pPr>
    <w:rPr>
      <w:rFonts w:ascii="Times New Roman" w:hAnsi="Times New Roman" w:eastAsia="宋体" w:cs="Times New Roman"/>
      <w:b/>
      <w:bCs/>
      <w:snapToGrid w:val="0"/>
      <w:kern w:val="0"/>
    </w:rPr>
  </w:style>
  <w:style w:type="paragraph" w:customStyle="1" w:styleId="40">
    <w:name w:val="Date1"/>
    <w:basedOn w:val="1"/>
    <w:next w:val="1"/>
    <w:qFormat/>
    <w:uiPriority w:val="0"/>
    <w:pPr>
      <w:adjustRightInd w:val="0"/>
      <w:jc w:val="left"/>
      <w:textAlignment w:val="baseline"/>
    </w:pPr>
    <w:rPr>
      <w:rFonts w:ascii="宋体" w:hAnsi="宋体"/>
      <w:sz w:val="28"/>
      <w:szCs w:val="20"/>
    </w:rPr>
  </w:style>
  <w:style w:type="paragraph" w:customStyle="1" w:styleId="41">
    <w:name w:val="Default"/>
    <w:basedOn w:val="42"/>
    <w:next w:val="1"/>
    <w:qFormat/>
    <w:uiPriority w:val="0"/>
    <w:pPr>
      <w:autoSpaceDE w:val="0"/>
      <w:autoSpaceDN w:val="0"/>
      <w:adjustRightInd w:val="0"/>
    </w:pPr>
    <w:rPr>
      <w:rFonts w:hAnsi="Times New Roman"/>
      <w:color w:val="000000"/>
      <w:sz w:val="24"/>
    </w:rPr>
  </w:style>
  <w:style w:type="paragraph" w:customStyle="1" w:styleId="42">
    <w:name w:val="纯文本1"/>
    <w:basedOn w:val="1"/>
    <w:qFormat/>
    <w:uiPriority w:val="0"/>
    <w:rPr>
      <w:rFonts w:ascii="宋体" w:hAnsi="Courier New"/>
    </w:rPr>
  </w:style>
  <w:style w:type="paragraph" w:customStyle="1" w:styleId="43">
    <w:name w:val="@正文缩进"/>
    <w:basedOn w:val="1"/>
    <w:qFormat/>
    <w:uiPriority w:val="0"/>
    <w:pPr>
      <w:ind w:firstLine="200" w:firstLineChars="200"/>
      <w:jc w:val="left"/>
    </w:pPr>
    <w:rPr>
      <w:kern w:val="0"/>
    </w:rPr>
  </w:style>
  <w:style w:type="paragraph" w:customStyle="1" w:styleId="44">
    <w:name w:val="Table Paragraph"/>
    <w:basedOn w:val="1"/>
    <w:qFormat/>
    <w:uiPriority w:val="1"/>
    <w:rPr>
      <w:rFonts w:ascii="仿宋" w:hAnsi="仿宋" w:eastAsia="仿宋" w:cs="仿宋"/>
      <w:lang w:val="zh-CN" w:bidi="zh-CN"/>
    </w:rPr>
  </w:style>
  <w:style w:type="character" w:customStyle="1" w:styleId="45">
    <w:name w:val="批注文字 字符"/>
    <w:link w:val="11"/>
    <w:qFormat/>
    <w:locked/>
    <w:uiPriority w:val="0"/>
    <w:rPr>
      <w:rFonts w:ascii="Times New Roman" w:hAnsi="Times New Roman" w:eastAsia="宋体"/>
      <w:sz w:val="24"/>
    </w:rPr>
  </w:style>
  <w:style w:type="character" w:customStyle="1" w:styleId="46">
    <w:name w:val="正文文本 字符"/>
    <w:link w:val="9"/>
    <w:qFormat/>
    <w:locked/>
    <w:uiPriority w:val="0"/>
    <w:rPr>
      <w:sz w:val="18"/>
    </w:rPr>
  </w:style>
  <w:style w:type="character" w:customStyle="1" w:styleId="47">
    <w:name w:val="正文文本缩进 字符"/>
    <w:link w:val="12"/>
    <w:semiHidden/>
    <w:qFormat/>
    <w:locked/>
    <w:uiPriority w:val="0"/>
    <w:rPr>
      <w:rFonts w:ascii="Times New Roman" w:hAnsi="Times New Roman" w:eastAsia="宋体"/>
      <w:sz w:val="24"/>
    </w:rPr>
  </w:style>
  <w:style w:type="character" w:customStyle="1" w:styleId="48">
    <w:name w:val="页眉 字符"/>
    <w:link w:val="19"/>
    <w:qFormat/>
    <w:locked/>
    <w:uiPriority w:val="0"/>
    <w:rPr>
      <w:sz w:val="18"/>
    </w:rPr>
  </w:style>
  <w:style w:type="character" w:customStyle="1" w:styleId="49">
    <w:name w:val="日期 字符1"/>
    <w:link w:val="15"/>
    <w:qFormat/>
    <w:locked/>
    <w:uiPriority w:val="0"/>
    <w:rPr>
      <w:rFonts w:ascii="Times New Roman" w:hAnsi="Times New Roman" w:eastAsia="宋体"/>
      <w:sz w:val="24"/>
    </w:rPr>
  </w:style>
  <w:style w:type="character" w:customStyle="1" w:styleId="50">
    <w:name w:val="批注框文本 字符"/>
    <w:link w:val="17"/>
    <w:semiHidden/>
    <w:qFormat/>
    <w:locked/>
    <w:uiPriority w:val="0"/>
    <w:rPr>
      <w:rFonts w:ascii="Times New Roman" w:hAnsi="Times New Roman" w:eastAsia="宋体"/>
      <w:sz w:val="18"/>
    </w:rPr>
  </w:style>
  <w:style w:type="character" w:customStyle="1" w:styleId="51">
    <w:name w:val="页脚 字符1"/>
    <w:link w:val="18"/>
    <w:qFormat/>
    <w:locked/>
    <w:uiPriority w:val="99"/>
    <w:rPr>
      <w:sz w:val="18"/>
    </w:rPr>
  </w:style>
  <w:style w:type="character" w:customStyle="1" w:styleId="52">
    <w:name w:val="普通(网站) 字符"/>
    <w:link w:val="26"/>
    <w:qFormat/>
    <w:locked/>
    <w:uiPriority w:val="0"/>
    <w:rPr>
      <w:rFonts w:ascii="宋体" w:hAnsi="宋体" w:eastAsia="宋体"/>
      <w:sz w:val="24"/>
    </w:rPr>
  </w:style>
  <w:style w:type="character" w:customStyle="1" w:styleId="53">
    <w:name w:val="批注主题 字符"/>
    <w:link w:val="27"/>
    <w:semiHidden/>
    <w:qFormat/>
    <w:locked/>
    <w:uiPriority w:val="0"/>
    <w:rPr>
      <w:rFonts w:ascii="Times New Roman" w:hAnsi="Times New Roman" w:eastAsia="宋体"/>
      <w:b/>
      <w:kern w:val="2"/>
      <w:sz w:val="24"/>
    </w:rPr>
  </w:style>
  <w:style w:type="character" w:customStyle="1" w:styleId="54">
    <w:name w:val="正文文本 字符1"/>
    <w:semiHidden/>
    <w:qFormat/>
    <w:uiPriority w:val="0"/>
    <w:rPr>
      <w:rFonts w:ascii="Times New Roman" w:hAnsi="Times New Roman" w:eastAsia="宋体"/>
      <w:sz w:val="24"/>
    </w:rPr>
  </w:style>
  <w:style w:type="character" w:customStyle="1" w:styleId="55">
    <w:name w:val="日期 字符"/>
    <w:semiHidden/>
    <w:qFormat/>
    <w:uiPriority w:val="0"/>
    <w:rPr>
      <w:rFonts w:ascii="Times New Roman" w:hAnsi="Times New Roman" w:eastAsia="宋体"/>
      <w:sz w:val="24"/>
    </w:rPr>
  </w:style>
  <w:style w:type="character" w:customStyle="1" w:styleId="56">
    <w:name w:val="页脚 字符"/>
    <w:qFormat/>
    <w:uiPriority w:val="99"/>
  </w:style>
  <w:style w:type="character" w:customStyle="1" w:styleId="57">
    <w:name w:val="表格 Char"/>
    <w:link w:val="58"/>
    <w:qFormat/>
    <w:locked/>
    <w:uiPriority w:val="0"/>
    <w:rPr>
      <w:rFonts w:ascii="宋体"/>
      <w:sz w:val="21"/>
    </w:rPr>
  </w:style>
  <w:style w:type="paragraph" w:customStyle="1" w:styleId="58">
    <w:name w:val="表格"/>
    <w:basedOn w:val="1"/>
    <w:next w:val="1"/>
    <w:link w:val="57"/>
    <w:qFormat/>
    <w:uiPriority w:val="0"/>
    <w:pPr>
      <w:adjustRightInd w:val="0"/>
      <w:snapToGrid w:val="0"/>
      <w:spacing w:beforeLines="10" w:afterLines="10" w:line="259" w:lineRule="auto"/>
      <w:jc w:val="center"/>
    </w:pPr>
    <w:rPr>
      <w:rFonts w:ascii="宋体"/>
      <w:kern w:val="0"/>
      <w:szCs w:val="20"/>
    </w:rPr>
  </w:style>
  <w:style w:type="character" w:customStyle="1" w:styleId="59">
    <w:name w:val="批注文字 字符1"/>
    <w:semiHidden/>
    <w:qFormat/>
    <w:uiPriority w:val="0"/>
    <w:rPr>
      <w:rFonts w:ascii="Times New Roman" w:hAnsi="Times New Roman" w:eastAsia="宋体"/>
      <w:sz w:val="24"/>
    </w:rPr>
  </w:style>
  <w:style w:type="paragraph" w:customStyle="1" w:styleId="6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1">
    <w:name w:val="xl26"/>
    <w:basedOn w:val="1"/>
    <w:qFormat/>
    <w:uiPriority w:val="0"/>
    <w:pPr>
      <w:widowControl/>
      <w:pBdr>
        <w:left w:val="single" w:color="auto" w:sz="12" w:space="0"/>
      </w:pBdr>
      <w:spacing w:before="100" w:beforeAutospacing="1" w:after="100" w:afterAutospacing="1"/>
      <w:jc w:val="left"/>
    </w:pPr>
    <w:rPr>
      <w:rFonts w:ascii="Arial Unicode MS" w:hAnsi="Arial Unicode MS" w:cs="宋体"/>
      <w:kern w:val="0"/>
      <w:sz w:val="24"/>
      <w:lang w:val="en-AU" w:eastAsia="en-US"/>
    </w:rPr>
  </w:style>
  <w:style w:type="paragraph" w:customStyle="1" w:styleId="62">
    <w:name w:val="表格内容"/>
    <w:basedOn w:val="1"/>
    <w:qFormat/>
    <w:uiPriority w:val="0"/>
    <w:pPr>
      <w:jc w:val="center"/>
    </w:pPr>
    <w:rPr>
      <w:szCs w:val="21"/>
    </w:rPr>
  </w:style>
  <w:style w:type="paragraph" w:customStyle="1" w:styleId="63">
    <w:name w:val="正文A"/>
    <w:basedOn w:val="1"/>
    <w:qFormat/>
    <w:uiPriority w:val="0"/>
    <w:pPr>
      <w:spacing w:line="500" w:lineRule="exact"/>
      <w:ind w:firstLine="200" w:firstLineChars="200"/>
    </w:pPr>
    <w:rPr>
      <w:sz w:val="24"/>
    </w:rPr>
  </w:style>
  <w:style w:type="paragraph" w:customStyle="1" w:styleId="64">
    <w:name w:val="正文(首行缩进)"/>
    <w:basedOn w:val="1"/>
    <w:next w:val="1"/>
    <w:link w:val="92"/>
    <w:qFormat/>
    <w:uiPriority w:val="0"/>
    <w:pPr>
      <w:adjustRightInd w:val="0"/>
      <w:snapToGrid w:val="0"/>
      <w:spacing w:line="360" w:lineRule="auto"/>
      <w:ind w:firstLine="482" w:firstLineChars="200"/>
    </w:pPr>
    <w:rPr>
      <w:rFonts w:hAnsi="宋体"/>
      <w:b/>
      <w:bCs/>
      <w:color w:val="000000"/>
      <w:sz w:val="24"/>
      <w:szCs w:val="28"/>
    </w:rPr>
  </w:style>
  <w:style w:type="paragraph" w:customStyle="1" w:styleId="65">
    <w:name w:val="表格标题"/>
    <w:basedOn w:val="66"/>
    <w:next w:val="43"/>
    <w:link w:val="93"/>
    <w:qFormat/>
    <w:uiPriority w:val="0"/>
    <w:pPr>
      <w:spacing w:before="50" w:beforeLines="50"/>
    </w:pPr>
    <w:rPr>
      <w:rFonts w:eastAsia="黑体"/>
    </w:rPr>
  </w:style>
  <w:style w:type="paragraph" w:customStyle="1" w:styleId="66">
    <w:name w:val="大标题"/>
    <w:basedOn w:val="1"/>
    <w:qFormat/>
    <w:uiPriority w:val="0"/>
    <w:pPr>
      <w:jc w:val="center"/>
    </w:pPr>
    <w:rPr>
      <w:rFonts w:ascii="Calibri" w:hAnsi="Calibri"/>
      <w:sz w:val="44"/>
    </w:rPr>
  </w:style>
  <w:style w:type="paragraph" w:customStyle="1" w:styleId="67">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8">
    <w:name w:val="fontstyle21"/>
    <w:qFormat/>
    <w:uiPriority w:val="0"/>
    <w:rPr>
      <w:rFonts w:hint="eastAsia" w:ascii="宋体" w:hAnsi="宋体" w:eastAsia="宋体"/>
      <w:color w:val="000000"/>
      <w:sz w:val="24"/>
      <w:szCs w:val="24"/>
    </w:rPr>
  </w:style>
  <w:style w:type="paragraph" w:customStyle="1" w:styleId="69">
    <w:name w:val="正文26-5.21"/>
    <w:basedOn w:val="1"/>
    <w:link w:val="70"/>
    <w:qFormat/>
    <w:uiPriority w:val="0"/>
    <w:pPr>
      <w:adjustRightInd w:val="0"/>
      <w:snapToGrid w:val="0"/>
      <w:spacing w:line="520" w:lineRule="exact"/>
      <w:ind w:firstLine="480" w:firstLineChars="200"/>
      <w:textAlignment w:val="baseline"/>
    </w:pPr>
    <w:rPr>
      <w:rFonts w:cs="宋体"/>
      <w:snapToGrid w:val="0"/>
      <w:sz w:val="24"/>
    </w:rPr>
  </w:style>
  <w:style w:type="character" w:customStyle="1" w:styleId="70">
    <w:name w:val="正文26-5.21 字符"/>
    <w:link w:val="69"/>
    <w:qFormat/>
    <w:uiPriority w:val="0"/>
    <w:rPr>
      <w:rFonts w:cs="宋体"/>
      <w:snapToGrid/>
      <w:kern w:val="2"/>
      <w:sz w:val="24"/>
      <w:szCs w:val="24"/>
    </w:rPr>
  </w:style>
  <w:style w:type="paragraph" w:customStyle="1" w:styleId="71">
    <w:name w:val="正文邓"/>
    <w:basedOn w:val="1"/>
    <w:qFormat/>
    <w:uiPriority w:val="0"/>
    <w:pPr>
      <w:adjustRightInd w:val="0"/>
      <w:snapToGrid w:val="0"/>
      <w:spacing w:line="360" w:lineRule="auto"/>
      <w:ind w:firstLine="480" w:firstLineChars="200"/>
      <w:jc w:val="left"/>
    </w:pPr>
    <w:rPr>
      <w:bCs/>
      <w:snapToGrid w:val="0"/>
      <w:kern w:val="0"/>
      <w:sz w:val="24"/>
    </w:rPr>
  </w:style>
  <w:style w:type="paragraph" w:customStyle="1" w:styleId="72">
    <w:name w:val="邓表头标题"/>
    <w:basedOn w:val="1"/>
    <w:qFormat/>
    <w:uiPriority w:val="0"/>
    <w:pPr>
      <w:snapToGrid w:val="0"/>
      <w:jc w:val="center"/>
    </w:pPr>
    <w:rPr>
      <w:rFonts w:ascii="黑体" w:hAnsi="黑体" w:eastAsia="黑体"/>
      <w:b/>
      <w:bCs/>
      <w:lang w:eastAsia="en-US"/>
    </w:rPr>
  </w:style>
  <w:style w:type="paragraph" w:customStyle="1" w:styleId="73">
    <w:name w:val="邓表格文字"/>
    <w:basedOn w:val="1"/>
    <w:qFormat/>
    <w:uiPriority w:val="0"/>
    <w:pPr>
      <w:widowControl/>
      <w:snapToGrid w:val="0"/>
      <w:spacing w:line="240" w:lineRule="exact"/>
      <w:jc w:val="center"/>
    </w:pPr>
    <w:rPr>
      <w:rFonts w:ascii="宋体" w:hAnsi="宋体"/>
    </w:rPr>
  </w:style>
  <w:style w:type="paragraph" w:customStyle="1" w:styleId="74">
    <w:name w:val="表头A"/>
    <w:basedOn w:val="75"/>
    <w:qFormat/>
    <w:uiPriority w:val="0"/>
    <w:pPr>
      <w:widowControl/>
      <w:spacing w:beforeLines="0" w:line="500" w:lineRule="exact"/>
      <w:ind w:firstLine="0" w:firstLineChars="0"/>
      <w:jc w:val="center"/>
    </w:pPr>
    <w:rPr>
      <w:rFonts w:eastAsia="宋体"/>
      <w:b/>
      <w:sz w:val="24"/>
    </w:rPr>
  </w:style>
  <w:style w:type="paragraph" w:customStyle="1" w:styleId="75">
    <w:name w:val="表头"/>
    <w:basedOn w:val="1"/>
    <w:qFormat/>
    <w:uiPriority w:val="0"/>
    <w:pPr>
      <w:spacing w:beforeLines="50" w:line="400" w:lineRule="exact"/>
      <w:ind w:firstLine="200" w:firstLineChars="200"/>
    </w:pPr>
    <w:rPr>
      <w:rFonts w:eastAsia="黑体"/>
    </w:rPr>
  </w:style>
  <w:style w:type="paragraph" w:customStyle="1" w:styleId="76">
    <w:name w:val="表格标题1"/>
    <w:basedOn w:val="77"/>
    <w:qFormat/>
    <w:uiPriority w:val="0"/>
    <w:pPr>
      <w:spacing w:line="240" w:lineRule="auto"/>
      <w:ind w:firstLine="0" w:firstLineChars="0"/>
      <w:jc w:val="center"/>
    </w:pPr>
    <w:rPr>
      <w:rFonts w:ascii="黑体" w:hAnsi="黑体" w:eastAsia="黑体"/>
      <w:kern w:val="0"/>
    </w:rPr>
  </w:style>
  <w:style w:type="paragraph" w:customStyle="1" w:styleId="77">
    <w:name w:val="正文26"/>
    <w:basedOn w:val="78"/>
    <w:qFormat/>
    <w:uiPriority w:val="0"/>
    <w:pPr>
      <w:snapToGrid w:val="0"/>
      <w:spacing w:line="520" w:lineRule="exact"/>
      <w:ind w:firstLine="480" w:firstLineChars="200"/>
      <w:jc w:val="both"/>
    </w:pPr>
    <w:rPr>
      <w:snapToGrid w:val="0"/>
      <w:kern w:val="2"/>
    </w:rPr>
  </w:style>
  <w:style w:type="paragraph" w:customStyle="1" w:styleId="78">
    <w:name w:val="样式2"/>
    <w:basedOn w:val="1"/>
    <w:qFormat/>
    <w:uiPriority w:val="0"/>
    <w:pPr>
      <w:adjustRightInd w:val="0"/>
      <w:spacing w:line="300" w:lineRule="atLeast"/>
      <w:jc w:val="center"/>
      <w:textAlignment w:val="baseline"/>
    </w:pPr>
    <w:rPr>
      <w:rFonts w:eastAsia="楷体_GB2312"/>
      <w:kern w:val="28"/>
      <w:szCs w:val="20"/>
    </w:rPr>
  </w:style>
  <w:style w:type="table" w:customStyle="1" w:styleId="79">
    <w:name w:val="Table Normal"/>
    <w:qFormat/>
    <w:uiPriority w:val="2"/>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80">
    <w:name w:val="表格内文字"/>
    <w:basedOn w:val="1"/>
    <w:qFormat/>
    <w:uiPriority w:val="0"/>
    <w:pPr>
      <w:tabs>
        <w:tab w:val="left" w:pos="0"/>
      </w:tabs>
      <w:adjustRightInd w:val="0"/>
      <w:snapToGrid w:val="0"/>
      <w:jc w:val="center"/>
    </w:pPr>
    <w:rPr>
      <w:szCs w:val="21"/>
    </w:rPr>
  </w:style>
  <w:style w:type="paragraph" w:customStyle="1" w:styleId="81">
    <w:name w:val="表内容"/>
    <w:basedOn w:val="1"/>
    <w:next w:val="1"/>
    <w:qFormat/>
    <w:uiPriority w:val="0"/>
    <w:pPr>
      <w:jc w:val="center"/>
    </w:pPr>
    <w:rPr>
      <w:szCs w:val="21"/>
    </w:rPr>
  </w:style>
  <w:style w:type="character" w:customStyle="1" w:styleId="82">
    <w:name w:val="font01"/>
    <w:basedOn w:val="32"/>
    <w:qFormat/>
    <w:uiPriority w:val="0"/>
    <w:rPr>
      <w:rFonts w:hint="eastAsia" w:ascii="宋体" w:hAnsi="宋体" w:eastAsia="宋体" w:cs="宋体"/>
      <w:color w:val="000000"/>
      <w:sz w:val="21"/>
      <w:szCs w:val="21"/>
      <w:u w:val="none"/>
    </w:rPr>
  </w:style>
  <w:style w:type="paragraph" w:customStyle="1" w:styleId="83">
    <w:name w:val="正文首行缩进 21"/>
    <w:basedOn w:val="1"/>
    <w:link w:val="84"/>
    <w:qFormat/>
    <w:uiPriority w:val="0"/>
    <w:pPr>
      <w:spacing w:line="540" w:lineRule="exact"/>
      <w:ind w:firstLine="420" w:firstLineChars="200"/>
    </w:pPr>
    <w:rPr>
      <w:rFonts w:eastAsia="方正仿宋简体"/>
      <w:sz w:val="28"/>
      <w:szCs w:val="20"/>
    </w:rPr>
  </w:style>
  <w:style w:type="character" w:customStyle="1" w:styleId="84">
    <w:name w:val="正文首行缩进 2 Char"/>
    <w:link w:val="83"/>
    <w:qFormat/>
    <w:uiPriority w:val="0"/>
    <w:rPr>
      <w:rFonts w:eastAsia="方正仿宋简体"/>
      <w:kern w:val="2"/>
      <w:sz w:val="28"/>
    </w:rPr>
  </w:style>
  <w:style w:type="paragraph" w:customStyle="1" w:styleId="85">
    <w:name w:val="表格标题5.21"/>
    <w:basedOn w:val="1"/>
    <w:link w:val="86"/>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character" w:customStyle="1" w:styleId="86">
    <w:name w:val="表格标题5.21 字符"/>
    <w:link w:val="85"/>
    <w:qFormat/>
    <w:uiPriority w:val="0"/>
    <w:rPr>
      <w:rFonts w:ascii="黑体" w:hAnsi="黑体" w:eastAsia="黑体" w:cs="宋体"/>
      <w:snapToGrid w:val="0"/>
      <w:sz w:val="24"/>
      <w:szCs w:val="24"/>
    </w:rPr>
  </w:style>
  <w:style w:type="character" w:customStyle="1" w:styleId="87">
    <w:name w:val="纯文本 字符"/>
    <w:link w:val="14"/>
    <w:qFormat/>
    <w:uiPriority w:val="99"/>
    <w:rPr>
      <w:rFonts w:ascii="宋体" w:hAnsi="Courier New"/>
      <w:kern w:val="2"/>
      <w:sz w:val="21"/>
      <w:szCs w:val="24"/>
    </w:rPr>
  </w:style>
  <w:style w:type="character" w:customStyle="1" w:styleId="88">
    <w:name w:val="未处理的提及1"/>
    <w:basedOn w:val="32"/>
    <w:semiHidden/>
    <w:unhideWhenUsed/>
    <w:qFormat/>
    <w:uiPriority w:val="99"/>
    <w:rPr>
      <w:color w:val="605E5C"/>
      <w:shd w:val="clear" w:color="auto" w:fill="E1DFDD"/>
    </w:rPr>
  </w:style>
  <w:style w:type="character" w:customStyle="1" w:styleId="89">
    <w:name w:val="正文首行缩进 Char"/>
    <w:link w:val="90"/>
    <w:qFormat/>
    <w:uiPriority w:val="0"/>
    <w:rPr>
      <w:kern w:val="2"/>
      <w:sz w:val="21"/>
    </w:rPr>
  </w:style>
  <w:style w:type="paragraph" w:customStyle="1" w:styleId="90">
    <w:name w:val="正文首行缩进1"/>
    <w:basedOn w:val="9"/>
    <w:link w:val="89"/>
    <w:qFormat/>
    <w:uiPriority w:val="0"/>
    <w:pPr>
      <w:widowControl w:val="0"/>
      <w:snapToGrid/>
      <w:spacing w:before="0" w:after="120" w:line="240" w:lineRule="auto"/>
      <w:ind w:right="0" w:firstLine="420" w:firstLineChars="100"/>
    </w:pPr>
    <w:rPr>
      <w:kern w:val="2"/>
      <w:sz w:val="21"/>
    </w:rPr>
  </w:style>
  <w:style w:type="paragraph" w:customStyle="1" w:styleId="91">
    <w:name w:val="1正文"/>
    <w:basedOn w:val="1"/>
    <w:qFormat/>
    <w:uiPriority w:val="0"/>
    <w:pPr>
      <w:widowControl/>
      <w:spacing w:line="360" w:lineRule="auto"/>
      <w:ind w:firstLine="200" w:firstLineChars="200"/>
    </w:pPr>
    <w:rPr>
      <w:kern w:val="0"/>
      <w:sz w:val="24"/>
      <w:szCs w:val="20"/>
      <w:lang w:val="en-GB"/>
    </w:rPr>
  </w:style>
  <w:style w:type="character" w:customStyle="1" w:styleId="92">
    <w:name w:val="正文(首行缩进) Char"/>
    <w:link w:val="64"/>
    <w:qFormat/>
    <w:locked/>
    <w:uiPriority w:val="0"/>
    <w:rPr>
      <w:rFonts w:hAnsi="宋体"/>
      <w:b/>
      <w:bCs/>
      <w:color w:val="000000"/>
      <w:kern w:val="2"/>
      <w:sz w:val="24"/>
      <w:szCs w:val="28"/>
    </w:rPr>
  </w:style>
  <w:style w:type="character" w:customStyle="1" w:styleId="93">
    <w:name w:val="表格标题 Char Char"/>
    <w:link w:val="65"/>
    <w:qFormat/>
    <w:uiPriority w:val="0"/>
    <w:rPr>
      <w:rFonts w:eastAsia="黑体"/>
      <w:sz w:val="21"/>
      <w:szCs w:val="24"/>
    </w:rPr>
  </w:style>
  <w:style w:type="character" w:customStyle="1" w:styleId="94">
    <w:name w:val="15"/>
    <w:basedOn w:val="32"/>
    <w:qFormat/>
    <w:uiPriority w:val="0"/>
    <w:rPr>
      <w:rFonts w:hint="eastAsia" w:ascii="PMingLiU" w:eastAsia="PMingLiU"/>
      <w:color w:val="000000"/>
      <w:spacing w:val="20"/>
      <w:sz w:val="24"/>
      <w:szCs w:val="24"/>
    </w:rPr>
  </w:style>
  <w:style w:type="paragraph" w:customStyle="1" w:styleId="95">
    <w:name w:val="Char2"/>
    <w:basedOn w:val="1"/>
    <w:qFormat/>
    <w:uiPriority w:val="0"/>
    <w:pPr>
      <w:spacing w:after="160" w:line="240" w:lineRule="exact"/>
    </w:pPr>
    <w:rPr>
      <w:rFonts w:ascii="Arial" w:hAnsi="Arial" w:eastAsia="Times New Roman" w:cs="Verdana"/>
      <w:b/>
      <w:lang w:eastAsia="en-US"/>
    </w:rPr>
  </w:style>
  <w:style w:type="paragraph" w:customStyle="1" w:styleId="96">
    <w:name w:val="新表头"/>
    <w:basedOn w:val="1"/>
    <w:qFormat/>
    <w:uiPriority w:val="0"/>
    <w:pPr>
      <w:jc w:val="center"/>
    </w:pPr>
    <w:rPr>
      <w:b/>
    </w:rPr>
  </w:style>
  <w:style w:type="character" w:customStyle="1" w:styleId="97">
    <w:name w:val="font11"/>
    <w:basedOn w:val="32"/>
    <w:qFormat/>
    <w:uiPriority w:val="0"/>
    <w:rPr>
      <w:rFonts w:hint="eastAsia" w:ascii="宋体" w:hAnsi="宋体" w:eastAsia="宋体" w:cs="宋体"/>
      <w:color w:val="000000"/>
      <w:sz w:val="21"/>
      <w:szCs w:val="21"/>
      <w:u w:val="none"/>
    </w:rPr>
  </w:style>
  <w:style w:type="character" w:customStyle="1" w:styleId="98">
    <w:name w:val="font21"/>
    <w:basedOn w:val="32"/>
    <w:qFormat/>
    <w:uiPriority w:val="0"/>
    <w:rPr>
      <w:rFonts w:hint="default" w:ascii="Times New Roman" w:hAnsi="Times New Roman" w:cs="Times New Roman"/>
      <w:color w:val="000000"/>
      <w:sz w:val="21"/>
      <w:szCs w:val="21"/>
      <w:u w:val="none"/>
    </w:rPr>
  </w:style>
  <w:style w:type="character" w:customStyle="1" w:styleId="99">
    <w:name w:val="表格标题-模板 字符"/>
    <w:link w:val="100"/>
    <w:qFormat/>
    <w:locked/>
    <w:uiPriority w:val="0"/>
    <w:rPr>
      <w:rFonts w:eastAsia="黑体"/>
      <w:sz w:val="21"/>
      <w:szCs w:val="24"/>
    </w:rPr>
  </w:style>
  <w:style w:type="paragraph" w:customStyle="1" w:styleId="100">
    <w:name w:val="表格标题-模板"/>
    <w:basedOn w:val="1"/>
    <w:link w:val="99"/>
    <w:qFormat/>
    <w:uiPriority w:val="0"/>
    <w:pPr>
      <w:adjustRightInd w:val="0"/>
      <w:snapToGrid w:val="0"/>
      <w:jc w:val="center"/>
      <w:textAlignment w:val="baseline"/>
    </w:pPr>
    <w:rPr>
      <w:rFonts w:eastAsia="黑体"/>
      <w:kern w:val="0"/>
    </w:rPr>
  </w:style>
  <w:style w:type="character" w:customStyle="1" w:styleId="101">
    <w:name w:val="表格内容-模板 字符"/>
    <w:link w:val="102"/>
    <w:qFormat/>
    <w:locked/>
    <w:uiPriority w:val="0"/>
    <w:rPr>
      <w:sz w:val="21"/>
    </w:rPr>
  </w:style>
  <w:style w:type="paragraph" w:customStyle="1" w:styleId="102">
    <w:name w:val="表格内容-模板"/>
    <w:basedOn w:val="1"/>
    <w:link w:val="101"/>
    <w:qFormat/>
    <w:uiPriority w:val="0"/>
    <w:pPr>
      <w:widowControl/>
      <w:jc w:val="center"/>
    </w:pPr>
    <w:rPr>
      <w:kern w:val="0"/>
      <w:szCs w:val="20"/>
    </w:rPr>
  </w:style>
  <w:style w:type="paragraph" w:customStyle="1" w:styleId="103">
    <w:name w:val="表格内容5.21"/>
    <w:basedOn w:val="1"/>
    <w:qFormat/>
    <w:uiPriority w:val="0"/>
    <w:pPr>
      <w:widowControl/>
      <w:ind w:left="-30" w:leftChars="-30" w:right="-30" w:rightChars="-30"/>
      <w:jc w:val="center"/>
    </w:pPr>
    <w:rPr>
      <w:kern w:val="0"/>
      <w:szCs w:val="21"/>
    </w:rPr>
  </w:style>
  <w:style w:type="paragraph" w:customStyle="1" w:styleId="104">
    <w:name w:val="正文缩近"/>
    <w:qFormat/>
    <w:uiPriority w:val="0"/>
    <w:pPr>
      <w:widowControl w:val="0"/>
      <w:spacing w:line="360" w:lineRule="auto"/>
      <w:ind w:firstLine="200" w:firstLineChars="200"/>
      <w:jc w:val="both"/>
    </w:pPr>
    <w:rPr>
      <w:rFonts w:ascii="Times New Roman" w:hAnsi="Times New Roman" w:eastAsia="宋体" w:cs="Times New Roman"/>
      <w:kern w:val="2"/>
      <w:sz w:val="28"/>
      <w:szCs w:val="28"/>
      <w:lang w:val="en-US" w:eastAsia="zh-CN" w:bidi="ar-SA"/>
    </w:rPr>
  </w:style>
  <w:style w:type="paragraph" w:customStyle="1" w:styleId="105">
    <w:name w:val="样式 正文缩进正文缩进2正文缩进 Char Char正文缩进 Char Char Char Char正文缩进 Char ..."/>
    <w:basedOn w:val="8"/>
    <w:qFormat/>
    <w:uiPriority w:val="0"/>
    <w:pPr>
      <w:spacing w:line="360" w:lineRule="auto"/>
      <w:ind w:firstLine="200" w:firstLineChars="200"/>
    </w:pPr>
    <w:rPr>
      <w:rFonts w:cs="宋体"/>
    </w:rPr>
  </w:style>
  <w:style w:type="paragraph" w:customStyle="1" w:styleId="106">
    <w:name w:val="表序"/>
    <w:basedOn w:val="1"/>
    <w:next w:val="107"/>
    <w:qFormat/>
    <w:uiPriority w:val="0"/>
    <w:pPr>
      <w:adjustRightInd w:val="0"/>
      <w:spacing w:line="360" w:lineRule="auto"/>
      <w:ind w:firstLine="898" w:firstLineChars="426"/>
    </w:pPr>
    <w:rPr>
      <w:b/>
      <w:bCs/>
      <w:color w:val="000000"/>
      <w:szCs w:val="21"/>
    </w:rPr>
  </w:style>
  <w:style w:type="paragraph" w:customStyle="1" w:styleId="107">
    <w:name w:val="表格文字"/>
    <w:basedOn w:val="9"/>
    <w:qFormat/>
    <w:uiPriority w:val="0"/>
    <w:pPr>
      <w:snapToGrid/>
      <w:spacing w:line="320" w:lineRule="exact"/>
      <w:jc w:val="center"/>
    </w:pPr>
    <w:rPr>
      <w:sz w:val="21"/>
      <w:szCs w:val="24"/>
    </w:rPr>
  </w:style>
  <w:style w:type="table" w:customStyle="1" w:styleId="108">
    <w:name w:val="表格样式5.21"/>
    <w:basedOn w:val="30"/>
    <w:qFormat/>
    <w:uiPriority w:val="0"/>
    <w:pPr>
      <w:adjustRightInd w:val="0"/>
      <w:snapToGrid w:val="0"/>
      <w:jc w:val="center"/>
    </w:pPr>
    <w:rPr>
      <w:sz w:val="21"/>
    </w:r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109">
    <w:name w:val="文本"/>
    <w:basedOn w:val="1"/>
    <w:qFormat/>
    <w:uiPriority w:val="0"/>
    <w:pPr>
      <w:spacing w:line="520" w:lineRule="exact"/>
      <w:ind w:firstLine="720" w:firstLineChars="200"/>
    </w:pPr>
  </w:style>
  <w:style w:type="paragraph" w:customStyle="1" w:styleId="1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正文文本缩进 21"/>
    <w:basedOn w:val="1"/>
    <w:qFormat/>
    <w:uiPriority w:val="0"/>
    <w:pPr>
      <w:spacing w:line="480" w:lineRule="auto"/>
      <w:ind w:left="420" w:leftChars="200"/>
    </w:pPr>
  </w:style>
  <w:style w:type="paragraph" w:customStyle="1" w:styleId="112">
    <w:name w:val="MEL正文*"/>
    <w:basedOn w:val="1"/>
    <w:qFormat/>
    <w:uiPriority w:val="0"/>
    <w:pPr>
      <w:spacing w:line="500" w:lineRule="exact"/>
      <w:ind w:firstLine="200" w:firstLineChars="200"/>
    </w:pPr>
    <w:rPr>
      <w:rFonts w:ascii="宋体" w:hAnsi="宋体"/>
      <w:kern w:val="0"/>
      <w:sz w:val="24"/>
    </w:rPr>
  </w:style>
  <w:style w:type="paragraph" w:customStyle="1" w:styleId="113">
    <w:name w:val="表内文字"/>
    <w:basedOn w:val="1"/>
    <w:qFormat/>
    <w:uiPriority w:val="0"/>
    <w:pPr>
      <w:widowControl/>
      <w:overflowPunct w:val="0"/>
      <w:autoSpaceDE w:val="0"/>
      <w:autoSpaceDN w:val="0"/>
      <w:adjustRightInd w:val="0"/>
      <w:spacing w:line="300" w:lineRule="exact"/>
      <w:jc w:val="center"/>
    </w:pPr>
    <w:rPr>
      <w:rFonts w:ascii="宋体" w:hAnsi="楷体_GB2312" w:cs="楷体_GB2312"/>
      <w:kern w:val="0"/>
      <w:szCs w:val="22"/>
    </w:rPr>
  </w:style>
  <w:style w:type="character" w:customStyle="1" w:styleId="114">
    <w:name w:val="表中文字 Char"/>
    <w:link w:val="38"/>
    <w:qFormat/>
    <w:uiPriority w:val="0"/>
    <w:rPr>
      <w:rFonts w:ascii="Times New Roman" w:hAnsi="Times New Roman" w:eastAsia="宋体" w:cs="Times New Roman"/>
      <w:sz w:val="21"/>
      <w:szCs w:val="21"/>
    </w:rPr>
  </w:style>
  <w:style w:type="paragraph" w:customStyle="1" w:styleId="115">
    <w:name w:val="表格题目1"/>
    <w:basedOn w:val="116"/>
    <w:qFormat/>
    <w:uiPriority w:val="0"/>
    <w:pPr>
      <w:ind w:firstLine="525" w:firstLineChars="250"/>
      <w:jc w:val="left"/>
    </w:pPr>
    <w:rPr>
      <w:color w:val="000000"/>
    </w:rPr>
  </w:style>
  <w:style w:type="paragraph" w:customStyle="1" w:styleId="116">
    <w:name w:val="表格题目2"/>
    <w:basedOn w:val="117"/>
    <w:qFormat/>
    <w:uiPriority w:val="0"/>
    <w:pPr>
      <w:jc w:val="both"/>
    </w:pPr>
  </w:style>
  <w:style w:type="paragraph" w:customStyle="1" w:styleId="117">
    <w:name w:val="表格题目新"/>
    <w:basedOn w:val="1"/>
    <w:qFormat/>
    <w:uiPriority w:val="0"/>
    <w:pPr>
      <w:autoSpaceDE w:val="0"/>
      <w:autoSpaceDN w:val="0"/>
      <w:spacing w:line="360" w:lineRule="exact"/>
      <w:ind w:firstLine="200" w:firstLineChars="200"/>
      <w:jc w:val="left"/>
    </w:pPr>
    <w:rPr>
      <w:rFonts w:ascii="黑体" w:hAnsi="黑体" w:eastAsia="黑体"/>
    </w:rPr>
  </w:style>
  <w:style w:type="paragraph" w:customStyle="1" w:styleId="118">
    <w:name w:val="表格内容1"/>
    <w:basedOn w:val="1"/>
    <w:qFormat/>
    <w:uiPriority w:val="0"/>
    <w:pPr>
      <w:widowControl/>
      <w:jc w:val="center"/>
    </w:pPr>
    <w:rPr>
      <w:color w:val="000000"/>
      <w:kern w:val="0"/>
      <w:szCs w:val="21"/>
    </w:rPr>
  </w:style>
  <w:style w:type="paragraph" w:customStyle="1" w:styleId="119">
    <w:name w:val="报告表正文"/>
    <w:basedOn w:val="1"/>
    <w:qFormat/>
    <w:uiPriority w:val="0"/>
    <w:pPr>
      <w:adjustRightInd w:val="0"/>
      <w:spacing w:line="360" w:lineRule="auto"/>
      <w:ind w:firstLine="640" w:firstLineChars="200"/>
      <w:textAlignment w:val="baseline"/>
    </w:pPr>
    <w:rPr>
      <w:color w:val="000000"/>
      <w:sz w:val="24"/>
    </w:rPr>
  </w:style>
  <w:style w:type="paragraph" w:customStyle="1" w:styleId="120">
    <w:name w:val="样式 首行缩进:  2 字符1"/>
    <w:basedOn w:val="1"/>
    <w:qFormat/>
    <w:uiPriority w:val="0"/>
    <w:pPr>
      <w:adjustRightInd w:val="0"/>
      <w:snapToGrid w:val="0"/>
      <w:spacing w:line="360" w:lineRule="auto"/>
      <w:ind w:firstLine="480" w:firstLineChars="200"/>
    </w:pPr>
    <w:rPr>
      <w:rFonts w:cs="宋体"/>
      <w:sz w:val="24"/>
      <w:szCs w:val="20"/>
    </w:rPr>
  </w:style>
  <w:style w:type="paragraph" w:customStyle="1" w:styleId="121">
    <w:name w:val="Char31"/>
    <w:basedOn w:val="1"/>
    <w:qFormat/>
    <w:uiPriority w:val="0"/>
    <w:pPr>
      <w:spacing w:line="360" w:lineRule="auto"/>
      <w:ind w:firstLine="200" w:firstLineChars="200"/>
    </w:pPr>
    <w:rPr>
      <w:szCs w:val="20"/>
    </w:rPr>
  </w:style>
  <w:style w:type="paragraph" w:customStyle="1" w:styleId="122">
    <w:name w:val="表头，alt+D"/>
    <w:basedOn w:val="1"/>
    <w:qFormat/>
    <w:uiPriority w:val="0"/>
    <w:pPr>
      <w:spacing w:before="60" w:after="60" w:line="240" w:lineRule="atLeast"/>
      <w:ind w:left="-113" w:right="-113"/>
      <w:jc w:val="center"/>
    </w:pPr>
    <w:rPr>
      <w:color w:val="808000"/>
      <w:sz w:val="24"/>
      <w:szCs w:val="20"/>
    </w:rPr>
  </w:style>
  <w:style w:type="paragraph" w:customStyle="1" w:styleId="123">
    <w:name w:val="新标题样式"/>
    <w:basedOn w:val="1"/>
    <w:qFormat/>
    <w:uiPriority w:val="0"/>
    <w:pPr>
      <w:tabs>
        <w:tab w:val="left" w:pos="567"/>
      </w:tabs>
      <w:spacing w:line="360" w:lineRule="auto"/>
    </w:pPr>
    <w:rPr>
      <w:rFonts w:eastAsia="黑体"/>
      <w:b/>
      <w:spacing w:val="20"/>
      <w:sz w:val="24"/>
      <w:szCs w:val="20"/>
    </w:rPr>
  </w:style>
  <w:style w:type="character" w:customStyle="1" w:styleId="124">
    <w:name w:val="fontstyle01"/>
    <w:qFormat/>
    <w:uiPriority w:val="0"/>
    <w:rPr>
      <w:rFonts w:hint="eastAsia" w:ascii="宋体" w:hAnsi="宋体" w:eastAsia="宋体"/>
      <w:color w:val="000000"/>
      <w:sz w:val="22"/>
      <w:szCs w:val="22"/>
    </w:rPr>
  </w:style>
  <w:style w:type="character" w:customStyle="1" w:styleId="125">
    <w:name w:val="font31"/>
    <w:basedOn w:val="32"/>
    <w:qFormat/>
    <w:uiPriority w:val="0"/>
    <w:rPr>
      <w:rFonts w:hint="default" w:ascii="Times New Roman" w:hAnsi="Times New Roman" w:cs="Times New Roman"/>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6" Type="http://schemas.microsoft.com/office/2011/relationships/people" Target="people.xml"/><Relationship Id="rId45" Type="http://schemas.openxmlformats.org/officeDocument/2006/relationships/fontTable" Target="fontTable.xml"/><Relationship Id="rId44" Type="http://schemas.microsoft.com/office/2006/relationships/keyMapCustomizations" Target="customizations.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footer" Target="footer2.xml"/><Relationship Id="rId39" Type="http://schemas.openxmlformats.org/officeDocument/2006/relationships/image" Target="media/image18.png"/><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media/image16.wmf"/><Relationship Id="rId35" Type="http://schemas.openxmlformats.org/officeDocument/2006/relationships/oleObject" Target="embeddings/oleObject14.bin"/><Relationship Id="rId34" Type="http://schemas.openxmlformats.org/officeDocument/2006/relationships/image" Target="media/image15.wmf"/><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image" Target="media/image13.wmf"/><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100</Pages>
  <Words>34166</Words>
  <Characters>39251</Characters>
  <Lines>283</Lines>
  <Paragraphs>79</Paragraphs>
  <TotalTime>3</TotalTime>
  <ScaleCrop>false</ScaleCrop>
  <LinksUpToDate>false</LinksUpToDate>
  <CharactersWithSpaces>39599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2023-07-22T14:11:00Z</dcterms:created>
  <dc:creator>lhj</dc:creator>
  <cp:lastModifiedBy>刘彦辰</cp:lastModifiedBy>
  <cp:lastPrinted>2020-12-29T02:43:00Z</cp:lastPrinted>
  <dcterms:modified xsi:type="dcterms:W3CDTF">2023-10-07T04:34:38Z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77F765A5F188474F91455FBEF8A4BC6A_13</vt:lpwstr>
  </property>
</Properties>
</file>