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31</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关于苏升机械装备制造项目环境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新疆苏升重工科技有限公司：</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你单位《关于审批苏升机械装备制造项目环境影响报告表的请示》收悉。经研究，批复如下：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w:t>
      </w:r>
      <w:r>
        <w:rPr>
          <w:rFonts w:hint="eastAsia" w:ascii="仿宋_GB2312" w:hAnsi="仿宋_GB2312" w:eastAsia="仿宋_GB2312" w:cs="仿宋_GB2312"/>
          <w:bCs/>
          <w:szCs w:val="32"/>
          <w:lang w:val="en-US" w:eastAsia="zh-CN"/>
        </w:rPr>
        <w:t>位于</w:t>
      </w:r>
      <w:r>
        <w:rPr>
          <w:rFonts w:hint="default" w:ascii="仿宋_GB2312" w:hAnsi="仿宋_GB2312" w:eastAsia="仿宋_GB2312" w:cs="仿宋_GB2312"/>
          <w:bCs/>
          <w:szCs w:val="32"/>
          <w:lang w:val="zh-CN" w:eastAsia="zh-CN"/>
        </w:rPr>
        <w:t>胡杨河经济技术开</w:t>
      </w:r>
      <w:r>
        <w:rPr>
          <w:rFonts w:hint="default" w:ascii="仿宋_GB2312" w:hAnsi="仿宋_GB2312" w:eastAsia="仿宋_GB2312" w:cs="仿宋_GB2312"/>
          <w:bCs/>
          <w:color w:val="000000" w:themeColor="text1"/>
          <w:szCs w:val="32"/>
          <w:lang w:val="zh-CN" w:eastAsia="zh-CN"/>
          <w14:textFill>
            <w14:solidFill>
              <w14:schemeClr w14:val="tx1"/>
            </w14:solidFill>
          </w14:textFill>
        </w:rPr>
        <w:t>发区</w:t>
      </w:r>
      <w:r>
        <w:rPr>
          <w:rFonts w:hint="eastAsia" w:ascii="仿宋_GB2312" w:hAnsi="仿宋_GB2312" w:eastAsia="仿宋_GB2312" w:cs="仿宋_GB2312"/>
          <w:bCs/>
          <w:color w:val="000000" w:themeColor="text1"/>
          <w:szCs w:val="32"/>
          <w:lang w:val="en-US" w:eastAsia="zh-CN"/>
          <w14:textFill>
            <w14:solidFill>
              <w14:schemeClr w14:val="tx1"/>
            </w14:solidFill>
          </w14:textFill>
        </w:rPr>
        <w:t>南园区新材料产业区</w:t>
      </w:r>
      <w:r>
        <w:rPr>
          <w:rFonts w:hint="eastAsia" w:eastAsia="仿宋_GB2312" w:cs="Times New Roman"/>
          <w:color w:val="auto"/>
          <w:szCs w:val="32"/>
          <w:highlight w:val="none"/>
          <w:lang w:val="en-US" w:eastAsia="zh-CN"/>
        </w:rPr>
        <w:t>，</w:t>
      </w:r>
      <w:r>
        <w:rPr>
          <w:rFonts w:hint="eastAsia" w:ascii="仿宋_GB2312" w:hAnsi="仿宋_GB2312" w:eastAsia="仿宋_GB2312" w:cs="仿宋_GB2312"/>
          <w:bCs/>
          <w:szCs w:val="32"/>
          <w:lang w:val="en-US" w:eastAsia="zh-CN"/>
        </w:rPr>
        <w:t>项目区</w:t>
      </w:r>
      <w:r>
        <w:rPr>
          <w:rFonts w:hint="eastAsia" w:eastAsia="仿宋_GB2312" w:cs="Times New Roman"/>
          <w:color w:val="auto"/>
          <w:szCs w:val="32"/>
          <w:highlight w:val="none"/>
          <w:lang w:val="en-US" w:eastAsia="zh-CN"/>
        </w:rPr>
        <w:t>中心地理坐标为东经84°52′26.318″，北纬44°46′31.386″</w:t>
      </w:r>
      <w:r>
        <w:rPr>
          <w:rFonts w:hint="default" w:ascii="Times New Roman" w:hAnsi="Times New Roman" w:eastAsia="仿宋_GB2312" w:cs="Times New Roman"/>
          <w:color w:val="auto"/>
          <w:szCs w:val="32"/>
          <w:highlight w:val="none"/>
          <w:lang w:eastAsia="zh-CN"/>
        </w:rPr>
        <w:t>。项目分两期建设，一期建设7200平方米的生产车间1#，包括1条重型塔吊（起重机）生产线和2条高频合金成型成套生产线；二期建设7200平方米生产车间2#，包括2条重型塔吊（起重机）生产线和4条高频合金成型成套生产线，配套建设办公楼、门卫室等辅助工程</w:t>
      </w:r>
      <w:r>
        <w:rPr>
          <w:rFonts w:hint="default" w:ascii="Times New Roman" w:hAnsi="Times New Roman" w:eastAsia="仿宋_GB2312" w:cs="Times New Roman"/>
          <w:color w:val="auto"/>
          <w:szCs w:val="32"/>
          <w:highlight w:val="none"/>
          <w:lang w:val="en-US" w:eastAsia="zh-CN"/>
        </w:rPr>
        <w:t>。项目总投资15000万元，其中环保投资587万元，占总投资的3.1%。</w:t>
      </w:r>
    </w:p>
    <w:p>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两期工程焊接和切割、打磨、刨边工序产生的颗粒物采用“集气罩+袋式除尘器”工艺处理后，由15米高的排气筒排放；喷漆晾干工序产生的非甲烷总烃、苯和甲醇采用“负压收集+蓄热式催化燃烧”工艺处理后，由15米高的排气筒排放。焊接工序和切割、打磨、刨边工序产生的颗粒物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《大气污染物综合排放标准》（GB16297-1996）中表2大气污染物排放限值要求；喷漆晾干工序产生的非甲烷总烃、苯、甲醇排放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《大气污染物综合排放标准》（GB16297-1996）中表2大气污染物排放限值要求</w:t>
      </w:r>
      <w:r>
        <w:rPr>
          <w:rFonts w:hint="eastAsia" w:eastAsia="仿宋_GB2312" w:cs="Times New Roman"/>
          <w:color w:val="000000" w:themeColor="text1"/>
          <w:kern w:val="0"/>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r>
        <w:rPr>
          <w:rFonts w:hint="default" w:ascii="Times New Roman" w:hAnsi="Times New Roman" w:eastAsia="仿宋_GB2312" w:cs="Times New Roman"/>
          <w:szCs w:val="32"/>
          <w:highlight w:val="none"/>
        </w:rPr>
        <w:t>生产车间为全封闭，车间内洒水降尘。厂界颗粒物无组织排放</w:t>
      </w:r>
      <w:r>
        <w:rPr>
          <w:rFonts w:hint="eastAsia" w:eastAsia="仿宋_GB2312" w:cs="Times New Roman"/>
          <w:szCs w:val="32"/>
          <w:highlight w:val="none"/>
          <w:lang w:val="en-US" w:eastAsia="zh-CN"/>
        </w:rPr>
        <w:t>执行</w:t>
      </w:r>
      <w:r>
        <w:rPr>
          <w:rFonts w:hint="default" w:ascii="Times New Roman" w:hAnsi="Times New Roman" w:eastAsia="仿宋_GB2312" w:cs="Times New Roman"/>
          <w:szCs w:val="32"/>
          <w:highlight w:val="none"/>
        </w:rPr>
        <w:t>《大气污染物综合排放标准》（GB16297-1996）中表2中无组织排放浓度限值要求；非甲烷总烃、苯、甲醇厂界无组织排放</w:t>
      </w:r>
      <w:r>
        <w:rPr>
          <w:rFonts w:hint="eastAsia" w:eastAsia="仿宋_GB2312" w:cs="Times New Roman"/>
          <w:szCs w:val="32"/>
          <w:highlight w:val="none"/>
          <w:lang w:val="en-US" w:eastAsia="zh-CN"/>
        </w:rPr>
        <w:t>执行</w:t>
      </w:r>
      <w:r>
        <w:rPr>
          <w:rFonts w:hint="default" w:ascii="Times New Roman" w:hAnsi="Times New Roman" w:eastAsia="仿宋_GB2312" w:cs="Times New Roman"/>
          <w:szCs w:val="32"/>
          <w:highlight w:val="none"/>
        </w:rPr>
        <w:t>《大气污染物综合排放标准》（GB16297-1996）中表2中无组织排放浓度限值要求；非甲烷总烃厂内排放浓度</w:t>
      </w:r>
      <w:r>
        <w:rPr>
          <w:rFonts w:hint="eastAsia" w:eastAsia="仿宋_GB2312" w:cs="Times New Roman"/>
          <w:szCs w:val="32"/>
          <w:highlight w:val="none"/>
          <w:lang w:val="en-US" w:eastAsia="zh-CN"/>
        </w:rPr>
        <w:t>执行</w:t>
      </w:r>
      <w:r>
        <w:rPr>
          <w:rFonts w:hint="default" w:ascii="Times New Roman" w:hAnsi="Times New Roman" w:eastAsia="仿宋_GB2312" w:cs="Times New Roman"/>
          <w:szCs w:val="32"/>
          <w:highlight w:val="none"/>
        </w:rPr>
        <w:t>《挥发性有机物无组织排放控制标准》（GB 37822-2019）表A.1限值要求。</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（二）严格落实水污染防治措施。生产废水循环利用不外排</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餐饮废水经食堂油水分离器分离后与生活污水</w:t>
      </w:r>
      <w:r>
        <w:rPr>
          <w:rFonts w:hint="eastAsia" w:eastAsia="仿宋_GB2312" w:cs="Times New Roman"/>
          <w:bCs/>
          <w:color w:val="auto"/>
          <w:szCs w:val="32"/>
          <w:highlight w:val="none"/>
          <w:lang w:val="en-US" w:eastAsia="zh-CN"/>
        </w:rPr>
        <w:t>通过</w:t>
      </w:r>
      <w:r>
        <w:rPr>
          <w:rFonts w:hint="default" w:ascii="Times New Roman" w:hAnsi="Times New Roman" w:eastAsia="仿宋_GB2312" w:cs="Times New Roman"/>
          <w:bCs/>
          <w:color w:val="auto"/>
          <w:szCs w:val="32"/>
          <w:highlight w:val="none"/>
        </w:rPr>
        <w:t>经开区污水管网，最终排入胡杨河经济技术开发区南园区污水处理厂处理</w:t>
      </w:r>
      <w:r>
        <w:rPr>
          <w:rFonts w:hint="default" w:ascii="Times New Roman" w:hAnsi="Times New Roman" w:eastAsia="仿宋_GB2312" w:cs="Times New Roman"/>
          <w:szCs w:val="32"/>
          <w:lang w:val="en-US" w:eastAsia="zh-CN"/>
        </w:rPr>
        <w:t>。</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）严格落实噪声污染防治措施。选用低噪声机械和设备，加强机械设备的维修、管理，厂界噪声排放执行《工业企业厂界环境噪声排放标准》（GB12348-2008）中3类标准要求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）固体废物实施分类管理并妥善处理处置。袋式除尘器收集的颗粒物和金属边角料分类暂存于一般固体废物暂存间内，定期拉运至胡杨河经济技术开发区南区一般工业固体废物填埋场填埋处置</w:t>
      </w:r>
      <w:r>
        <w:rPr>
          <w:rFonts w:hint="eastAsia" w:eastAsia="仿宋_GB2312" w:cs="Times New Roman"/>
          <w:bCs/>
          <w:color w:val="auto"/>
          <w:szCs w:val="32"/>
          <w:highlight w:val="none"/>
          <w:lang w:eastAsia="zh-CN"/>
        </w:rPr>
        <w:t>；油水分离器分离的油脂和隔渣，油脂用专用容器包装后交由有相应处置资质单位回收处置，隔渣清理后和生活垃圾一同拉运至129团生活垃圾填埋场填埋</w:t>
      </w:r>
      <w:r>
        <w:rPr>
          <w:rFonts w:hint="eastAsia" w:eastAsia="仿宋_GB2312" w:cs="Times New Roman"/>
          <w:bCs/>
          <w:color w:val="auto"/>
          <w:kern w:val="0"/>
          <w:sz w:val="32"/>
          <w:szCs w:val="32"/>
          <w:highlight w:val="none"/>
          <w:lang w:val="en-US" w:eastAsia="zh-CN" w:bidi="ar-SA"/>
        </w:rPr>
        <w:t>。</w:t>
      </w:r>
      <w:r>
        <w:rPr>
          <w:rFonts w:hint="default" w:ascii="Times New Roman" w:hAnsi="Times New Roman" w:eastAsia="仿宋_GB2312" w:cs="Times New Roman"/>
          <w:bCs/>
          <w:color w:val="auto"/>
          <w:szCs w:val="32"/>
          <w:highlight w:val="none"/>
        </w:rPr>
        <w:t>废润滑油、含油废物、废润滑油桶、废活性炭、废催化剂、废漆渣和废漆桶</w:t>
      </w:r>
      <w:r>
        <w:rPr>
          <w:rFonts w:hint="eastAsia" w:ascii="仿宋_GB2312" w:hAnsi="仿宋_GB2312" w:eastAsia="仿宋_GB2312" w:cs="仿宋_GB2312"/>
          <w:bCs/>
          <w:sz w:val="32"/>
          <w:szCs w:val="32"/>
          <w:lang w:val="en-US" w:eastAsia="zh-CN"/>
        </w:rPr>
        <w:t>属于危险废物，</w:t>
      </w:r>
      <w:r>
        <w:rPr>
          <w:rFonts w:hint="default" w:ascii="Times New Roman" w:hAnsi="Times New Roman" w:eastAsia="仿宋_GB2312" w:cs="Times New Roman"/>
          <w:bCs/>
          <w:color w:val="auto"/>
          <w:kern w:val="0"/>
          <w:sz w:val="32"/>
          <w:szCs w:val="32"/>
          <w:highlight w:val="none"/>
          <w:lang w:val="en-US" w:eastAsia="zh-CN" w:bidi="ar-SA"/>
        </w:rPr>
        <w:t>暂存于危险废物暂存间内，定期委托有危险废物处置资质的单位进行处置。危险废物收集、运输须按照《危险废物收集 贮存 运输技术规范》（HJ2025-2012）和《危险废物转移管理办法》要求进行。生活垃圾集中收集后委托环卫部门统一清运至129团生活垃圾填埋场填埋处置。</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eastAsia" w:ascii="Times New Roman" w:hAnsi="Times New Roman" w:eastAsia="仿宋_GB2312" w:cs="Times New Roman"/>
          <w:bCs/>
          <w:color w:val="auto"/>
          <w:szCs w:val="32"/>
          <w:highlight w:val="none"/>
          <w:lang w:val="en-US" w:eastAsia="zh-CN"/>
        </w:rPr>
        <w:t>严格落实</w:t>
      </w:r>
      <w:r>
        <w:rPr>
          <w:rFonts w:hint="default" w:ascii="Times New Roman" w:hAnsi="Times New Roman" w:eastAsia="仿宋_GB2312" w:cs="Times New Roman"/>
          <w:bCs/>
          <w:color w:val="auto"/>
          <w:szCs w:val="32"/>
          <w:highlight w:val="none"/>
          <w:lang w:eastAsia="zh-CN"/>
        </w:rPr>
        <w:t>地下水及土壤污染防治措施</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eastAsia="zh-CN"/>
        </w:rPr>
        <w:t>根据《环境影响评价技术导则 地下水环境》（HJ610-2016）的要求，将厂区划分为重点防渗区、一般防渗区、简单防渗区。生产车间原辅材料存储区、危险废物暂存间、两座堆棚原辅材料存储区区域为重点防渗区，防渗要求为“等效黏土层防渗Mb≥6米”；一般固体废物暂存间为一般防渗区，一般防渗要求为“等效黏土层防渗Mb≥1.5米”；其余部位为简单防渗区，采取一般性的地面硬化措施。</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、在启动生产设施或者在实际排污之前，按照经批准的环境影响评价文件认真梳理并确认各项环境保护措施落实后，依法进行排污登记。</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26</w:t>
      </w:r>
      <w:r>
        <w:rPr>
          <w:rFonts w:hint="default" w:ascii="Times New Roman" w:hAnsi="Times New Roman" w:eastAsia="仿宋_GB2312" w:cs="Times New Roman"/>
          <w:bCs/>
          <w:color w:val="auto"/>
          <w:szCs w:val="32"/>
          <w:highlight w:val="none"/>
        </w:rPr>
        <w:t>日</w:t>
      </w:r>
    </w:p>
    <w:p>
      <w:pPr>
        <w:pStyle w:val="23"/>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bookmarkStart w:id="0" w:name="_GoBack"/>
      <w:bookmarkEnd w:id="0"/>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抄送：师市生态环境保护综合行政执法支队，胡杨河经济技术开发区应急管理和环境保护局。</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320" w:leftChars="100" w:right="320" w:rightChars="100"/>
      <w:rPr>
        <w:rStyle w:val="19"/>
        <w:rFonts w:hint="eastAsia" w:ascii="仿宋_GB2312" w:eastAsia="仿宋_GB2312"/>
        <w:b/>
        <w:bCs/>
        <w:sz w:val="28"/>
        <w:szCs w:val="28"/>
      </w:rPr>
    </w:pPr>
    <w:r>
      <w:rPr>
        <w:rStyle w:val="19"/>
        <w:rFonts w:hint="eastAsia" w:ascii="仿宋_GB2312" w:eastAsia="仿宋_GB2312"/>
        <w:sz w:val="28"/>
        <w:szCs w:val="28"/>
      </w:rPr>
      <w:t xml:space="preserve">— </w:t>
    </w:r>
    <w:r>
      <w:rPr>
        <w:rFonts w:hint="eastAsia" w:ascii="仿宋_GB2312" w:eastAsia="仿宋_GB2312"/>
        <w:sz w:val="28"/>
        <w:szCs w:val="28"/>
      </w:rPr>
      <w:fldChar w:fldCharType="begin"/>
    </w:r>
    <w:r>
      <w:rPr>
        <w:rStyle w:val="1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9"/>
        <w:rFonts w:ascii="仿宋_GB2312" w:eastAsia="仿宋_GB2312"/>
        <w:sz w:val="28"/>
        <w:szCs w:val="28"/>
      </w:rPr>
      <w:t>1</w:t>
    </w:r>
    <w:r>
      <w:rPr>
        <w:rFonts w:hint="eastAsia" w:ascii="仿宋_GB2312" w:eastAsia="仿宋_GB2312"/>
        <w:sz w:val="28"/>
        <w:szCs w:val="28"/>
      </w:rPr>
      <w:fldChar w:fldCharType="end"/>
    </w:r>
    <w:r>
      <w:rPr>
        <w:rStyle w:val="19"/>
        <w:rFonts w:hint="eastAsia" w:ascii="仿宋_GB2312" w:eastAsia="仿宋_GB2312"/>
        <w:sz w:val="28"/>
        <w:szCs w:val="28"/>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fldChar w:fldCharType="begin"/>
    </w:r>
    <w:r>
      <w:rPr>
        <w:rStyle w:val="19"/>
      </w:rPr>
      <w:instrText xml:space="preserve">PAGE  </w:instrText>
    </w:r>
    <w:r>
      <w:fldChar w:fldCharType="separate"/>
    </w:r>
    <w:r>
      <w:rPr>
        <w:rStyle w:val="19"/>
      </w:rPr>
      <w:t>1</w: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A601AE"/>
    <w:rsid w:val="04B77D73"/>
    <w:rsid w:val="05737345"/>
    <w:rsid w:val="06C71389"/>
    <w:rsid w:val="06CC7B06"/>
    <w:rsid w:val="08EC6D80"/>
    <w:rsid w:val="13C9545A"/>
    <w:rsid w:val="16B800EE"/>
    <w:rsid w:val="177121A0"/>
    <w:rsid w:val="1803154F"/>
    <w:rsid w:val="20783D41"/>
    <w:rsid w:val="21162F81"/>
    <w:rsid w:val="21DD6837"/>
    <w:rsid w:val="24057B5F"/>
    <w:rsid w:val="24696853"/>
    <w:rsid w:val="247C78BD"/>
    <w:rsid w:val="260C6FC7"/>
    <w:rsid w:val="291034DE"/>
    <w:rsid w:val="2B665A9B"/>
    <w:rsid w:val="2BA03F96"/>
    <w:rsid w:val="2D8D3C0A"/>
    <w:rsid w:val="2F130EE6"/>
    <w:rsid w:val="2F2B3664"/>
    <w:rsid w:val="2FEE4162"/>
    <w:rsid w:val="32C5491C"/>
    <w:rsid w:val="371F1D45"/>
    <w:rsid w:val="38453BBB"/>
    <w:rsid w:val="3BAC6099"/>
    <w:rsid w:val="3C25479F"/>
    <w:rsid w:val="3D7076AF"/>
    <w:rsid w:val="3EC1562C"/>
    <w:rsid w:val="3F0E35AF"/>
    <w:rsid w:val="3F5E5C50"/>
    <w:rsid w:val="4419237E"/>
    <w:rsid w:val="4504286C"/>
    <w:rsid w:val="45D948F4"/>
    <w:rsid w:val="47587B93"/>
    <w:rsid w:val="4AE66C9B"/>
    <w:rsid w:val="4CBF17F2"/>
    <w:rsid w:val="4CCA458A"/>
    <w:rsid w:val="4E410396"/>
    <w:rsid w:val="5075710B"/>
    <w:rsid w:val="50CD705E"/>
    <w:rsid w:val="516B1F5C"/>
    <w:rsid w:val="54231BA0"/>
    <w:rsid w:val="5EF86B45"/>
    <w:rsid w:val="600D34CB"/>
    <w:rsid w:val="609006D2"/>
    <w:rsid w:val="66BE66CF"/>
    <w:rsid w:val="68991CEA"/>
    <w:rsid w:val="6B762AC2"/>
    <w:rsid w:val="6D272415"/>
    <w:rsid w:val="6D4318D3"/>
    <w:rsid w:val="721320EC"/>
    <w:rsid w:val="73323C81"/>
    <w:rsid w:val="745A0337"/>
    <w:rsid w:val="75FE0A8D"/>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4">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5">
    <w:name w:val="heading 3"/>
    <w:basedOn w:val="1"/>
    <w:next w:val="1"/>
    <w:qFormat/>
    <w:uiPriority w:val="0"/>
    <w:pPr>
      <w:keepNext/>
      <w:keepLines/>
      <w:spacing w:line="360" w:lineRule="auto"/>
      <w:ind w:firstLine="200" w:firstLineChars="200"/>
      <w:outlineLvl w:val="2"/>
    </w:pPr>
    <w:rPr>
      <w:bCs/>
      <w:szCs w:val="28"/>
    </w:rPr>
  </w:style>
  <w:style w:type="paragraph" w:styleId="6">
    <w:name w:val="heading 4"/>
    <w:basedOn w:val="1"/>
    <w:next w:val="1"/>
    <w:qFormat/>
    <w:uiPriority w:val="99"/>
    <w:pPr>
      <w:keepNext/>
      <w:keepLines/>
      <w:numPr>
        <w:ilvl w:val="3"/>
        <w:numId w:val="2"/>
      </w:numPr>
      <w:spacing w:line="360" w:lineRule="auto"/>
      <w:outlineLvl w:val="3"/>
    </w:pPr>
    <w:rPr>
      <w:rFonts w:ascii="Arial" w:hAnsi="Arial"/>
      <w:b/>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rmal Indent"/>
    <w:basedOn w:val="1"/>
    <w:qFormat/>
    <w:uiPriority w:val="0"/>
    <w:pPr>
      <w:ind w:firstLine="420" w:firstLineChars="200"/>
    </w:pPr>
    <w:rPr>
      <w:rFonts w:ascii="宋体" w:hAnsi="宋体"/>
    </w:rPr>
  </w:style>
  <w:style w:type="paragraph" w:styleId="8">
    <w:name w:val="annotation text"/>
    <w:basedOn w:val="1"/>
    <w:unhideWhenUsed/>
    <w:qFormat/>
    <w:uiPriority w:val="99"/>
    <w:pPr>
      <w:jc w:val="left"/>
    </w:pPr>
  </w:style>
  <w:style w:type="paragraph" w:styleId="9">
    <w:name w:val="Body Text"/>
    <w:basedOn w:val="1"/>
    <w:qFormat/>
    <w:uiPriority w:val="0"/>
    <w:rPr>
      <w:rFonts w:eastAsia="华文中宋"/>
      <w:b/>
      <w:bCs/>
      <w:w w:val="90"/>
      <w:sz w:val="44"/>
    </w:rPr>
  </w:style>
  <w:style w:type="paragraph" w:styleId="10">
    <w:name w:val="Block Text"/>
    <w:basedOn w:val="1"/>
    <w:qFormat/>
    <w:uiPriority w:val="99"/>
    <w:pPr>
      <w:spacing w:line="480" w:lineRule="exact"/>
      <w:ind w:left="-125" w:right="-56" w:firstLine="570"/>
    </w:pPr>
    <w:rPr>
      <w:sz w:val="28"/>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index heading"/>
    <w:basedOn w:val="1"/>
    <w:next w:val="14"/>
    <w:qFormat/>
    <w:uiPriority w:val="0"/>
  </w:style>
  <w:style w:type="paragraph" w:styleId="14">
    <w:name w:val="index 1"/>
    <w:basedOn w:val="1"/>
    <w:next w:val="1"/>
    <w:qFormat/>
    <w:uiPriority w:val="0"/>
  </w:style>
  <w:style w:type="paragraph" w:styleId="15">
    <w:name w:val="Body Text 2"/>
    <w:basedOn w:val="1"/>
    <w:unhideWhenUsed/>
    <w:qFormat/>
    <w:uiPriority w:val="99"/>
    <w:pPr>
      <w:spacing w:after="120" w:line="480" w:lineRule="auto"/>
    </w:pPr>
  </w:style>
  <w:style w:type="paragraph" w:styleId="16">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19">
    <w:name w:val="page number"/>
    <w:basedOn w:val="18"/>
    <w:qFormat/>
    <w:uiPriority w:val="0"/>
  </w:style>
  <w:style w:type="paragraph" w:customStyle="1" w:styleId="20">
    <w:name w:val="Default"/>
    <w:basedOn w:val="21"/>
    <w:next w:val="22"/>
    <w:qFormat/>
    <w:uiPriority w:val="0"/>
    <w:pPr>
      <w:autoSpaceDE w:val="0"/>
      <w:autoSpaceDN w:val="0"/>
    </w:pPr>
    <w:rPr>
      <w:rFonts w:ascii="Times New Roman" w:hAnsi="Times New Roman" w:eastAsia="宋体" w:cs="Times New Roman"/>
      <w:color w:val="000000"/>
      <w:sz w:val="24"/>
      <w:szCs w:val="24"/>
    </w:rPr>
  </w:style>
  <w:style w:type="paragraph" w:customStyle="1" w:styleId="21">
    <w:name w:val="纯文本1"/>
    <w:basedOn w:val="1"/>
    <w:qFormat/>
    <w:uiPriority w:val="0"/>
    <w:pPr>
      <w:adjustRightInd w:val="0"/>
      <w:textAlignment w:val="baseline"/>
    </w:pPr>
    <w:rPr>
      <w:rFonts w:ascii="宋体" w:hAnsi="Courier New"/>
      <w:szCs w:val="20"/>
    </w:rPr>
  </w:style>
  <w:style w:type="paragraph" w:customStyle="1" w:styleId="22">
    <w:name w:val="样式1"/>
    <w:basedOn w:val="13"/>
    <w:next w:val="1"/>
    <w:qFormat/>
    <w:uiPriority w:val="0"/>
    <w:pPr>
      <w:ind w:firstLine="0"/>
    </w:pPr>
    <w:rPr>
      <w:rFonts w:ascii="Times New Roman"/>
      <w:b/>
      <w:sz w:val="30"/>
    </w:rPr>
  </w:style>
  <w:style w:type="paragraph" w:customStyle="1" w:styleId="23">
    <w:name w:val="Char"/>
    <w:basedOn w:val="1"/>
    <w:qFormat/>
    <w:uiPriority w:val="0"/>
    <w:rPr>
      <w:rFonts w:cs="宋体"/>
      <w:sz w:val="28"/>
    </w:rPr>
  </w:style>
  <w:style w:type="paragraph" w:customStyle="1" w:styleId="24">
    <w:name w:val="YJ正文*"/>
    <w:basedOn w:val="1"/>
    <w:qFormat/>
    <w:uiPriority w:val="0"/>
    <w:pPr>
      <w:spacing w:line="500" w:lineRule="exact"/>
      <w:ind w:firstLine="200" w:firstLineChars="200"/>
      <w:jc w:val="both"/>
    </w:pPr>
    <w:rPr>
      <w:rFonts w:ascii="等线" w:hAnsi="等线" w:eastAsia="宋体"/>
      <w:sz w:val="24"/>
    </w:rPr>
  </w:style>
  <w:style w:type="paragraph" w:customStyle="1" w:styleId="25">
    <w:name w:val="表字-书"/>
    <w:basedOn w:val="1"/>
    <w:qFormat/>
    <w:uiPriority w:val="0"/>
    <w:pPr>
      <w:spacing w:line="240" w:lineRule="exact"/>
      <w:ind w:firstLine="0" w:firstLineChars="0"/>
      <w:jc w:val="center"/>
    </w:pPr>
    <w:rPr>
      <w:rFonts w:hAnsi="宋体"/>
      <w:sz w:val="21"/>
      <w:szCs w:val="21"/>
    </w:rPr>
  </w:style>
  <w:style w:type="paragraph" w:customStyle="1" w:styleId="26">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2116</Words>
  <Characters>2260</Characters>
  <Lines>11</Lines>
  <Paragraphs>3</Paragraphs>
  <TotalTime>1</TotalTime>
  <ScaleCrop>false</ScaleCrop>
  <LinksUpToDate>false</LinksUpToDate>
  <CharactersWithSpaces>2300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2023-07-25T02:27:16Z</cp:lastPrinted>
  <dcterms:modified xsi:type="dcterms:W3CDTF">2023-07-25T02:31:31Z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9F94F53A95314064BD863D4DF7F6AF9C_13</vt:lpwstr>
  </property>
</Properties>
</file>