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音像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记录事项清单</w:t>
      </w:r>
    </w:p>
    <w:tbl>
      <w:tblPr>
        <w:tblStyle w:val="2"/>
        <w:tblW w:w="9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85"/>
        <w:gridCol w:w="1047"/>
        <w:gridCol w:w="916"/>
        <w:gridCol w:w="1047"/>
        <w:gridCol w:w="1440"/>
        <w:gridCol w:w="654"/>
        <w:gridCol w:w="785"/>
        <w:gridCol w:w="1177"/>
        <w:gridCol w:w="78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环节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事项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事项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场合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执法时限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要求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人员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开始记录时间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过程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结束记录时间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执法记录方式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现场检查（抽查）记录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现场检查抽查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现场位置、检查具体情况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现场检查场所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适时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人员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进入现场前开始记录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记录现场检查全过程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现场记录完毕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询问调查记录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询问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调查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询问调查具体情况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询问调查场所（有条件有可设专门调查室）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适时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人员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询问调查开始时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记录询问调查全过程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询问调查完毕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采取证据保全和强制措施记录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先行登记保存及查封扣押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采取措施的方式、物品名称及数量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办理证据保全、强制措施场所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先行登记保存7日，强制措施30日（延长期限30日）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人员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采取措施开始时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记录采取证据保全和强制措施全过程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采取措施完毕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4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物品处理记录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物品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处理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物品处理现场情况详细信息记录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处理物品场所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相关法律法规规章的时限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人员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物品处理前开始记录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记录物品处理全过程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物品处理完毕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行政执法文书送达记录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文书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送达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送达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送达场所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宣告后当场送达；当事人不在场的，七日内送达；公告送达的60日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人员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送达前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记录送达全过程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送达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完毕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6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解除查封扣押记录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解除查封扣押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解除查封扣押全过程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解除查封扣押场所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适时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人员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进入解除查封扣押场所前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记录解除查封扣押全过程和解除查封扣押物品详细情况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离开解除查封扣押场所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7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其他执法环节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执法人员认为有必要记录的事项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与相对人接触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接触场所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适时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人员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适时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记录能够反应相关事项或场景的全过程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适时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音像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TFhZTgyN2ZlODU4ZDZhMGUzYjQ2ZDg0Zjk5YzAifQ=="/>
  </w:docVars>
  <w:rsids>
    <w:rsidRoot w:val="00000000"/>
    <w:rsid w:val="74D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2023-07-11T05:51:07Z</dcterms:created>
  <dc:creator>Administrator</dc:creator>
  <cp:lastModifiedBy>什刹海</cp:lastModifiedBy>
  <dcterms:modified xsi:type="dcterms:W3CDTF">2023-07-11T05:52:50Z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BEA1D7C3C68A4B79870C974646D4AAAA_12</vt:lpwstr>
  </property>
</Properties>
</file>