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color w:val="auto"/>
          <w:sz w:val="30"/>
          <w:szCs w:val="30"/>
        </w:rPr>
      </w:pPr>
      <w:r>
        <w:rPr>
          <w:rFonts w:hAnsi="黑体" w:eastAsia="黑体"/>
          <w:color w:val="auto"/>
          <w:sz w:val="30"/>
          <w:szCs w:val="30"/>
          <w:shd w:val="clear" w:color="auto" w:fill="FFFFFF"/>
        </w:rPr>
        <w:t>拟批准环境影响评价文件的建设项目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828"/>
        <w:gridCol w:w="763"/>
        <w:gridCol w:w="851"/>
        <w:gridCol w:w="850"/>
        <w:gridCol w:w="2552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60" w:type="dxa"/>
            <w:noWrap w:val="0"/>
            <w:vAlign w:val="center"/>
          </w:tcPr>
          <w:p>
            <w:pPr>
              <w:pStyle w:val="16"/>
              <w:spacing w:before="0" w:beforeAutospacing="0" w:after="0" w:afterAutospacing="0"/>
              <w:jc w:val="center"/>
              <w:rPr>
                <w:rStyle w:val="22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pStyle w:val="16"/>
              <w:spacing w:before="0" w:beforeAutospacing="0" w:after="0" w:afterAutospacing="0"/>
              <w:jc w:val="center"/>
              <w:rPr>
                <w:rStyle w:val="22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pStyle w:val="16"/>
              <w:spacing w:before="0" w:beforeAutospacing="0" w:after="0" w:afterAutospacing="0"/>
              <w:jc w:val="center"/>
              <w:rPr>
                <w:rStyle w:val="22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建设地点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16"/>
              <w:spacing w:before="0" w:beforeAutospacing="0" w:after="0" w:afterAutospacing="0"/>
              <w:jc w:val="center"/>
              <w:rPr>
                <w:rStyle w:val="22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建设单位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6"/>
              <w:spacing w:before="0" w:beforeAutospacing="0" w:after="0" w:afterAutospacing="0"/>
              <w:jc w:val="center"/>
              <w:rPr>
                <w:rStyle w:val="22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环境影响评价机构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16"/>
              <w:spacing w:before="0" w:beforeAutospacing="0" w:after="0" w:afterAutospacing="0"/>
              <w:jc w:val="center"/>
              <w:rPr>
                <w:rStyle w:val="22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项目概况</w:t>
            </w:r>
          </w:p>
        </w:tc>
        <w:tc>
          <w:tcPr>
            <w:tcW w:w="7938" w:type="dxa"/>
            <w:noWrap w:val="0"/>
            <w:vAlign w:val="center"/>
          </w:tcPr>
          <w:p>
            <w:pPr>
              <w:pStyle w:val="16"/>
              <w:spacing w:before="0" w:beforeAutospacing="0" w:after="0" w:afterAutospacing="0"/>
              <w:jc w:val="both"/>
              <w:rPr>
                <w:rStyle w:val="22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color w:val="auto"/>
                <w:sz w:val="21"/>
                <w:szCs w:val="21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pStyle w:val="16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兵团第七师胡杨河市130团14连10万千瓦光伏发电项目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pStyle w:val="16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新疆生产建设兵团第七师130团14连辖区，胡杨河市经开区孵化园以东、牛场以南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胡杨河市七电新能源有限公司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乌鲁木齐天辰创展工程咨询有限公司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4362"/>
              </w:tabs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本项目光伏电站建设规模10万千瓦，配置储能15MW/30MWh，项目总用地面积约3600亩。项目区110kV升压站单独进行评价，不在本项目评价范围内。总投资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43000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万元，其中环保投资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，占总投资的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7938" w:type="dxa"/>
            <w:noWrap w:val="0"/>
            <w:vAlign w:val="center"/>
          </w:tcPr>
          <w:p>
            <w:pPr>
              <w:pStyle w:val="3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42"/>
              <w:jc w:val="both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1生态环境影响分析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及保护措施</w:t>
            </w:r>
          </w:p>
          <w:p>
            <w:pPr>
              <w:pStyle w:val="3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2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施工期间划定施工区域，强化施工管理，增强施工人员的环境保护意识，严格控制施工占地的范围，严禁随意扩大扰动范围；缩小施工作业面和减少扰动面积；做好土石方平衡，降低工程开挖造成的水土流失；严格管理和控制车辆及重型机械的运行范围，所有车辆采用“一”字型作业法，尽量缩小扰动范围，保护原始地表，使新增水土流失得到有效控制；合理安排施工时间及工序，避开大风天气作业，弃土及时处理；施工期避开鸟类繁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殖期，减少对野生动物繁殖的影响；严格按施工方案要求在指定地点堆放临时土石方；施工作业结束后，及时平整各类施工迹地，恢复原有地貌，防止新增水土流失。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光伏发电系统支架以埋入的方式进行固定，不会造成地表硬化。光伏发电系统支架下有选择的种植喜阴植物，防止生物量减少，并防止土地沙化对项目区的影响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3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4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2大气环境影响分析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及污染防治措施</w:t>
            </w:r>
          </w:p>
          <w:p>
            <w:pPr>
              <w:pStyle w:val="48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本项目为清洁能源发电项目，无工艺废气产生。</w:t>
            </w:r>
          </w:p>
          <w:p>
            <w:pPr>
              <w:pStyle w:val="3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42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3水环境影响分析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及污染防治措施</w:t>
            </w:r>
          </w:p>
          <w:p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482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bookmarkStart w:id="0" w:name="_Toc18668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项目建成后运营期废水主要为光伏板冲洗废水。此清洗废水主要污染物为SS，含量较少且污染较小，清洗后的废水直接流至光伏板下面用于浇地绿化。</w:t>
            </w:r>
          </w:p>
          <w:p>
            <w:pPr>
              <w:pStyle w:val="5"/>
              <w:widowControl w:val="0"/>
              <w:suppressLineNumbers w:val="0"/>
              <w:spacing w:before="0" w:beforeAutospacing="0" w:after="0" w:afterAutospacing="0"/>
              <w:ind w:left="0" w:right="0" w:firstLine="482"/>
              <w:jc w:val="both"/>
              <w:outlineLvl w:val="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4噪声环境影响分析</w:t>
            </w:r>
            <w:bookmarkEnd w:id="0"/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及污染防治措施</w:t>
            </w:r>
          </w:p>
          <w:p>
            <w:pPr>
              <w:pStyle w:val="5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482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z w:val="21"/>
                <w:szCs w:val="21"/>
              </w:rPr>
            </w:pPr>
            <w:bookmarkStart w:id="1" w:name="_Toc2920"/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z w:val="21"/>
                <w:szCs w:val="21"/>
              </w:rPr>
              <w:t>逆变器采用箱式布置，箱体可起到一定的隔挡降噪作用；箱逆变一体机、储能设备安装基础减振垫；加强对箱逆变一体机、储能设备的维护，使其处于良好的运行状态。采取措施后厂界噪声满足《工业企业厂界环境噪声排放标准》（GB12348-2008）中2类标准要求。</w:t>
            </w:r>
          </w:p>
          <w:p>
            <w:pPr>
              <w:pStyle w:val="5"/>
              <w:widowControl w:val="0"/>
              <w:suppressLineNumbers w:val="0"/>
              <w:spacing w:before="0" w:beforeAutospacing="0" w:after="0" w:afterAutospacing="0"/>
              <w:ind w:left="0" w:right="0" w:firstLine="482"/>
              <w:jc w:val="both"/>
              <w:outlineLvl w:val="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5固体废物影响分析</w:t>
            </w:r>
            <w:bookmarkEnd w:id="1"/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及污染防治措施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hAnsi="宋体" w:cs="宋体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  <w:highlight w:val="none"/>
                <w:lang w:val="en-US" w:eastAsia="zh-CN"/>
              </w:rPr>
              <w:t>（1）危险废物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hAnsi="宋体" w:cs="宋体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  <w:highlight w:val="none"/>
                <w:lang w:val="en-US" w:eastAsia="zh-CN"/>
              </w:rPr>
              <w:t>废变压器油和含油抹布分类收集后在110kV升压站（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单独进行评价，不在本项目评价范围内</w:t>
            </w:r>
            <w:r>
              <w:rPr>
                <w:rFonts w:hint="eastAsia" w:hAnsi="宋体" w:cs="宋体"/>
                <w:bCs/>
                <w:color w:val="auto"/>
                <w:szCs w:val="21"/>
                <w:highlight w:val="none"/>
                <w:lang w:val="en-US" w:eastAsia="zh-CN"/>
              </w:rPr>
              <w:t>）内危险废物暂存间暂存，定期由有资质的单位统一收集处理。110kV升压站和本项目同时开工建设，待本项目建成时110kV升压站已建成，危废暂存间可满足本项目暂存需求。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hAnsi="宋体" w:cs="宋体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  <w:highlight w:val="none"/>
                <w:lang w:val="en-US" w:eastAsia="zh-CN"/>
              </w:rPr>
              <w:t>（2）一般固体废物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hAnsi="宋体" w:cs="宋体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  <w:highlight w:val="none"/>
                <w:lang w:val="en-US" w:eastAsia="zh-CN"/>
              </w:rPr>
              <w:t>废旧电池板及组件、废蓄电池（磷酸锂铁电池</w:t>
            </w:r>
            <w:bookmarkStart w:id="2" w:name="_GoBack"/>
            <w:bookmarkEnd w:id="2"/>
            <w:r>
              <w:rPr>
                <w:rFonts w:hint="eastAsia" w:hAnsi="宋体" w:cs="宋体"/>
                <w:bCs/>
                <w:color w:val="auto"/>
                <w:szCs w:val="21"/>
                <w:highlight w:val="none"/>
                <w:lang w:val="en-US" w:eastAsia="zh-CN"/>
              </w:rPr>
              <w:t>）经收集后由生产厂家回收处理。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  <w:highlight w:val="none"/>
                <w:lang w:val="en-US" w:eastAsia="zh-CN"/>
              </w:rPr>
              <w:t>项目固废去向明确，不会产生二次污染，对周围环境影响较小</w:t>
            </w:r>
            <w:r>
              <w:rPr>
                <w:rFonts w:hint="eastAsia" w:hAnsi="宋体" w:cs="宋体"/>
                <w:bCs/>
                <w:color w:val="auto"/>
                <w:szCs w:val="21"/>
                <w:highlight w:val="none"/>
              </w:rPr>
              <w:t>。</w:t>
            </w:r>
          </w:p>
          <w:p>
            <w:pPr>
              <w:pStyle w:val="3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42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6环境风险分析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及污染防治措施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snapToGrid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/>
                <w:color w:val="auto"/>
                <w:kern w:val="2"/>
                <w:sz w:val="21"/>
                <w:szCs w:val="21"/>
                <w:lang w:val="en-US" w:eastAsia="zh-CN" w:bidi="ar-SA"/>
              </w:rPr>
              <w:t>本项目发电设施遭雷击引起的火灾和逆变器、变压器维修保养时产生的废变压器油属于可燃物质，遇明火、高热可燃。火灾发生后，将产生大量浓烟，其中含有因空气不足未完全燃烧而产生的CO及烟尘等有毒有害物质，对周围环境空气产生明显不利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outlineLvl w:val="6"/>
              <w:rPr>
                <w:rFonts w:hint="eastAsia" w:ascii="Times New Roman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宋体"/>
                <w:bCs/>
                <w:color w:val="auto"/>
                <w:szCs w:val="21"/>
                <w:highlight w:val="none"/>
              </w:rPr>
              <w:t>环境风险防范措施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outlineLvl w:val="6"/>
              <w:rPr>
                <w:rFonts w:hint="eastAsia" w:ascii="Times New Roman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宋体"/>
                <w:bCs/>
                <w:color w:val="auto"/>
                <w:szCs w:val="21"/>
                <w:highlight w:val="none"/>
              </w:rPr>
              <w:t>1）制订安全、防火制度，各岗位操作规范，环境管理巡查制度等，严格落实各项防火、用电安全和环境风险防范措施，加强对职工的安全教育，向项目区职工传授消防灭火知识等；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outlineLvl w:val="6"/>
              <w:rPr>
                <w:rFonts w:hint="eastAsia" w:ascii="Times New Roman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宋体"/>
                <w:bCs/>
                <w:color w:val="auto"/>
                <w:szCs w:val="21"/>
                <w:highlight w:val="none"/>
              </w:rPr>
              <w:t>2）加强项目区职工的风险意识和环境意识教育，增强安全、环境意识。提高人的责任心和主动性；强化管理人员岗位责任制，严格各项操作规程和奖惩制度，对操作人员进行系统的岗位培训，使每个操作人员都能够熟悉工作岗位责任及操作规程；设置专职或兼职环保监督管理员，负责本项目区的安全和环保问题，对事故易发部位、地点必须经常检查，杜绝事故隐患，发现问题及时处置并立即向有关部门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outlineLvl w:val="6"/>
              <w:rPr>
                <w:rFonts w:hint="eastAsia" w:ascii="Times New Roman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宋体"/>
                <w:bCs/>
                <w:color w:val="auto"/>
                <w:szCs w:val="21"/>
                <w:highlight w:val="none"/>
              </w:rPr>
              <w:t>3）项目总平面布置严格执行《建筑设计防火规范》（GB50016-2014）及2018年修订条文、《太阳光伏电源系统安装工程设计规范》（CECS84-96）及《太阳光伏电源系统安装工程施工及验收技术规范》（CECS85-96）等有关规定，保证建（构）筑物之间的防火间距符合消防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outlineLvl w:val="6"/>
              <w:rPr>
                <w:rFonts w:hint="eastAsia" w:ascii="Times New Roman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宋体"/>
                <w:bCs/>
                <w:color w:val="auto"/>
                <w:szCs w:val="21"/>
                <w:highlight w:val="none"/>
              </w:rPr>
              <w:t>4）项目在线路设计及设备安装中，增加了防雷保护系统，维护电站长期稳定可靠运行。为使建筑物在受到直击雷和感应雷的雷击时能有可靠保护，在屋顶上设置避雷带，在电池板支架上方利用设备支架挂避雷线；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auto"/>
              <w:ind w:left="0" w:leftChars="0" w:firstLine="420" w:firstLineChars="200"/>
              <w:textAlignment w:val="auto"/>
              <w:outlineLvl w:val="6"/>
              <w:rPr>
                <w:rFonts w:hint="eastAsia" w:ascii="Times New Roman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bCs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宋体" w:eastAsia="宋体" w:cs="宋体"/>
                <w:bCs/>
                <w:color w:val="auto"/>
                <w:szCs w:val="21"/>
                <w:highlight w:val="none"/>
              </w:rPr>
              <w:t>）每台逆变器的交流输出经交流防雷柜（内含防雷保护装置）接入电网，可有效地避免雷击和电网浪涌导致设备损坏，所有的机柜要有良好接地</w:t>
            </w:r>
            <w:r>
              <w:rPr>
                <w:rFonts w:hint="eastAsia" w:hAnsi="宋体" w:cs="宋体"/>
                <w:bCs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宋体"/>
                <w:bCs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宋体" w:eastAsia="宋体" w:cs="宋体"/>
                <w:bCs/>
                <w:color w:val="auto"/>
                <w:szCs w:val="21"/>
                <w:highlight w:val="none"/>
              </w:rPr>
              <w:t>）每台箱式逆变器基础下部设容积3m3的储油槽（30个）。废油储存池四周设置高出地面100mm的挡油坎，废油储存池内铺设卵石，设备底部设有排油管，能将事故废油排至应急事故油池中，事故结束后，事故废油交由有危险废物处置资质的单位处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color w:val="auto"/>
                <w:szCs w:val="21"/>
                <w:highlight w:val="none"/>
                <w:lang w:val="en-US" w:eastAsia="zh-CN"/>
              </w:rPr>
              <w:t>采取上述措施，本项目环境风险能够控制在可接受范围内。</w:t>
            </w:r>
          </w:p>
        </w:tc>
      </w:tr>
    </w:tbl>
    <w:p>
      <w:pPr>
        <w:ind w:firstLine="480" w:firstLineChars="200"/>
        <w:rPr>
          <w:rFonts w:eastAsia="Times New Roman"/>
          <w:bCs/>
          <w:color w:val="auto"/>
          <w:sz w:val="24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156B5"/>
    <w:multiLevelType w:val="multilevel"/>
    <w:tmpl w:val="2A8156B5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7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I2NjA4ODFjOWFmM2ZiNmE3ODBkYjk5YWY3ZGY2ZDAifQ=="/>
  </w:docVars>
  <w:rsids>
    <w:rsidRoot w:val="00172A27"/>
    <w:rsid w:val="00120834"/>
    <w:rsid w:val="00120864"/>
    <w:rsid w:val="001C4319"/>
    <w:rsid w:val="002A2D51"/>
    <w:rsid w:val="002E1F02"/>
    <w:rsid w:val="003517A2"/>
    <w:rsid w:val="003B39B1"/>
    <w:rsid w:val="003D63B2"/>
    <w:rsid w:val="00416535"/>
    <w:rsid w:val="00461D7F"/>
    <w:rsid w:val="004B0771"/>
    <w:rsid w:val="005A5935"/>
    <w:rsid w:val="007F07D5"/>
    <w:rsid w:val="008B2BED"/>
    <w:rsid w:val="00961E08"/>
    <w:rsid w:val="00995A80"/>
    <w:rsid w:val="00A411B9"/>
    <w:rsid w:val="00A5148F"/>
    <w:rsid w:val="00A70829"/>
    <w:rsid w:val="00A9280F"/>
    <w:rsid w:val="00B13FCF"/>
    <w:rsid w:val="00B57A96"/>
    <w:rsid w:val="00C14474"/>
    <w:rsid w:val="00C22A9B"/>
    <w:rsid w:val="00C46842"/>
    <w:rsid w:val="00E74080"/>
    <w:rsid w:val="00F16330"/>
    <w:rsid w:val="00F31786"/>
    <w:rsid w:val="00F33FBD"/>
    <w:rsid w:val="00F805E1"/>
    <w:rsid w:val="0A425C9E"/>
    <w:rsid w:val="0C94266A"/>
    <w:rsid w:val="0CE9111F"/>
    <w:rsid w:val="0D8751E3"/>
    <w:rsid w:val="0EAE69D7"/>
    <w:rsid w:val="0F4A4FCB"/>
    <w:rsid w:val="129D6F1E"/>
    <w:rsid w:val="155803CD"/>
    <w:rsid w:val="18D12D7F"/>
    <w:rsid w:val="1B967FE9"/>
    <w:rsid w:val="1BEE50BA"/>
    <w:rsid w:val="1D3259C7"/>
    <w:rsid w:val="1DA96999"/>
    <w:rsid w:val="1FF73D42"/>
    <w:rsid w:val="26043262"/>
    <w:rsid w:val="27075144"/>
    <w:rsid w:val="28027D61"/>
    <w:rsid w:val="291D32B7"/>
    <w:rsid w:val="29EF225D"/>
    <w:rsid w:val="307F0270"/>
    <w:rsid w:val="41C521AA"/>
    <w:rsid w:val="42203F31"/>
    <w:rsid w:val="43FF02C7"/>
    <w:rsid w:val="442D7A4C"/>
    <w:rsid w:val="46BE0BE5"/>
    <w:rsid w:val="49E5140D"/>
    <w:rsid w:val="4AF10514"/>
    <w:rsid w:val="508E073E"/>
    <w:rsid w:val="563758D6"/>
    <w:rsid w:val="58B07636"/>
    <w:rsid w:val="5C4A2E02"/>
    <w:rsid w:val="5CAD7F91"/>
    <w:rsid w:val="5D0B7710"/>
    <w:rsid w:val="5F1C41EF"/>
    <w:rsid w:val="6C490C0A"/>
    <w:rsid w:val="6E4C79A9"/>
    <w:rsid w:val="6E751F61"/>
    <w:rsid w:val="6F587813"/>
    <w:rsid w:val="7662101C"/>
    <w:rsid w:val="78113B6F"/>
    <w:rsid w:val="7A513882"/>
    <w:rsid w:val="7B5A7510"/>
    <w:rsid w:val="7E7B5C83"/>
    <w:rsid w:val="7F141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paragraph" w:styleId="5">
    <w:name w:val="heading 2"/>
    <w:basedOn w:val="6"/>
    <w:next w:val="1"/>
    <w:qFormat/>
    <w:uiPriority w:val="0"/>
    <w:pPr>
      <w:spacing w:line="360" w:lineRule="auto"/>
      <w:ind w:firstLine="200" w:firstLineChars="200"/>
      <w:outlineLvl w:val="1"/>
    </w:pPr>
    <w:rPr>
      <w:rFonts w:ascii="Times New Roman" w:hAnsi="Times New Roman" w:cs="Times New Roman"/>
      <w:szCs w:val="32"/>
    </w:rPr>
  </w:style>
  <w:style w:type="paragraph" w:styleId="6">
    <w:name w:val="heading 3"/>
    <w:basedOn w:val="1"/>
    <w:next w:val="1"/>
    <w:link w:val="23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napToGrid w:val="0"/>
      <w:spacing w:before="60" w:after="60" w:line="360" w:lineRule="auto"/>
      <w:outlineLvl w:val="3"/>
    </w:pPr>
    <w:rPr>
      <w:rFonts w:ascii="黑体" w:hAnsi="黑体" w:eastAsia="黑体" w:cs="Times New Roman"/>
      <w:sz w:val="24"/>
      <w:lang w:val="en-US" w:eastAsia="zh-CN" w:bidi="ar-SA"/>
    </w:rPr>
  </w:style>
  <w:style w:type="character" w:default="1" w:styleId="21">
    <w:name w:val="Default Paragraph Font"/>
    <w:qFormat/>
    <w:uiPriority w:val="0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leftChars="0" w:firstLine="420"/>
    </w:pPr>
    <w:rPr>
      <w:rFonts w:ascii="Times New Roman" w:hAnsi="Times New Roman"/>
      <w:szCs w:val="22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8">
    <w:name w:val="Normal Indent"/>
    <w:basedOn w:val="1"/>
    <w:next w:val="1"/>
    <w:qFormat/>
    <w:uiPriority w:val="0"/>
    <w:pPr>
      <w:spacing w:line="360" w:lineRule="auto"/>
      <w:ind w:firstLine="420" w:firstLineChars="200"/>
    </w:pPr>
    <w:rPr>
      <w:kern w:val="0"/>
      <w:sz w:val="20"/>
      <w:szCs w:val="20"/>
    </w:rPr>
  </w:style>
  <w:style w:type="paragraph" w:styleId="9">
    <w:name w:val="Body Text"/>
    <w:basedOn w:val="1"/>
    <w:next w:val="10"/>
    <w:link w:val="24"/>
    <w:qFormat/>
    <w:uiPriority w:val="0"/>
    <w:pPr>
      <w:spacing w:after="120" w:afterLines="0"/>
    </w:p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Body Text Indent"/>
    <w:basedOn w:val="1"/>
    <w:next w:val="9"/>
    <w:link w:val="25"/>
    <w:qFormat/>
    <w:uiPriority w:val="0"/>
    <w:pPr>
      <w:spacing w:after="120" w:afterLines="0"/>
      <w:ind w:left="420" w:leftChars="200"/>
    </w:pPr>
    <w:rPr>
      <w:szCs w:val="22"/>
    </w:rPr>
  </w:style>
  <w:style w:type="paragraph" w:styleId="12">
    <w:name w:val="Plain Text"/>
    <w:basedOn w:val="1"/>
    <w:link w:val="26"/>
    <w:qFormat/>
    <w:uiPriority w:val="0"/>
    <w:rPr>
      <w:rFonts w:ascii="宋体" w:hAnsi="Courier New"/>
      <w:szCs w:val="21"/>
    </w:rPr>
  </w:style>
  <w:style w:type="paragraph" w:styleId="13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List"/>
    <w:basedOn w:val="1"/>
    <w:next w:val="1"/>
    <w:qFormat/>
    <w:uiPriority w:val="0"/>
    <w:pPr>
      <w:ind w:left="200" w:hanging="200" w:hangingChars="200"/>
    </w:p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"/>
    <w:basedOn w:val="9"/>
    <w:link w:val="29"/>
    <w:uiPriority w:val="0"/>
    <w:pPr>
      <w:adjustRightInd w:val="0"/>
      <w:spacing w:after="0" w:afterLines="0" w:line="360" w:lineRule="auto"/>
      <w:ind w:firstLine="454"/>
      <w:textAlignment w:val="baseline"/>
    </w:pPr>
    <w:rPr>
      <w:sz w:val="24"/>
    </w:rPr>
  </w:style>
  <w:style w:type="paragraph" w:styleId="18">
    <w:name w:val="Body Text First Indent 2"/>
    <w:basedOn w:val="11"/>
    <w:next w:val="1"/>
    <w:qFormat/>
    <w:uiPriority w:val="0"/>
    <w:pPr>
      <w:ind w:firstLine="420" w:firstLineChars="200"/>
    </w:pPr>
    <w:rPr>
      <w:szCs w:val="24"/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customStyle="1" w:styleId="23">
    <w:name w:val="标题 3 字符"/>
    <w:link w:val="6"/>
    <w:uiPriority w:val="0"/>
    <w:rPr>
      <w:b/>
      <w:bCs/>
      <w:kern w:val="2"/>
      <w:sz w:val="32"/>
      <w:szCs w:val="32"/>
    </w:rPr>
  </w:style>
  <w:style w:type="character" w:customStyle="1" w:styleId="24">
    <w:name w:val="正文文本 字符"/>
    <w:link w:val="9"/>
    <w:qFormat/>
    <w:uiPriority w:val="0"/>
    <w:rPr>
      <w:kern w:val="2"/>
      <w:sz w:val="21"/>
      <w:szCs w:val="24"/>
    </w:rPr>
  </w:style>
  <w:style w:type="character" w:customStyle="1" w:styleId="25">
    <w:name w:val="正文文本缩进 字符"/>
    <w:link w:val="11"/>
    <w:qFormat/>
    <w:uiPriority w:val="0"/>
    <w:rPr>
      <w:kern w:val="2"/>
      <w:sz w:val="21"/>
      <w:szCs w:val="22"/>
    </w:rPr>
  </w:style>
  <w:style w:type="character" w:customStyle="1" w:styleId="26">
    <w:name w:val="纯文本 字符"/>
    <w:link w:val="12"/>
    <w:uiPriority w:val="0"/>
    <w:rPr>
      <w:rFonts w:ascii="宋体" w:hAnsi="Courier New" w:eastAsia="仿宋_GB2312" w:cs="宋体"/>
      <w:kern w:val="2"/>
      <w:sz w:val="28"/>
      <w:szCs w:val="24"/>
    </w:rPr>
  </w:style>
  <w:style w:type="character" w:customStyle="1" w:styleId="27">
    <w:name w:val="页脚 字符"/>
    <w:link w:val="13"/>
    <w:qFormat/>
    <w:uiPriority w:val="0"/>
    <w:rPr>
      <w:kern w:val="2"/>
      <w:sz w:val="18"/>
      <w:szCs w:val="18"/>
    </w:rPr>
  </w:style>
  <w:style w:type="character" w:customStyle="1" w:styleId="28">
    <w:name w:val="页眉 字符"/>
    <w:link w:val="1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正文文本首行缩进 字符"/>
    <w:link w:val="17"/>
    <w:qFormat/>
    <w:uiPriority w:val="0"/>
    <w:rPr>
      <w:kern w:val="2"/>
      <w:sz w:val="24"/>
      <w:szCs w:val="24"/>
    </w:rPr>
  </w:style>
  <w:style w:type="paragraph" w:customStyle="1" w:styleId="30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  <w:sz w:val="24"/>
    </w:rPr>
  </w:style>
  <w:style w:type="character" w:customStyle="1" w:styleId="31">
    <w:name w:val="纯文本 Char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2">
    <w:name w:val="正文(首行缩进) Char Char"/>
    <w:link w:val="33"/>
    <w:uiPriority w:val="0"/>
    <w:rPr>
      <w:snapToGrid w:val="0"/>
      <w:color w:val="000000"/>
      <w:sz w:val="24"/>
      <w:szCs w:val="24"/>
    </w:rPr>
  </w:style>
  <w:style w:type="paragraph" w:customStyle="1" w:styleId="33">
    <w:name w:val="正文(首行缩进)"/>
    <w:basedOn w:val="1"/>
    <w:next w:val="1"/>
    <w:link w:val="32"/>
    <w:uiPriority w:val="0"/>
    <w:pPr>
      <w:spacing w:line="360" w:lineRule="auto"/>
      <w:ind w:firstLine="540" w:firstLineChars="225"/>
    </w:pPr>
    <w:rPr>
      <w:snapToGrid w:val="0"/>
      <w:color w:val="000000"/>
      <w:kern w:val="0"/>
      <w:sz w:val="24"/>
    </w:rPr>
  </w:style>
  <w:style w:type="character" w:customStyle="1" w:styleId="34">
    <w:name w:val="YJ正文* 字符"/>
    <w:link w:val="35"/>
    <w:uiPriority w:val="0"/>
    <w:rPr>
      <w:rFonts w:ascii="宋体" w:hAnsi="宋体" w:cs="宋体"/>
      <w:sz w:val="24"/>
      <w:szCs w:val="24"/>
    </w:rPr>
  </w:style>
  <w:style w:type="paragraph" w:customStyle="1" w:styleId="35">
    <w:name w:val="YJ正文*"/>
    <w:basedOn w:val="1"/>
    <w:link w:val="34"/>
    <w:uiPriority w:val="0"/>
    <w:pPr>
      <w:widowControl/>
      <w:spacing w:line="520" w:lineRule="exact"/>
      <w:ind w:firstLine="200" w:firstLineChars="200"/>
    </w:pPr>
    <w:rPr>
      <w:rFonts w:ascii="宋体" w:hAnsi="宋体"/>
      <w:kern w:val="0"/>
      <w:sz w:val="24"/>
    </w:rPr>
  </w:style>
  <w:style w:type="character" w:customStyle="1" w:styleId="36">
    <w:name w:val="正文（用） Char"/>
    <w:link w:val="37"/>
    <w:qFormat/>
    <w:uiPriority w:val="0"/>
    <w:rPr>
      <w:kern w:val="0"/>
      <w:sz w:val="24"/>
      <w:szCs w:val="20"/>
    </w:rPr>
  </w:style>
  <w:style w:type="paragraph" w:customStyle="1" w:styleId="37">
    <w:name w:val="正文（用）"/>
    <w:basedOn w:val="1"/>
    <w:next w:val="1"/>
    <w:link w:val="36"/>
    <w:qFormat/>
    <w:uiPriority w:val="0"/>
    <w:pPr>
      <w:spacing w:line="360" w:lineRule="auto"/>
      <w:ind w:firstLine="200" w:firstLineChars="200"/>
    </w:pPr>
    <w:rPr>
      <w:kern w:val="0"/>
      <w:sz w:val="24"/>
      <w:szCs w:val="20"/>
    </w:rPr>
  </w:style>
  <w:style w:type="character" w:customStyle="1" w:styleId="38">
    <w:name w:val="正文1 Char Char"/>
    <w:link w:val="39"/>
    <w:qFormat/>
    <w:uiPriority w:val="0"/>
    <w:rPr>
      <w:rFonts w:cs="宋体"/>
      <w:kern w:val="2"/>
      <w:sz w:val="24"/>
    </w:rPr>
  </w:style>
  <w:style w:type="paragraph" w:customStyle="1" w:styleId="39">
    <w:name w:val="正文1"/>
    <w:basedOn w:val="1"/>
    <w:link w:val="38"/>
    <w:qFormat/>
    <w:uiPriority w:val="0"/>
    <w:pPr>
      <w:spacing w:line="360" w:lineRule="auto"/>
      <w:ind w:firstLine="200" w:firstLineChars="200"/>
    </w:pPr>
    <w:rPr>
      <w:sz w:val="24"/>
      <w:szCs w:val="20"/>
    </w:rPr>
  </w:style>
  <w:style w:type="paragraph" w:customStyle="1" w:styleId="40">
    <w:name w:val=" Char Char Char Char Char Char Char Char Char Char Char Char Char Char Char Char"/>
    <w:basedOn w:val="1"/>
    <w:qFormat/>
    <w:uiPriority w:val="0"/>
  </w:style>
  <w:style w:type="paragraph" w:customStyle="1" w:styleId="41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2">
    <w:name w:val="日期1"/>
    <w:basedOn w:val="1"/>
    <w:next w:val="1"/>
    <w:qFormat/>
    <w:uiPriority w:val="0"/>
    <w:rPr>
      <w:szCs w:val="21"/>
      <w:lang w:eastAsia="ar-SA"/>
    </w:rPr>
  </w:style>
  <w:style w:type="paragraph" w:customStyle="1" w:styleId="43">
    <w:name w:val="_正文格式"/>
    <w:basedOn w:val="1"/>
    <w:qFormat/>
    <w:uiPriority w:val="0"/>
    <w:pPr>
      <w:spacing w:line="500" w:lineRule="exact"/>
      <w:ind w:firstLine="567"/>
      <w:jc w:val="left"/>
    </w:pPr>
    <w:rPr>
      <w:sz w:val="24"/>
    </w:rPr>
  </w:style>
  <w:style w:type="paragraph" w:customStyle="1" w:styleId="44">
    <w:name w:val="文本"/>
    <w:basedOn w:val="1"/>
    <w:qFormat/>
    <w:uiPriority w:val="0"/>
    <w:pPr>
      <w:adjustRightInd w:val="0"/>
      <w:snapToGrid w:val="0"/>
      <w:spacing w:line="360" w:lineRule="auto"/>
      <w:ind w:firstLine="480" w:firstLineChars="200"/>
      <w:jc w:val="left"/>
    </w:pPr>
    <w:rPr>
      <w:sz w:val="24"/>
      <w:szCs w:val="24"/>
    </w:rPr>
  </w:style>
  <w:style w:type="paragraph" w:customStyle="1" w:styleId="45">
    <w:name w:val=" Char Char Char Char Char Char Char"/>
    <w:basedOn w:val="1"/>
    <w:qFormat/>
    <w:uiPriority w:val="0"/>
    <w:pPr>
      <w:widowControl/>
      <w:jc w:val="left"/>
    </w:pPr>
    <w:rPr>
      <w:rFonts w:ascii="Tahoma" w:hAnsi="Tahoma" w:cs="仿宋_GB2312"/>
      <w:kern w:val="0"/>
      <w:sz w:val="24"/>
      <w:szCs w:val="20"/>
    </w:rPr>
  </w:style>
  <w:style w:type="paragraph" w:customStyle="1" w:styleId="46">
    <w:name w:val="Char Char Char Char Char"/>
    <w:basedOn w:val="1"/>
    <w:qFormat/>
    <w:uiPriority w:val="0"/>
    <w:pPr>
      <w:snapToGrid w:val="0"/>
      <w:spacing w:line="360" w:lineRule="auto"/>
      <w:ind w:firstLine="200" w:firstLineChars="200"/>
    </w:pPr>
  </w:style>
  <w:style w:type="paragraph" w:customStyle="1" w:styleId="47">
    <w:name w:val="报告表正文"/>
    <w:basedOn w:val="1"/>
    <w:uiPriority w:val="0"/>
    <w:pPr>
      <w:adjustRightInd w:val="0"/>
      <w:spacing w:line="312" w:lineRule="auto"/>
      <w:ind w:left="113" w:right="113" w:firstLine="482"/>
      <w:jc w:val="left"/>
    </w:pPr>
    <w:rPr>
      <w:rFonts w:ascii="宋体" w:hAnsi="宋体"/>
      <w:kern w:val="0"/>
      <w:sz w:val="24"/>
      <w:szCs w:val="22"/>
    </w:rPr>
  </w:style>
  <w:style w:type="paragraph" w:customStyle="1" w:styleId="48">
    <w:name w:val="00.正文格式"/>
    <w:basedOn w:val="8"/>
    <w:qFormat/>
    <w:uiPriority w:val="0"/>
    <w:pPr>
      <w:snapToGrid/>
      <w:spacing w:line="360" w:lineRule="auto"/>
      <w:ind w:firstLine="200" w:firstLineChars="200"/>
      <w:jc w:val="both"/>
    </w:pPr>
    <w:rPr>
      <w:rFonts w:ascii="Times New Roman" w:hAnsi="Times New Roman" w:cs="Times New Roman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信念技术论坛</Company>
  <Pages>4</Pages>
  <Words>1832</Words>
  <Characters>1927</Characters>
  <Lines>6</Lines>
  <Paragraphs>1</Paragraphs>
  <TotalTime>2</TotalTime>
  <ScaleCrop>false</ScaleCrop>
  <LinksUpToDate>false</LinksUpToDate>
  <CharactersWithSpaces>1927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2021-03-15T04:24:00Z</dcterms:created>
  <dc:creator>Administrator</dc:creator>
  <cp:lastModifiedBy>admin</cp:lastModifiedBy>
  <dcterms:modified xsi:type="dcterms:W3CDTF">2023-06-26T03:40:56Z</dcterms:modified>
  <dc:title>序号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D2C858FBAE0E4BE6A7C6DC2E7481DD5D</vt:lpwstr>
  </property>
</Properties>
</file>