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w:t>
      </w:r>
      <w:r>
        <w:rPr>
          <w:rFonts w:hint="default" w:ascii="Times New Roman" w:hAnsi="Times New Roman" w:eastAsia="仿宋_GB2312" w:cs="Times New Roman"/>
          <w:snapToGrid w:val="0"/>
          <w:kern w:val="0"/>
          <w:sz w:val="32"/>
          <w:szCs w:val="32"/>
        </w:rPr>
        <w:t>市环审〔202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highlight w:val="none"/>
          <w:lang w:val="en-US" w:eastAsia="zh-CN"/>
        </w:rPr>
        <w:t>9</w:t>
      </w:r>
      <w:r>
        <w:rPr>
          <w:rFonts w:hint="default" w:ascii="Times New Roman" w:hAnsi="Times New Roman" w:eastAsia="仿宋_GB2312" w:cs="Times New Roman"/>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关于第七师胡杨河市生态环境保护应急能力</w:t>
      </w: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建设项目环境影响报告表</w:t>
      </w:r>
      <w:bookmarkStart w:id="0" w:name="_GoBack"/>
      <w:bookmarkEnd w:id="0"/>
      <w:r>
        <w:rPr>
          <w:rFonts w:hint="eastAsia" w:ascii="方正小标宋简体" w:hAnsi="宋体" w:eastAsia="方正小标宋简体"/>
          <w:bCs/>
          <w:snapToGrid w:val="0"/>
          <w:kern w:val="0"/>
          <w:sz w:val="44"/>
          <w:szCs w:val="44"/>
        </w:rPr>
        <w:t>的批复</w:t>
      </w:r>
    </w:p>
    <w:p>
      <w:pPr>
        <w:spacing w:line="560" w:lineRule="exact"/>
        <w:jc w:val="center"/>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新疆生产建设兵团第七师生态环境监测站：</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eastAsia" w:ascii="Times New Roman" w:hAnsi="Times New Roman" w:eastAsia="仿宋_GB2312" w:cs="Times New Roman"/>
          <w:sz w:val="32"/>
          <w:szCs w:val="32"/>
          <w:lang w:eastAsia="zh-CN"/>
        </w:rPr>
        <w:t>〈第七师胡杨河市生态环境保护应急能力建设项目环境影响报告表〉</w:t>
      </w:r>
      <w:r>
        <w:rPr>
          <w:rFonts w:hint="default" w:ascii="Times New Roman" w:hAnsi="Times New Roman" w:eastAsia="仿宋_GB2312" w:cs="Times New Roman"/>
          <w:sz w:val="32"/>
          <w:szCs w:val="32"/>
        </w:rPr>
        <w:t>的请示》收悉。经研究，批复如下：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w:t>
      </w:r>
      <w:r>
        <w:rPr>
          <w:rFonts w:hint="eastAsia" w:eastAsia="仿宋_GB2312" w:cs="Times New Roman"/>
          <w:sz w:val="32"/>
          <w:szCs w:val="32"/>
          <w:lang w:val="en-US" w:eastAsia="zh-CN"/>
        </w:rPr>
        <w:t>第七师</w:t>
      </w:r>
      <w:r>
        <w:rPr>
          <w:rFonts w:hint="default" w:ascii="Times New Roman" w:hAnsi="Times New Roman" w:eastAsia="仿宋_GB2312" w:cs="Times New Roman"/>
          <w:sz w:val="32"/>
          <w:szCs w:val="32"/>
        </w:rPr>
        <w:t>胡杨河市，项目区中心地理坐标为东经84°49'11.716″，北纬44°41'17.321″。</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zh-CN" w:eastAsia="zh-CN"/>
        </w:rPr>
        <w:t>建设</w:t>
      </w:r>
      <w:r>
        <w:rPr>
          <w:rFonts w:hint="eastAsia" w:ascii="Times New Roman" w:hAnsi="Times New Roman" w:eastAsia="仿宋_GB2312" w:cs="Times New Roman"/>
          <w:sz w:val="32"/>
          <w:szCs w:val="32"/>
          <w:lang w:val="en-US" w:eastAsia="zh-CN"/>
        </w:rPr>
        <w:t>一座应急监测站（用于水质和大气应急监测）及配套建设相关附属设施。项目检测内容主要为大气应急检测和水质应急检测，每个指标年样品数量在200至1000个</w:t>
      </w:r>
      <w:r>
        <w:rPr>
          <w:rFonts w:hint="default" w:ascii="Times New Roman" w:hAnsi="Times New Roman" w:eastAsia="仿宋_GB2312" w:cs="Times New Roman"/>
          <w:sz w:val="32"/>
          <w:szCs w:val="32"/>
        </w:rPr>
        <w:t>。项目总投资2350万元，其中环保投资202万元，占总投资的8.6%。</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（一）严格落实大气污染防治措施。有机废气和酸碱废气经“通风橱/集气罩+酸雾净化器+过滤棉+二级活性炭吸附”处理后，由1根15米高的排气筒排放，废气中硫酸雾、氯化氢、非甲烷总烃排放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《大气污染物综合排放标准》（GB16297-1996）中二级标准限值的50%要求，氨排放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《恶臭污染物排放标准》（GB14554-93）表2恶臭污染物排放标准值的50%要求。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在车间顶部设置换气扇，加强车间通风换气；大风天气停止装卸作业，厂区进行绿化。厂界非甲烷总烃无组织排放</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rPr>
        <w:t>《大气污染物综合排放标准》（GB16297-1996）表</w:t>
      </w:r>
      <w:r>
        <w:rPr>
          <w:rFonts w:hint="eastAsia" w:ascii="Times New Roman" w:hAnsi="Times New Roman" w:eastAsia="仿宋_GB2312" w:cs="Times New Roman"/>
          <w:sz w:val="32"/>
          <w:szCs w:val="32"/>
          <w:lang w:val="en-US" w:eastAsia="zh-CN"/>
        </w:rPr>
        <w:t>2新污染源</w:t>
      </w:r>
      <w:r>
        <w:rPr>
          <w:rFonts w:hint="eastAsia" w:ascii="Times New Roman" w:hAnsi="Times New Roman" w:eastAsia="仿宋_GB2312" w:cs="Times New Roman"/>
          <w:sz w:val="32"/>
          <w:szCs w:val="32"/>
        </w:rPr>
        <w:t>大气污染物浓度限值要求</w:t>
      </w:r>
      <w:r>
        <w:rPr>
          <w:rFonts w:hint="eastAsia" w:ascii="Times New Roman" w:hAnsi="Times New Roman" w:eastAsia="仿宋_GB2312" w:cs="Times New Roman"/>
          <w:sz w:val="32"/>
          <w:szCs w:val="32"/>
          <w:lang w:eastAsia="zh-CN"/>
        </w:rPr>
        <w:t>，厂区内挥发性有机物无组织排放</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eastAsia="zh-CN"/>
        </w:rPr>
        <w:t>《挥发性有机物无组织排放控制标准》（GB37822-2019）附录A表A.1厂区内VOCs无组织排放限值</w:t>
      </w:r>
      <w:r>
        <w:rPr>
          <w:rFonts w:hint="eastAsia"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bidi w:val="0"/>
        <w:snapToGrid/>
        <w:spacing w:line="530" w:lineRule="exact"/>
        <w:ind w:left="0" w:leftChars="0"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sz w:val="32"/>
          <w:szCs w:val="32"/>
        </w:rPr>
        <w:t>严格落实水污染防治措施。纯水制备产生的废水、一般器皿清洗废水、酸雾净化装置废水、弃水样和生活污水经厂区污水处理间处理达到《污水综合排放标准》（GB8978-1996）中三级标准及《污水排入城镇下水道水质标准》（GB/T3162-2015）（氨氮和总磷）后，最终进入胡杨河市污水处理厂处理。</w:t>
      </w:r>
      <w:r>
        <w:rPr>
          <w:rFonts w:hint="eastAsia" w:ascii="Times New Roman" w:hAnsi="Times New Roman" w:eastAsia="仿宋_GB2312" w:cs="Times New Roman"/>
          <w:bCs/>
          <w:color w:val="auto"/>
          <w:kern w:val="0"/>
          <w:sz w:val="32"/>
          <w:szCs w:val="32"/>
          <w:highlight w:val="none"/>
          <w:lang w:val="en-US" w:eastAsia="zh-CN" w:bidi="ar-SA"/>
        </w:rPr>
        <w:t>涉及重金属、有机溶剂实验头清洗废水和实验过程废液分类收集后由专用桶盛装后存于危险废物暂存间，作为危险废物定期交有资质的单位处置。</w:t>
      </w:r>
    </w:p>
    <w:p>
      <w:pPr>
        <w:keepNext w:val="0"/>
        <w:keepLines w:val="0"/>
        <w:pageBreakBefore w:val="0"/>
        <w:widowControl w:val="0"/>
        <w:numPr>
          <w:ilvl w:val="0"/>
          <w:numId w:val="2"/>
        </w:numPr>
        <w:kinsoku/>
        <w:wordWrap/>
        <w:overflowPunct/>
        <w:topLinePunct w:val="0"/>
        <w:bidi w:val="0"/>
        <w:snapToGrid/>
        <w:spacing w:line="530" w:lineRule="exact"/>
        <w:ind w:left="0" w:leftChars="0"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四周噪声排放</w:t>
      </w:r>
      <w:r>
        <w:rPr>
          <w:rFonts w:hint="eastAsia" w:eastAsia="仿宋_GB2312" w:cs="Times New Roman"/>
          <w:bCs/>
          <w:color w:val="auto"/>
          <w:kern w:val="0"/>
          <w:sz w:val="32"/>
          <w:szCs w:val="32"/>
          <w:highlight w:val="none"/>
          <w:lang w:val="en-US" w:eastAsia="zh-CN" w:bidi="ar-SA"/>
        </w:rPr>
        <w:t>执行</w:t>
      </w:r>
      <w:r>
        <w:rPr>
          <w:rFonts w:hint="default" w:ascii="Times New Roman" w:hAnsi="Times New Roman" w:eastAsia="仿宋_GB2312" w:cs="Times New Roman"/>
          <w:bCs/>
          <w:color w:val="auto"/>
          <w:kern w:val="0"/>
          <w:sz w:val="32"/>
          <w:szCs w:val="32"/>
          <w:highlight w:val="none"/>
          <w:lang w:val="en-US" w:eastAsia="zh-CN" w:bidi="ar-SA"/>
        </w:rPr>
        <w:t>《工业企业厂界环境噪声排放标准》（GB12348-2008）中2类标准要求。</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四</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w:t>
      </w:r>
      <w:r>
        <w:rPr>
          <w:rFonts w:hint="eastAsia" w:ascii="仿宋_GB2312" w:hAnsi="仿宋_GB2312" w:eastAsia="仿宋_GB2312" w:cs="仿宋_GB2312"/>
          <w:sz w:val="32"/>
          <w:szCs w:val="32"/>
          <w:lang w:val="en-US" w:eastAsia="zh-CN"/>
        </w:rPr>
        <w:t>废外包装材料收集后暂存于一般固体废物暂存间后，定期外售；纯水机滤芯和污水处理间污泥集中收集后由环卫部门统一清运</w:t>
      </w:r>
      <w:r>
        <w:rPr>
          <w:rFonts w:hint="eastAsia" w:ascii="Times New Roman" w:hAnsi="Times New Roman" w:eastAsia="仿宋_GB2312" w:cs="Times New Roman"/>
          <w:bCs/>
          <w:color w:val="auto"/>
          <w:kern w:val="0"/>
          <w:sz w:val="32"/>
          <w:szCs w:val="32"/>
          <w:highlight w:val="none"/>
          <w:lang w:val="en-US" w:eastAsia="zh-CN" w:bidi="ar-SA"/>
        </w:rPr>
        <w:t>。废试剂、废样品及废药品，检验废液，废试剂瓶和一次性实验用品及包装材料均分类收集后，暂存于危险废物暂存间中，定期交由有资质单位处置。</w:t>
      </w:r>
      <w:r>
        <w:rPr>
          <w:rFonts w:hint="default" w:ascii="Times New Roman" w:hAnsi="Times New Roman" w:eastAsia="仿宋_GB2312" w:cs="Times New Roman"/>
          <w:bCs/>
          <w:color w:val="auto"/>
          <w:kern w:val="0"/>
          <w:sz w:val="32"/>
          <w:szCs w:val="32"/>
          <w:highlight w:val="none"/>
          <w:lang w:val="en-US" w:eastAsia="zh-CN" w:bidi="ar-SA"/>
        </w:rPr>
        <w:t>危险废物收集、运输须按照《危险废物收集 贮存 运输技术规范》（HJ2025-2012）和《危险废物转移管理办法》要求进行。生活垃圾厂内集中收集后，定期由环卫部门统一清运至第七师胡杨河市垃圾处理厂</w:t>
      </w:r>
      <w:r>
        <w:rPr>
          <w:rFonts w:hint="eastAsia"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（六）加强施工期环境保护管理工作，防止施工废水、扬尘、噪声污染、水土流失和生态破坏。</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20"/>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eastAsia" w:asci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kern w:val="2"/>
          <w:sz w:val="32"/>
          <w:szCs w:val="32"/>
        </w:rPr>
        <w:t>六、</w:t>
      </w:r>
      <w:r>
        <w:rPr>
          <w:rFonts w:hint="default" w:ascii="Times New Roman" w:hAnsi="Times New Roman" w:eastAsia="仿宋_GB2312" w:cs="Times New Roman"/>
          <w:bCs/>
          <w:sz w:val="32"/>
          <w:szCs w:val="32"/>
        </w:rPr>
        <w:t>我局委托师市生态环境保护综合行政执法支队组织开展该项目的“三同时”监督检查和日常监督管理工作。</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4160" w:firstLineChars="13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530" w:lineRule="exact"/>
        <w:ind w:firstLine="4800" w:firstLineChars="15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18</w:t>
      </w:r>
      <w:r>
        <w:rPr>
          <w:rFonts w:hint="default" w:ascii="Times New Roman" w:hAnsi="Times New Roman" w:eastAsia="仿宋_GB2312" w:cs="Times New Roman"/>
          <w:bCs/>
          <w:sz w:val="32"/>
          <w:szCs w:val="32"/>
          <w:highlight w:val="none"/>
        </w:rPr>
        <w:t>日</w:t>
      </w:r>
    </w:p>
    <w:p>
      <w:pPr>
        <w:spacing w:line="440" w:lineRule="exact"/>
        <w:rPr>
          <w:rFonts w:hint="eastAsia" w:ascii="仿宋_GB2312" w:eastAsia="仿宋_GB2312"/>
          <w:snapToGrid w:val="0"/>
          <w:kern w:val="0"/>
          <w:szCs w:val="32"/>
          <w:highlight w:val="none"/>
        </w:rPr>
      </w:pPr>
    </w:p>
    <w:p>
      <w:pPr>
        <w:pStyle w:val="2"/>
        <w:numPr>
          <w:numId w:val="0"/>
        </w:numPr>
        <w:ind w:leftChars="0"/>
        <w:rPr>
          <w:rFonts w:hint="eastAsia"/>
        </w:rPr>
      </w:pPr>
    </w:p>
    <w:p>
      <w:pPr>
        <w:pStyle w:val="2"/>
        <w:numPr>
          <w:numId w:val="0"/>
        </w:numPr>
        <w:ind w:left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40640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2pt;height:0pt;width:464.65pt;z-index:251659264;mso-width-relative:page;mso-height-relative:page;" filled="f" stroked="t" coordsize="21600,21600" o:gfxdata="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IuO50wAAAAcBAAAPAAAAAAAAAAEAIAAAACIAAABkcnMvZG93bnJldi54bWxQSwEC&#10;FAAUAAAACACHTuJAcVZKSPkBAADxAwAADgAAAAAAAAABACAAAAAiAQAAZHJzL2Uyb0RvYy54bWxQ&#10;SwUGAAAAAAYABgBZAQAAjQU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抄送：师市生态环境保护综合行政执法支队。</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 xml:space="preserve">兵团第七师胡杨河市生态环境局           </w:t>
      </w:r>
      <w:r>
        <w:rPr>
          <w:rFonts w:hint="eastAsia" w:ascii="仿宋_GB2312" w:hAnsi="华文仿宋" w:eastAsia="仿宋_GB2312" w:cs="仿宋_GB2312"/>
          <w:sz w:val="28"/>
          <w:szCs w:val="28"/>
          <w:highlight w:val="none"/>
          <w:lang w:val="en-US" w:eastAsia="zh-CN"/>
        </w:rPr>
        <w:t xml:space="preserve">   </w:t>
      </w:r>
      <w:r>
        <w:rPr>
          <w:rFonts w:hint="eastAsia" w:ascii="仿宋_GB2312" w:hAnsi="华文仿宋" w:eastAsia="仿宋_GB2312" w:cs="仿宋_GB2312"/>
          <w:sz w:val="28"/>
          <w:szCs w:val="28"/>
          <w:highlight w:val="none"/>
        </w:rPr>
        <w:t xml:space="preserve"> 202</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5</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18</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4B01E"/>
    <w:multiLevelType w:val="singleLevel"/>
    <w:tmpl w:val="0234B01E"/>
    <w:lvl w:ilvl="0" w:tentative="0">
      <w:start w:val="2"/>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D083900"/>
    <w:rsid w:val="0D0850F4"/>
    <w:rsid w:val="0D0857D3"/>
    <w:rsid w:val="0D1D0A27"/>
    <w:rsid w:val="0D6F614B"/>
    <w:rsid w:val="0E82541D"/>
    <w:rsid w:val="0EAE2D6B"/>
    <w:rsid w:val="0F9D2257"/>
    <w:rsid w:val="10694FCD"/>
    <w:rsid w:val="10D51AC3"/>
    <w:rsid w:val="10F7065C"/>
    <w:rsid w:val="11176767"/>
    <w:rsid w:val="11257993"/>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8A8605B"/>
    <w:rsid w:val="39011657"/>
    <w:rsid w:val="391E278A"/>
    <w:rsid w:val="395B7D07"/>
    <w:rsid w:val="39E82FD1"/>
    <w:rsid w:val="3ACD20A4"/>
    <w:rsid w:val="3B2D4B6E"/>
    <w:rsid w:val="3B3F320C"/>
    <w:rsid w:val="3C3E7B4A"/>
    <w:rsid w:val="3CAD164C"/>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755C8B"/>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85173"/>
    <w:rsid w:val="715B6DC4"/>
    <w:rsid w:val="71DE0D44"/>
    <w:rsid w:val="71EB593E"/>
    <w:rsid w:val="731256D6"/>
    <w:rsid w:val="73451021"/>
    <w:rsid w:val="735262F3"/>
    <w:rsid w:val="74225AD5"/>
    <w:rsid w:val="742D744A"/>
    <w:rsid w:val="748627F8"/>
    <w:rsid w:val="74D70B60"/>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2F7150"/>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6"/>
    <w:qFormat/>
    <w:uiPriority w:val="0"/>
    <w:rPr>
      <w:rFonts w:eastAsia="华文中宋"/>
      <w:b/>
      <w:bCs/>
      <w:w w:val="90"/>
      <w:sz w:val="44"/>
    </w:rPr>
  </w:style>
  <w:style w:type="paragraph" w:styleId="6">
    <w:name w:val="Body Text 2"/>
    <w:basedOn w:val="1"/>
    <w:unhideWhenUsed/>
    <w:qFormat/>
    <w:uiPriority w:val="99"/>
    <w:pPr>
      <w:spacing w:after="120" w:line="480" w:lineRule="auto"/>
    </w:pPr>
  </w:style>
  <w:style w:type="paragraph" w:styleId="7">
    <w:name w:val="Body Text Indent"/>
    <w:basedOn w:val="1"/>
    <w:next w:val="8"/>
    <w:link w:val="23"/>
    <w:qFormat/>
    <w:uiPriority w:val="0"/>
    <w:pPr>
      <w:ind w:firstLine="752" w:firstLineChars="235"/>
    </w:pPr>
    <w:rPr>
      <w:sz w:val="32"/>
    </w:rPr>
  </w:style>
  <w:style w:type="paragraph" w:styleId="8">
    <w:name w:val="Body Text First Indent 2"/>
    <w:basedOn w:val="7"/>
    <w:next w:val="9"/>
    <w:qFormat/>
    <w:uiPriority w:val="0"/>
    <w:pPr>
      <w:ind w:firstLine="420" w:firstLineChars="200"/>
    </w:pPr>
    <w:rPr>
      <w:b/>
      <w:kern w:val="44"/>
      <w:sz w:val="44"/>
    </w:rPr>
  </w:style>
  <w:style w:type="paragraph" w:styleId="9">
    <w:name w:val="Body Text First Indent"/>
    <w:basedOn w:val="5"/>
    <w:next w:val="8"/>
    <w:qFormat/>
    <w:uiPriority w:val="0"/>
    <w:pPr>
      <w:spacing w:line="360" w:lineRule="auto"/>
      <w:ind w:firstLine="496" w:firstLineChars="200"/>
    </w:pPr>
    <w:rPr>
      <w:rFonts w:hAnsi="宋体"/>
      <w:spacing w:val="4"/>
      <w:kern w:val="24"/>
      <w:sz w:val="24"/>
    </w:rPr>
  </w:style>
  <w:style w:type="paragraph" w:styleId="10">
    <w:name w:val="Body Text Indent 2"/>
    <w:basedOn w:val="1"/>
    <w:qFormat/>
    <w:uiPriority w:val="0"/>
    <w:pPr>
      <w:spacing w:after="120" w:line="480" w:lineRule="auto"/>
      <w:ind w:left="420" w:leftChars="200"/>
    </w:p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qFormat/>
    <w:uiPriority w:val="0"/>
    <w:pPr>
      <w:ind w:left="200" w:hanging="200" w:hangingChars="200"/>
    </w:pPr>
  </w:style>
  <w:style w:type="paragraph" w:styleId="14">
    <w:name w:val="Normal (Web)"/>
    <w:basedOn w:val="1"/>
    <w:semiHidden/>
    <w:unhideWhenUsed/>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正文文本缩进 字符"/>
    <w:basedOn w:val="17"/>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1810</Words>
  <Characters>1955</Characters>
  <Lines>16</Lines>
  <Paragraphs>4</Paragraphs>
  <TotalTime>11</TotalTime>
  <ScaleCrop>false</ScaleCrop>
  <LinksUpToDate>false</LinksUpToDate>
  <CharactersWithSpaces>2005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2023-05-18T04:30:05Z</cp:lastPrinted>
  <dcterms:modified xsi:type="dcterms:W3CDTF">2023-05-18T06:27:53Z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87CCC0DCF3B742D0B370AB95A98EB28E</vt:lpwstr>
  </property>
</Properties>
</file>