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46"/>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3"/>
        <w:rPr>
          <w:rFonts w:hint="default"/>
          <w:color w:val="000000" w:themeColor="text1"/>
          <w:sz w:val="72"/>
          <w:szCs w:val="72"/>
          <w14:textFill>
            <w14:solidFill>
              <w14:schemeClr w14:val="tx1"/>
            </w14:solidFill>
          </w14:textFill>
        </w:rPr>
      </w:pPr>
      <w:r>
        <w:rPr>
          <w:rFonts w:hint="default"/>
          <w:color w:val="000000" w:themeColor="text1"/>
          <w:sz w:val="72"/>
          <w:szCs w:val="72"/>
          <w14:textFill>
            <w14:solidFill>
              <w14:schemeClr w14:val="tx1"/>
            </w14:solidFill>
          </w14:textFill>
        </w:rPr>
        <w:t>建设项目环境影响报告表</w:t>
      </w:r>
    </w:p>
    <w:p>
      <w:pPr>
        <w:ind w:firstLine="0" w:firstLineChars="0"/>
        <w:jc w:val="center"/>
        <w:rPr>
          <w:b/>
          <w:bCs/>
          <w:color w:val="000000" w:themeColor="text1"/>
          <w:sz w:val="48"/>
          <w:szCs w:val="48"/>
          <w14:textFill>
            <w14:solidFill>
              <w14:schemeClr w14:val="tx1"/>
            </w14:solidFill>
          </w14:textFill>
        </w:rPr>
      </w:pPr>
      <w:r>
        <w:rPr>
          <w:b/>
          <w:bCs/>
          <w:color w:val="000000" w:themeColor="text1"/>
          <w:sz w:val="48"/>
          <w:szCs w:val="48"/>
          <w14:textFill>
            <w14:solidFill>
              <w14:schemeClr w14:val="tx1"/>
            </w14:solidFill>
          </w14:textFill>
        </w:rPr>
        <w:t xml:space="preserve">（污染影响类） </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rPr>
          <w:color w:val="000000" w:themeColor="text1"/>
          <w:sz w:val="36"/>
          <w:szCs w:val="36"/>
          <w:u w:val="single"/>
          <w14:textFill>
            <w14:solidFill>
              <w14:schemeClr w14:val="tx1"/>
            </w14:solidFill>
          </w14:textFill>
        </w:rPr>
      </w:pPr>
    </w:p>
    <w:p>
      <w:pPr>
        <w:ind w:left="2880" w:leftChars="300" w:hanging="2160" w:hangingChars="60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项目名称：</w:t>
      </w:r>
      <w:r>
        <w:rPr>
          <w:color w:val="000000" w:themeColor="text1"/>
          <w:spacing w:val="-17"/>
          <w:sz w:val="36"/>
          <w:szCs w:val="36"/>
          <w:u w:val="single"/>
          <w14:textFill>
            <w14:solidFill>
              <w14:schemeClr w14:val="tx1"/>
            </w14:solidFill>
          </w14:textFill>
        </w:rPr>
        <w:t xml:space="preserve">克拉玛依西建建材有限责任公司新建混凝土生产线项目 </w:t>
      </w:r>
      <w:r>
        <w:rPr>
          <w:color w:val="000000" w:themeColor="text1"/>
          <w:sz w:val="36"/>
          <w:szCs w:val="36"/>
          <w:u w:val="single"/>
          <w14:textFill>
            <w14:solidFill>
              <w14:schemeClr w14:val="tx1"/>
            </w14:solidFill>
          </w14:textFill>
        </w:rPr>
        <w:t xml:space="preserve">                              </w:t>
      </w:r>
    </w:p>
    <w:p>
      <w:pPr>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建设单位（盖章）：</w:t>
      </w:r>
      <w:r>
        <w:rPr>
          <w:color w:val="000000" w:themeColor="text1"/>
          <w:spacing w:val="-17"/>
          <w:sz w:val="36"/>
          <w:szCs w:val="36"/>
          <w:u w:val="single"/>
          <w14:textFill>
            <w14:solidFill>
              <w14:schemeClr w14:val="tx1"/>
            </w14:solidFill>
          </w14:textFill>
        </w:rPr>
        <w:t>克拉玛依西建建材有限责任公司</w:t>
      </w:r>
      <w:r>
        <w:rPr>
          <w:color w:val="000000" w:themeColor="text1"/>
          <w:sz w:val="36"/>
          <w:szCs w:val="36"/>
          <w:u w:val="single"/>
          <w14:textFill>
            <w14:solidFill>
              <w14:schemeClr w14:val="tx1"/>
            </w14:solidFill>
          </w14:textFill>
        </w:rPr>
        <w:t xml:space="preserve">                         </w:t>
      </w:r>
    </w:p>
    <w:p>
      <w:pPr>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编制日期：</w:t>
      </w:r>
      <w:r>
        <w:rPr>
          <w:color w:val="000000" w:themeColor="text1"/>
          <w:sz w:val="36"/>
          <w:szCs w:val="36"/>
          <w:u w:val="single"/>
          <w14:textFill>
            <w14:solidFill>
              <w14:schemeClr w14:val="tx1"/>
            </w14:solidFill>
          </w14:textFill>
        </w:rPr>
        <w:t xml:space="preserve">           2023年</w:t>
      </w:r>
      <w:r>
        <w:rPr>
          <w:rFonts w:hint="eastAsia"/>
          <w:color w:val="000000" w:themeColor="text1"/>
          <w:sz w:val="36"/>
          <w:szCs w:val="36"/>
          <w:u w:val="single"/>
          <w:lang w:val="en-US" w:eastAsia="zh-CN"/>
          <w14:textFill>
            <w14:solidFill>
              <w14:schemeClr w14:val="tx1"/>
            </w14:solidFill>
          </w14:textFill>
        </w:rPr>
        <w:t>3</w:t>
      </w:r>
      <w:r>
        <w:rPr>
          <w:color w:val="000000" w:themeColor="text1"/>
          <w:sz w:val="36"/>
          <w:szCs w:val="36"/>
          <w:u w:val="single"/>
          <w14:textFill>
            <w14:solidFill>
              <w14:schemeClr w14:val="tx1"/>
            </w14:solidFill>
          </w14:textFill>
        </w:rPr>
        <w:t xml:space="preserve">月              </w:t>
      </w:r>
    </w:p>
    <w:p>
      <w:pPr>
        <w:ind w:firstLine="480"/>
        <w:rPr>
          <w:color w:val="000000" w:themeColor="text1"/>
          <w14:textFill>
            <w14:solidFill>
              <w14:schemeClr w14:val="tx1"/>
            </w14:solidFill>
          </w14:textFill>
        </w:rPr>
      </w:pPr>
      <w:bookmarkStart w:id="0" w:name="_Hlk57884087"/>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bookmarkEnd w:id="0"/>
    <w:p>
      <w:pPr>
        <w:ind w:firstLine="0" w:firstLineChars="0"/>
        <w:jc w:val="center"/>
        <w:rPr>
          <w:color w:val="000000" w:themeColor="text1"/>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9744" behindDoc="0" locked="0" layoutInCell="1" allowOverlap="1">
            <wp:simplePos x="0" y="0"/>
            <wp:positionH relativeFrom="column">
              <wp:posOffset>-457200</wp:posOffset>
            </wp:positionH>
            <wp:positionV relativeFrom="paragraph">
              <wp:posOffset>31750</wp:posOffset>
            </wp:positionV>
            <wp:extent cx="6626225" cy="8566785"/>
            <wp:effectExtent l="0" t="0" r="3175" b="5715"/>
            <wp:wrapNone/>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0"/>
                    <a:stretch>
                      <a:fillRect/>
                    </a:stretch>
                  </pic:blipFill>
                  <pic:spPr>
                    <a:xfrm>
                      <a:off x="0" y="0"/>
                      <a:ext cx="6626225" cy="8566785"/>
                    </a:xfrm>
                    <a:prstGeom prst="rect">
                      <a:avLst/>
                    </a:prstGeom>
                    <a:noFill/>
                    <a:ln>
                      <a:noFill/>
                    </a:ln>
                  </pic:spPr>
                </pic:pic>
              </a:graphicData>
            </a:graphic>
          </wp:anchor>
        </w:drawing>
      </w:r>
      <w:r>
        <w:rPr>
          <w:color w:val="000000" w:themeColor="text1"/>
          <w14:textFill>
            <w14:solidFill>
              <w14:schemeClr w14:val="tx1"/>
            </w14:solidFill>
          </w14:textFill>
        </w:rPr>
        <w:br w:type="page"/>
      </w:r>
    </w:p>
    <w:tbl>
      <w:tblPr>
        <w:tblStyle w:val="30"/>
        <w:tblW w:w="0" w:type="auto"/>
        <w:jc w:val="center"/>
        <w:tblLayout w:type="fixed"/>
        <w:tblCellMar>
          <w:top w:w="0" w:type="dxa"/>
          <w:left w:w="108" w:type="dxa"/>
          <w:bottom w:w="0" w:type="dxa"/>
          <w:right w:w="108" w:type="dxa"/>
        </w:tblCellMar>
      </w:tblPr>
      <w:tblGrid>
        <w:gridCol w:w="4483"/>
        <w:gridCol w:w="4087"/>
      </w:tblGrid>
      <w:tr>
        <w:tblPrEx>
          <w:tblCellMar>
            <w:top w:w="0" w:type="dxa"/>
            <w:left w:w="108" w:type="dxa"/>
            <w:bottom w:w="0" w:type="dxa"/>
            <w:right w:w="108" w:type="dxa"/>
          </w:tblCellMar>
        </w:tblPrEx>
        <w:trPr>
          <w:trHeight w:val="23" w:hRule="atLeast"/>
          <w:jc w:val="center"/>
        </w:trPr>
        <w:tc>
          <w:tcPr>
            <w:tcW w:w="4483"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
                <w:color w:val="000000" w:themeColor="text1"/>
                <w:szCs w:val="24"/>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drawing>
                <wp:inline distT="0" distB="0" distL="114300" distR="114300">
                  <wp:extent cx="2712085" cy="2082165"/>
                  <wp:effectExtent l="0" t="0" r="12065" b="13335"/>
                  <wp:docPr id="35" name="图片 35" descr="微信图片_20220818122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08181228381"/>
                          <pic:cNvPicPr>
                            <a:picLocks noChangeAspect="1"/>
                          </pic:cNvPicPr>
                        </pic:nvPicPr>
                        <pic:blipFill>
                          <a:blip r:embed="rId11"/>
                          <a:srcRect l="46973" b="60629"/>
                          <a:stretch>
                            <a:fillRect/>
                          </a:stretch>
                        </pic:blipFill>
                        <pic:spPr>
                          <a:xfrm>
                            <a:off x="0" y="0"/>
                            <a:ext cx="2712085" cy="2082165"/>
                          </a:xfrm>
                          <a:prstGeom prst="rect">
                            <a:avLst/>
                          </a:prstGeom>
                        </pic:spPr>
                      </pic:pic>
                    </a:graphicData>
                  </a:graphic>
                </wp:inline>
              </w:drawing>
            </w:r>
          </w:p>
        </w:tc>
        <w:tc>
          <w:tcPr>
            <w:tcW w:w="408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
                <w:color w:val="000000" w:themeColor="text1"/>
                <w:szCs w:val="24"/>
                <w14:textFill>
                  <w14:solidFill>
                    <w14:schemeClr w14:val="tx1"/>
                  </w14:solidFill>
                </w14:textFill>
              </w:rPr>
            </w:pPr>
            <w:r>
              <w:rPr>
                <w:b/>
                <w:color w:val="000000" w:themeColor="text1"/>
                <w:szCs w:val="24"/>
                <w14:textFill>
                  <w14:solidFill>
                    <w14:schemeClr w14:val="tx1"/>
                  </w14:solidFill>
                </w14:textFill>
              </w:rPr>
              <w:drawing>
                <wp:inline distT="0" distB="0" distL="114300" distR="114300">
                  <wp:extent cx="2500630" cy="2067560"/>
                  <wp:effectExtent l="0" t="0" r="13970" b="8890"/>
                  <wp:docPr id="37" name="图片 37" descr="微信图片_20220818122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8181228384"/>
                          <pic:cNvPicPr>
                            <a:picLocks noChangeAspect="1"/>
                          </pic:cNvPicPr>
                        </pic:nvPicPr>
                        <pic:blipFill>
                          <a:blip r:embed="rId12"/>
                          <a:stretch>
                            <a:fillRect/>
                          </a:stretch>
                        </pic:blipFill>
                        <pic:spPr>
                          <a:xfrm>
                            <a:off x="0" y="0"/>
                            <a:ext cx="2500630" cy="2067560"/>
                          </a:xfrm>
                          <a:prstGeom prst="rect">
                            <a:avLst/>
                          </a:prstGeom>
                        </pic:spPr>
                      </pic:pic>
                    </a:graphicData>
                  </a:graphic>
                </wp:inline>
              </w:drawing>
            </w:r>
          </w:p>
        </w:tc>
      </w:tr>
      <w:tr>
        <w:tblPrEx>
          <w:tblCellMar>
            <w:top w:w="0" w:type="dxa"/>
            <w:left w:w="108" w:type="dxa"/>
            <w:bottom w:w="0" w:type="dxa"/>
            <w:right w:w="108" w:type="dxa"/>
          </w:tblCellMar>
        </w:tblPrEx>
        <w:trPr>
          <w:trHeight w:val="23" w:hRule="atLeast"/>
          <w:jc w:val="center"/>
        </w:trPr>
        <w:tc>
          <w:tcPr>
            <w:tcW w:w="4483"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exact"/>
              <w:ind w:left="48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项目所在区域</w:t>
            </w:r>
            <w:r>
              <w:rPr>
                <w:rFonts w:hint="eastAsia"/>
                <w:bCs/>
                <w:color w:val="000000" w:themeColor="text1"/>
                <w:szCs w:val="24"/>
                <w14:textFill>
                  <w14:solidFill>
                    <w14:schemeClr w14:val="tx1"/>
                  </w14:solidFill>
                </w14:textFill>
              </w:rPr>
              <w:t>东</w:t>
            </w:r>
            <w:r>
              <w:rPr>
                <w:bCs/>
                <w:color w:val="000000" w:themeColor="text1"/>
                <w:szCs w:val="24"/>
                <w14:textFill>
                  <w14:solidFill>
                    <w14:schemeClr w14:val="tx1"/>
                  </w14:solidFill>
                </w14:textFill>
              </w:rPr>
              <w:t>侧</w:t>
            </w:r>
          </w:p>
          <w:p>
            <w:pPr>
              <w:pStyle w:val="13"/>
              <w:adjustRightInd w:val="0"/>
              <w:snapToGrid w:val="0"/>
              <w:spacing w:line="240" w:lineRule="exact"/>
              <w:ind w:left="48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（新疆绿源新型建材有限公司）</w:t>
            </w:r>
          </w:p>
        </w:tc>
        <w:tc>
          <w:tcPr>
            <w:tcW w:w="408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exact"/>
              <w:ind w:left="48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项目所在区域</w:t>
            </w:r>
            <w:r>
              <w:rPr>
                <w:rFonts w:hint="eastAsia"/>
                <w:bCs/>
                <w:color w:val="000000" w:themeColor="text1"/>
                <w:szCs w:val="24"/>
                <w14:textFill>
                  <w14:solidFill>
                    <w14:schemeClr w14:val="tx1"/>
                  </w14:solidFill>
                </w14:textFill>
              </w:rPr>
              <w:t>南侧</w:t>
            </w:r>
            <w:r>
              <w:rPr>
                <w:bCs/>
                <w:color w:val="000000" w:themeColor="text1"/>
                <w:szCs w:val="24"/>
                <w14:textFill>
                  <w14:solidFill>
                    <w14:schemeClr w14:val="tx1"/>
                  </w14:solidFill>
                </w14:textFill>
              </w:rPr>
              <w:t>（</w:t>
            </w:r>
            <w:r>
              <w:rPr>
                <w:rFonts w:hint="eastAsia"/>
                <w:bCs/>
                <w:color w:val="000000" w:themeColor="text1"/>
                <w:szCs w:val="24"/>
                <w14:textFill>
                  <w14:solidFill>
                    <w14:schemeClr w14:val="tx1"/>
                  </w14:solidFill>
                </w14:textFill>
              </w:rPr>
              <w:t>空地</w:t>
            </w:r>
            <w:r>
              <w:rPr>
                <w:bCs/>
                <w:color w:val="000000" w:themeColor="text1"/>
                <w:szCs w:val="24"/>
                <w14:textFill>
                  <w14:solidFill>
                    <w14:schemeClr w14:val="tx1"/>
                  </w14:solidFill>
                </w14:textFill>
              </w:rPr>
              <w:t>）</w:t>
            </w:r>
          </w:p>
        </w:tc>
      </w:tr>
      <w:tr>
        <w:tblPrEx>
          <w:tblCellMar>
            <w:top w:w="0" w:type="dxa"/>
            <w:left w:w="108" w:type="dxa"/>
            <w:bottom w:w="0" w:type="dxa"/>
            <w:right w:w="108" w:type="dxa"/>
          </w:tblCellMar>
        </w:tblPrEx>
        <w:trPr>
          <w:trHeight w:val="23" w:hRule="atLeast"/>
          <w:jc w:val="center"/>
        </w:trPr>
        <w:tc>
          <w:tcPr>
            <w:tcW w:w="4483"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drawing>
                <wp:inline distT="0" distB="0" distL="114300" distR="114300">
                  <wp:extent cx="2711450" cy="2143760"/>
                  <wp:effectExtent l="0" t="0" r="12700" b="8890"/>
                  <wp:docPr id="40" name="图片 40" descr="460b33a9ec63743267de5de4a33cd7f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60b33a9ec63743267de5de4a33cd7fe_"/>
                          <pic:cNvPicPr>
                            <a:picLocks noChangeAspect="1"/>
                          </pic:cNvPicPr>
                        </pic:nvPicPr>
                        <pic:blipFill>
                          <a:blip r:embed="rId13"/>
                          <a:stretch>
                            <a:fillRect/>
                          </a:stretch>
                        </pic:blipFill>
                        <pic:spPr>
                          <a:xfrm>
                            <a:off x="0" y="0"/>
                            <a:ext cx="2711450" cy="2143760"/>
                          </a:xfrm>
                          <a:prstGeom prst="rect">
                            <a:avLst/>
                          </a:prstGeom>
                        </pic:spPr>
                      </pic:pic>
                    </a:graphicData>
                  </a:graphic>
                </wp:inline>
              </w:drawing>
            </w:r>
          </w:p>
        </w:tc>
        <w:tc>
          <w:tcPr>
            <w:tcW w:w="408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drawing>
                <wp:inline distT="0" distB="0" distL="114300" distR="114300">
                  <wp:extent cx="2466975" cy="2138045"/>
                  <wp:effectExtent l="0" t="0" r="9525" b="14605"/>
                  <wp:docPr id="46" name="图片 46" descr="00eeafba5ca9cb4caa97c5f279a4ab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0eeafba5ca9cb4caa97c5f279a4ab46_"/>
                          <pic:cNvPicPr>
                            <a:picLocks noChangeAspect="1"/>
                          </pic:cNvPicPr>
                        </pic:nvPicPr>
                        <pic:blipFill>
                          <a:blip r:embed="rId14"/>
                          <a:stretch>
                            <a:fillRect/>
                          </a:stretch>
                        </pic:blipFill>
                        <pic:spPr>
                          <a:xfrm>
                            <a:off x="0" y="0"/>
                            <a:ext cx="2466975" cy="2138045"/>
                          </a:xfrm>
                          <a:prstGeom prst="rect">
                            <a:avLst/>
                          </a:prstGeom>
                        </pic:spPr>
                      </pic:pic>
                    </a:graphicData>
                  </a:graphic>
                </wp:inline>
              </w:drawing>
            </w:r>
          </w:p>
        </w:tc>
      </w:tr>
      <w:tr>
        <w:tblPrEx>
          <w:tblCellMar>
            <w:top w:w="0" w:type="dxa"/>
            <w:left w:w="108" w:type="dxa"/>
            <w:bottom w:w="0" w:type="dxa"/>
            <w:right w:w="108" w:type="dxa"/>
          </w:tblCellMar>
        </w:tblPrEx>
        <w:trPr>
          <w:trHeight w:val="23" w:hRule="atLeast"/>
          <w:jc w:val="center"/>
        </w:trPr>
        <w:tc>
          <w:tcPr>
            <w:tcW w:w="4483"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48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项目所在区域</w:t>
            </w:r>
            <w:r>
              <w:rPr>
                <w:rFonts w:hint="eastAsia"/>
                <w:bCs/>
                <w:color w:val="000000" w:themeColor="text1"/>
                <w:szCs w:val="24"/>
                <w14:textFill>
                  <w14:solidFill>
                    <w14:schemeClr w14:val="tx1"/>
                  </w14:solidFill>
                </w14:textFill>
              </w:rPr>
              <w:t>西侧</w:t>
            </w:r>
            <w:r>
              <w:rPr>
                <w:bCs/>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西环路</w:t>
            </w:r>
            <w:r>
              <w:rPr>
                <w:bCs/>
                <w:color w:val="000000" w:themeColor="text1"/>
                <w:szCs w:val="24"/>
                <w14:textFill>
                  <w14:solidFill>
                    <w14:schemeClr w14:val="tx1"/>
                  </w14:solidFill>
                </w14:textFill>
              </w:rPr>
              <w:t>）</w:t>
            </w:r>
          </w:p>
        </w:tc>
        <w:tc>
          <w:tcPr>
            <w:tcW w:w="408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48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项目所在区域</w:t>
            </w:r>
            <w:r>
              <w:rPr>
                <w:rFonts w:hint="eastAsia"/>
                <w:bCs/>
                <w:color w:val="000000" w:themeColor="text1"/>
                <w:szCs w:val="24"/>
                <w14:textFill>
                  <w14:solidFill>
                    <w14:schemeClr w14:val="tx1"/>
                  </w14:solidFill>
                </w14:textFill>
              </w:rPr>
              <w:t>北侧</w:t>
            </w:r>
            <w:r>
              <w:rPr>
                <w:bCs/>
                <w:color w:val="000000" w:themeColor="text1"/>
                <w:szCs w:val="24"/>
                <w14:textFill>
                  <w14:solidFill>
                    <w14:schemeClr w14:val="tx1"/>
                  </w14:solidFill>
                </w14:textFill>
              </w:rPr>
              <w:t>（</w:t>
            </w:r>
            <w:r>
              <w:rPr>
                <w:color w:val="000000" w:themeColor="text1"/>
                <w:szCs w:val="24"/>
                <w14:textFill>
                  <w14:solidFill>
                    <w14:schemeClr w14:val="tx1"/>
                  </w14:solidFill>
                </w14:textFill>
              </w:rPr>
              <w:t>柳沟西路</w:t>
            </w:r>
            <w:r>
              <w:rPr>
                <w:bCs/>
                <w:color w:val="000000" w:themeColor="text1"/>
                <w:szCs w:val="24"/>
                <w14:textFill>
                  <w14:solidFill>
                    <w14:schemeClr w14:val="tx1"/>
                  </w14:solidFill>
                </w14:textFill>
              </w:rPr>
              <w:t>）</w:t>
            </w:r>
          </w:p>
        </w:tc>
      </w:tr>
      <w:tr>
        <w:tblPrEx>
          <w:tblCellMar>
            <w:top w:w="0" w:type="dxa"/>
            <w:left w:w="108" w:type="dxa"/>
            <w:bottom w:w="0" w:type="dxa"/>
            <w:right w:w="108" w:type="dxa"/>
          </w:tblCellMar>
        </w:tblPrEx>
        <w:trPr>
          <w:trHeight w:val="23" w:hRule="atLeast"/>
          <w:jc w:val="center"/>
        </w:trPr>
        <w:tc>
          <w:tcPr>
            <w:tcW w:w="4483"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drawing>
                <wp:inline distT="0" distB="0" distL="114300" distR="114300">
                  <wp:extent cx="2706370" cy="2345690"/>
                  <wp:effectExtent l="0" t="0" r="17780" b="16510"/>
                  <wp:docPr id="47" name="图片 47" descr="微信图片_20220818122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08181228372"/>
                          <pic:cNvPicPr>
                            <a:picLocks noChangeAspect="1"/>
                          </pic:cNvPicPr>
                        </pic:nvPicPr>
                        <pic:blipFill>
                          <a:blip r:embed="rId15"/>
                          <a:srcRect t="30901"/>
                          <a:stretch>
                            <a:fillRect/>
                          </a:stretch>
                        </pic:blipFill>
                        <pic:spPr>
                          <a:xfrm>
                            <a:off x="0" y="0"/>
                            <a:ext cx="2706370" cy="2345690"/>
                          </a:xfrm>
                          <a:prstGeom prst="rect">
                            <a:avLst/>
                          </a:prstGeom>
                        </pic:spPr>
                      </pic:pic>
                    </a:graphicData>
                  </a:graphic>
                </wp:inline>
              </w:drawing>
            </w:r>
          </w:p>
        </w:tc>
        <w:tc>
          <w:tcPr>
            <w:tcW w:w="408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Cs/>
                <w:color w:val="000000" w:themeColor="text1"/>
                <w:szCs w:val="24"/>
                <w14:textFill>
                  <w14:solidFill>
                    <w14:schemeClr w14:val="tx1"/>
                  </w14:solidFill>
                </w14:textFill>
              </w:rPr>
            </w:pPr>
            <w:r>
              <w:rPr>
                <w:b/>
                <w:color w:val="000000" w:themeColor="text1"/>
                <w:szCs w:val="24"/>
                <w14:textFill>
                  <w14:solidFill>
                    <w14:schemeClr w14:val="tx1"/>
                  </w14:solidFill>
                </w14:textFill>
              </w:rPr>
              <w:drawing>
                <wp:inline distT="0" distB="0" distL="114300" distR="114300">
                  <wp:extent cx="2488565" cy="2342515"/>
                  <wp:effectExtent l="0" t="0" r="6985" b="635"/>
                  <wp:docPr id="48" name="图片 48" descr="微信图片_20220818122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208181228382"/>
                          <pic:cNvPicPr>
                            <a:picLocks noChangeAspect="1"/>
                          </pic:cNvPicPr>
                        </pic:nvPicPr>
                        <pic:blipFill>
                          <a:blip r:embed="rId16"/>
                          <a:stretch>
                            <a:fillRect/>
                          </a:stretch>
                        </pic:blipFill>
                        <pic:spPr>
                          <a:xfrm>
                            <a:off x="0" y="0"/>
                            <a:ext cx="2488565" cy="2342515"/>
                          </a:xfrm>
                          <a:prstGeom prst="rect">
                            <a:avLst/>
                          </a:prstGeom>
                        </pic:spPr>
                      </pic:pic>
                    </a:graphicData>
                  </a:graphic>
                </wp:inline>
              </w:drawing>
            </w:r>
          </w:p>
        </w:tc>
      </w:tr>
      <w:tr>
        <w:tblPrEx>
          <w:tblCellMar>
            <w:top w:w="0" w:type="dxa"/>
            <w:left w:w="108" w:type="dxa"/>
            <w:bottom w:w="0" w:type="dxa"/>
            <w:right w:w="108" w:type="dxa"/>
          </w:tblCellMar>
        </w:tblPrEx>
        <w:trPr>
          <w:trHeight w:val="23" w:hRule="atLeast"/>
          <w:jc w:val="center"/>
        </w:trPr>
        <w:tc>
          <w:tcPr>
            <w:tcW w:w="4483"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项目所在区域（</w:t>
            </w:r>
            <w:r>
              <w:rPr>
                <w:rFonts w:hint="eastAsia"/>
                <w:bCs/>
                <w:color w:val="000000" w:themeColor="text1"/>
                <w:szCs w:val="24"/>
                <w14:textFill>
                  <w14:solidFill>
                    <w14:schemeClr w14:val="tx1"/>
                  </w14:solidFill>
                </w14:textFill>
              </w:rPr>
              <w:t>空地</w:t>
            </w:r>
            <w:r>
              <w:rPr>
                <w:bCs/>
                <w:color w:val="000000" w:themeColor="text1"/>
                <w:szCs w:val="24"/>
                <w14:textFill>
                  <w14:solidFill>
                    <w14:schemeClr w14:val="tx1"/>
                  </w14:solidFill>
                </w14:textFill>
              </w:rPr>
              <w:t>）</w:t>
            </w:r>
          </w:p>
        </w:tc>
        <w:tc>
          <w:tcPr>
            <w:tcW w:w="408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0" w:leftChars="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项目所在区域（</w:t>
            </w:r>
            <w:r>
              <w:rPr>
                <w:rFonts w:hint="eastAsia"/>
                <w:bCs/>
                <w:color w:val="000000" w:themeColor="text1"/>
                <w:szCs w:val="24"/>
                <w14:textFill>
                  <w14:solidFill>
                    <w14:schemeClr w14:val="tx1"/>
                  </w14:solidFill>
                </w14:textFill>
              </w:rPr>
              <w:t>空地</w:t>
            </w:r>
            <w:r>
              <w:rPr>
                <w:bCs/>
                <w:color w:val="000000" w:themeColor="text1"/>
                <w:szCs w:val="24"/>
                <w14:textFill>
                  <w14:solidFill>
                    <w14:schemeClr w14:val="tx1"/>
                  </w14:solidFill>
                </w14:textFill>
              </w:rPr>
              <w:t>）</w:t>
            </w:r>
          </w:p>
        </w:tc>
      </w:tr>
      <w:tr>
        <w:tblPrEx>
          <w:tblCellMar>
            <w:top w:w="0" w:type="dxa"/>
            <w:left w:w="108" w:type="dxa"/>
            <w:bottom w:w="0" w:type="dxa"/>
            <w:right w:w="108" w:type="dxa"/>
          </w:tblCellMar>
        </w:tblPrEx>
        <w:trPr>
          <w:trHeight w:val="23" w:hRule="atLeast"/>
          <w:jc w:val="center"/>
        </w:trPr>
        <w:tc>
          <w:tcPr>
            <w:tcW w:w="8570" w:type="dxa"/>
            <w:gridSpan w:val="2"/>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40" w:lineRule="auto"/>
              <w:ind w:left="480" w:firstLine="0" w:firstLineChars="0"/>
              <w:jc w:val="center"/>
              <w:textAlignment w:val="baseline"/>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项目区现场勘查图</w:t>
            </w:r>
          </w:p>
        </w:tc>
      </w:tr>
    </w:tbl>
    <w:p>
      <w:pPr>
        <w:pStyle w:val="41"/>
        <w:ind w:firstLine="480"/>
        <w:rPr>
          <w:color w:val="000000" w:themeColor="text1"/>
          <w14:textFill>
            <w14:solidFill>
              <w14:schemeClr w14:val="tx1"/>
            </w14:solidFill>
          </w14:textFill>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3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427"/>
        <w:gridCol w:w="1736"/>
        <w:gridCol w:w="2055"/>
        <w:gridCol w:w="3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6927" w:type="dxa"/>
            <w:gridSpan w:val="3"/>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克拉玛依西建建材有限责任公司新建混凝土生产线项目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6927" w:type="dxa"/>
            <w:gridSpan w:val="3"/>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17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高鹏</w:t>
            </w:r>
          </w:p>
        </w:tc>
        <w:tc>
          <w:tcPr>
            <w:tcW w:w="2055"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31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13369929616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6927" w:type="dxa"/>
            <w:gridSpan w:val="3"/>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新疆生产建设兵团第七师胡杨河市经济技术开发区</w:t>
            </w:r>
          </w:p>
          <w:p>
            <w:pPr>
              <w:pStyle w:val="51"/>
              <w:rPr>
                <w:color w:val="000000" w:themeColor="text1"/>
                <w14:textFill>
                  <w14:solidFill>
                    <w14:schemeClr w14:val="tx1"/>
                  </w14:solidFill>
                </w14:textFill>
              </w:rPr>
            </w:pPr>
            <w:r>
              <w:rPr>
                <w:color w:val="000000" w:themeColor="text1"/>
                <w14:textFill>
                  <w14:solidFill>
                    <w14:schemeClr w14:val="tx1"/>
                  </w14:solidFill>
                </w14:textFill>
              </w:rPr>
              <w:t>柳沟西路以南、西环路以东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6927" w:type="dxa"/>
            <w:gridSpan w:val="3"/>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（东经</w:t>
            </w:r>
            <w:r>
              <w:rPr>
                <w:color w:val="000000" w:themeColor="text1"/>
                <w:u w:val="single"/>
                <w14:textFill>
                  <w14:solidFill>
                    <w14:schemeClr w14:val="tx1"/>
                  </w14:solidFill>
                </w14:textFill>
              </w:rPr>
              <w:t>84</w:t>
            </w:r>
            <w:r>
              <w:rPr>
                <w:color w:val="000000" w:themeColor="text1"/>
                <w14:textFill>
                  <w14:solidFill>
                    <w14:schemeClr w14:val="tx1"/>
                  </w14:solidFill>
                </w14:textFill>
              </w:rPr>
              <w:t>度</w:t>
            </w:r>
            <w:r>
              <w:rPr>
                <w:color w:val="000000" w:themeColor="text1"/>
                <w:u w:val="single"/>
                <w14:textFill>
                  <w14:solidFill>
                    <w14:schemeClr w14:val="tx1"/>
                  </w14:solidFill>
                </w14:textFill>
              </w:rPr>
              <w:t xml:space="preserve"> 51 </w:t>
            </w:r>
            <w:r>
              <w:rPr>
                <w:color w:val="000000" w:themeColor="text1"/>
                <w14:textFill>
                  <w14:solidFill>
                    <w14:schemeClr w14:val="tx1"/>
                  </w14:solidFill>
                </w14:textFill>
              </w:rPr>
              <w:t>分</w:t>
            </w:r>
            <w:r>
              <w:rPr>
                <w:color w:val="000000" w:themeColor="text1"/>
                <w:u w:val="single"/>
                <w14:textFill>
                  <w14:solidFill>
                    <w14:schemeClr w14:val="tx1"/>
                  </w14:solidFill>
                </w14:textFill>
              </w:rPr>
              <w:t xml:space="preserve"> 27.482 </w:t>
            </w:r>
            <w:r>
              <w:rPr>
                <w:color w:val="000000" w:themeColor="text1"/>
                <w14:textFill>
                  <w14:solidFill>
                    <w14:schemeClr w14:val="tx1"/>
                  </w14:solidFill>
                </w14:textFill>
              </w:rPr>
              <w:t>秒，北纬</w:t>
            </w:r>
            <w:r>
              <w:rPr>
                <w:color w:val="000000" w:themeColor="text1"/>
                <w:u w:val="single"/>
                <w14:textFill>
                  <w14:solidFill>
                    <w14:schemeClr w14:val="tx1"/>
                  </w14:solidFill>
                </w14:textFill>
              </w:rPr>
              <w:t xml:space="preserve"> 44 </w:t>
            </w:r>
            <w:r>
              <w:rPr>
                <w:color w:val="000000" w:themeColor="text1"/>
                <w14:textFill>
                  <w14:solidFill>
                    <w14:schemeClr w14:val="tx1"/>
                  </w14:solidFill>
                </w14:textFill>
              </w:rPr>
              <w:t>度</w:t>
            </w:r>
            <w:r>
              <w:rPr>
                <w:color w:val="000000" w:themeColor="text1"/>
                <w:u w:val="single"/>
                <w14:textFill>
                  <w14:solidFill>
                    <w14:schemeClr w14:val="tx1"/>
                  </w14:solidFill>
                </w14:textFill>
              </w:rPr>
              <w:t xml:space="preserve"> 49 </w:t>
            </w:r>
            <w:r>
              <w:rPr>
                <w:color w:val="000000" w:themeColor="text1"/>
                <w14:textFill>
                  <w14:solidFill>
                    <w14:schemeClr w14:val="tx1"/>
                  </w14:solidFill>
                </w14:textFill>
              </w:rPr>
              <w:t>分</w:t>
            </w:r>
            <w:r>
              <w:rPr>
                <w:color w:val="000000" w:themeColor="text1"/>
                <w:u w:val="single"/>
                <w14:textFill>
                  <w14:solidFill>
                    <w14:schemeClr w14:val="tx1"/>
                  </w14:solidFill>
                </w14:textFill>
              </w:rPr>
              <w:t xml:space="preserve"> 28.270 </w:t>
            </w:r>
            <w:r>
              <w:rPr>
                <w:color w:val="000000" w:themeColor="text1"/>
                <w14:textFill>
                  <w14:solidFill>
                    <w14:schemeClr w14:val="tx1"/>
                  </w14:solidFill>
                </w14:textFill>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国民经济</w:t>
            </w:r>
          </w:p>
          <w:p>
            <w:pPr>
              <w:pStyle w:val="51"/>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17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C3021</w:t>
            </w:r>
          </w:p>
          <w:p>
            <w:pPr>
              <w:pStyle w:val="51"/>
              <w:rPr>
                <w:color w:val="000000" w:themeColor="text1"/>
                <w14:textFill>
                  <w14:solidFill>
                    <w14:schemeClr w14:val="tx1"/>
                  </w14:solidFill>
                </w14:textFill>
              </w:rPr>
            </w:pPr>
            <w:r>
              <w:rPr>
                <w:color w:val="000000" w:themeColor="text1"/>
                <w14:textFill>
                  <w14:solidFill>
                    <w14:schemeClr w14:val="tx1"/>
                  </w14:solidFill>
                </w14:textFill>
              </w:rPr>
              <w:t>水泥制品制造</w:t>
            </w:r>
          </w:p>
        </w:tc>
        <w:tc>
          <w:tcPr>
            <w:tcW w:w="2055"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建设项目</w:t>
            </w:r>
          </w:p>
          <w:p>
            <w:pPr>
              <w:pStyle w:val="51"/>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31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二十七、非金属矿物制品业 30-55、石膏、水泥制品及类似制品制造302商品混凝土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1736" w:type="dxa"/>
            <w:tcBorders>
              <w:tl2br w:val="nil"/>
              <w:tr2bl w:val="nil"/>
            </w:tcBorders>
            <w:vAlign w:val="center"/>
          </w:tcPr>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☑新建（迁建）</w:t>
            </w:r>
          </w:p>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□改建</w:t>
            </w:r>
          </w:p>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□扩建</w:t>
            </w:r>
          </w:p>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□技术改造</w:t>
            </w:r>
          </w:p>
        </w:tc>
        <w:tc>
          <w:tcPr>
            <w:tcW w:w="2055"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建设项目</w:t>
            </w:r>
          </w:p>
          <w:p>
            <w:pPr>
              <w:pStyle w:val="51"/>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3136" w:type="dxa"/>
            <w:tcBorders>
              <w:tl2br w:val="nil"/>
              <w:tr2bl w:val="nil"/>
            </w:tcBorders>
            <w:vAlign w:val="center"/>
          </w:tcPr>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 xml:space="preserve">☑首次申报项目 </w:t>
            </w:r>
          </w:p>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□不予批准后再次申报项目</w:t>
            </w:r>
          </w:p>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 xml:space="preserve">□超五年重新审核项目     </w:t>
            </w:r>
          </w:p>
          <w:p>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项目审批（核准/</w:t>
            </w:r>
          </w:p>
          <w:p>
            <w:pPr>
              <w:pStyle w:val="51"/>
              <w:rPr>
                <w:color w:val="000000" w:themeColor="text1"/>
                <w14:textFill>
                  <w14:solidFill>
                    <w14:schemeClr w14:val="tx1"/>
                  </w14:solidFill>
                </w14:textFill>
              </w:rPr>
            </w:pPr>
            <w:r>
              <w:rPr>
                <w:color w:val="000000" w:themeColor="text1"/>
                <w14:textFill>
                  <w14:solidFill>
                    <w14:schemeClr w14:val="tx1"/>
                  </w14:solidFill>
                </w14:textFill>
              </w:rPr>
              <w:t>备案）部门（选填）</w:t>
            </w:r>
          </w:p>
        </w:tc>
        <w:tc>
          <w:tcPr>
            <w:tcW w:w="17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胡杨河经济技术开发区经济发展局</w:t>
            </w:r>
          </w:p>
        </w:tc>
        <w:tc>
          <w:tcPr>
            <w:tcW w:w="2055"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项目审批（核准/</w:t>
            </w:r>
          </w:p>
          <w:p>
            <w:pPr>
              <w:pStyle w:val="51"/>
              <w:rPr>
                <w:color w:val="000000" w:themeColor="text1"/>
                <w14:textFill>
                  <w14:solidFill>
                    <w14:schemeClr w14:val="tx1"/>
                  </w14:solidFill>
                </w14:textFill>
              </w:rPr>
            </w:pPr>
            <w:r>
              <w:rPr>
                <w:color w:val="000000" w:themeColor="text1"/>
                <w14:textFill>
                  <w14:solidFill>
                    <w14:schemeClr w14:val="tx1"/>
                  </w14:solidFill>
                </w14:textFill>
              </w:rPr>
              <w:t>备案）文号（选填）</w:t>
            </w:r>
          </w:p>
        </w:tc>
        <w:tc>
          <w:tcPr>
            <w:tcW w:w="31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胡杨河经开区（原料）备</w:t>
            </w:r>
            <w:r>
              <w:rPr>
                <w:color w:val="000000" w:themeColor="text1"/>
                <w:kern w:val="0"/>
                <w14:textFill>
                  <w14:solidFill>
                    <w14:schemeClr w14:val="tx1"/>
                  </w14:solidFill>
                </w14:textFill>
              </w:rPr>
              <w:t>〔</w:t>
            </w:r>
            <w:r>
              <w:rPr>
                <w:color w:val="000000" w:themeColor="text1"/>
                <w14:textFill>
                  <w14:solidFill>
                    <w14:schemeClr w14:val="tx1"/>
                  </w14:solidFill>
                </w14:textFill>
              </w:rPr>
              <w:t>2021</w:t>
            </w:r>
            <w:r>
              <w:rPr>
                <w:color w:val="000000" w:themeColor="text1"/>
                <w:kern w:val="0"/>
                <w14:textFill>
                  <w14:solidFill>
                    <w14:schemeClr w14:val="tx1"/>
                  </w14:solidFill>
                </w14:textFill>
              </w:rPr>
              <w:t>〕</w:t>
            </w:r>
            <w:r>
              <w:rPr>
                <w:color w:val="000000" w:themeColor="text1"/>
                <w14:textFill>
                  <w14:solidFill>
                    <w14:schemeClr w14:val="tx1"/>
                  </w14:solidFill>
                </w14:textFill>
              </w:rPr>
              <w:t>024号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总投资（万元）</w:t>
            </w:r>
          </w:p>
        </w:tc>
        <w:tc>
          <w:tcPr>
            <w:tcW w:w="17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860</w:t>
            </w:r>
          </w:p>
        </w:tc>
        <w:tc>
          <w:tcPr>
            <w:tcW w:w="2055"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31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17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6.63</w:t>
            </w:r>
          </w:p>
        </w:tc>
        <w:tc>
          <w:tcPr>
            <w:tcW w:w="2055"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施工工期</w:t>
            </w:r>
          </w:p>
        </w:tc>
        <w:tc>
          <w:tcPr>
            <w:tcW w:w="3136"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2个月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28" w:hRule="atLeast"/>
          <w:jc w:val="center"/>
        </w:trPr>
        <w:tc>
          <w:tcPr>
            <w:tcW w:w="2427" w:type="dxa"/>
            <w:tcBorders>
              <w:tl2br w:val="nil"/>
              <w:tr2bl w:val="nil"/>
            </w:tcBorders>
            <w:tcMar>
              <w:top w:w="16" w:type="dxa"/>
              <w:left w:w="16" w:type="dxa"/>
              <w:right w:w="16"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1736" w:type="dxa"/>
            <w:tcBorders>
              <w:tl2br w:val="nil"/>
              <w:tr2bl w:val="nil"/>
            </w:tcBorders>
            <w:vAlign w:val="center"/>
          </w:tcPr>
          <w:p>
            <w:pPr>
              <w:pStyle w:val="51"/>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☑否</w:t>
            </w:r>
          </w:p>
          <w:p>
            <w:pPr>
              <w:pStyle w:val="51"/>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2055"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用地（用海）</w:t>
            </w:r>
          </w:p>
          <w:p>
            <w:pPr>
              <w:pStyle w:val="51"/>
              <w:rPr>
                <w:color w:val="000000" w:themeColor="text1"/>
                <w14:textFill>
                  <w14:solidFill>
                    <w14:schemeClr w14:val="tx1"/>
                  </w14:solidFill>
                </w14:textFill>
              </w:rPr>
            </w:pPr>
            <w:r>
              <w:rPr>
                <w:color w:val="000000" w:themeColor="text1"/>
                <w14:textFill>
                  <w14:solidFill>
                    <w14:schemeClr w14:val="tx1"/>
                  </w14:solidFill>
                </w14:textFill>
              </w:rPr>
              <w:t>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c>
          <w:tcPr>
            <w:tcW w:w="3136" w:type="dxa"/>
            <w:tcBorders>
              <w:tl2br w:val="nil"/>
              <w:tr2bl w:val="nil"/>
            </w:tcBorders>
            <w:vAlign w:val="center"/>
          </w:tcPr>
          <w:p>
            <w:pPr>
              <w:pStyle w:val="51"/>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427"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专项评价设置情况</w:t>
            </w:r>
          </w:p>
        </w:tc>
        <w:tc>
          <w:tcPr>
            <w:tcW w:w="6927" w:type="dxa"/>
            <w:gridSpan w:val="3"/>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427"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规划情况</w:t>
            </w:r>
          </w:p>
        </w:tc>
        <w:tc>
          <w:tcPr>
            <w:tcW w:w="6927" w:type="dxa"/>
            <w:gridSpan w:val="3"/>
            <w:tcBorders>
              <w:tl2br w:val="nil"/>
              <w:tr2bl w:val="nil"/>
            </w:tcBorders>
            <w:vAlign w:val="center"/>
          </w:tcPr>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规划名称：“</w:t>
            </w:r>
            <w:r>
              <w:rPr>
                <w:rFonts w:hint="eastAsia"/>
                <w:color w:val="000000" w:themeColor="text1"/>
                <w:lang w:eastAsia="zh-CN"/>
                <w14:textFill>
                  <w14:solidFill>
                    <w14:schemeClr w14:val="tx1"/>
                  </w14:solidFill>
                </w14:textFill>
              </w:rPr>
              <w:t>关于对</w:t>
            </w:r>
            <w:r>
              <w:rPr>
                <w:rFonts w:hint="default"/>
                <w:color w:val="000000" w:themeColor="text1"/>
                <w:lang w:val="en-US" w:eastAsia="zh-CN"/>
                <w14:textFill>
                  <w14:solidFill>
                    <w14:schemeClr w14:val="tx1"/>
                  </w14:solidFill>
                </w14:textFill>
              </w:rPr>
              <w:t>胡杨河经济技术开发区总体规划(2021-2035年)</w:t>
            </w:r>
            <w:r>
              <w:rPr>
                <w:rFonts w:hint="eastAsia"/>
                <w:color w:val="000000" w:themeColor="text1"/>
                <w:lang w:val="en-US" w:eastAsia="zh-CN"/>
                <w14:textFill>
                  <w14:solidFill>
                    <w14:schemeClr w14:val="tx1"/>
                  </w14:solidFill>
                </w14:textFill>
              </w:rPr>
              <w:t>的批复</w:t>
            </w:r>
            <w:r>
              <w:rPr>
                <w:color w:val="000000" w:themeColor="text1"/>
                <w14:textFill>
                  <w14:solidFill>
                    <w14:schemeClr w14:val="tx1"/>
                  </w14:solidFill>
                </w14:textFill>
              </w:rPr>
              <w:t>”（新兵函</w:t>
            </w:r>
            <w:r>
              <w:rPr>
                <w:color w:val="000000" w:themeColor="text1"/>
                <w:kern w:val="0"/>
                <w14:textFill>
                  <w14:solidFill>
                    <w14:schemeClr w14:val="tx1"/>
                  </w14:solidFill>
                </w14:textFill>
              </w:rPr>
              <w:t>〔</w:t>
            </w:r>
            <w:r>
              <w:rPr>
                <w:color w:val="000000" w:themeColor="text1"/>
                <w14:textFill>
                  <w14:solidFill>
                    <w14:schemeClr w14:val="tx1"/>
                  </w14:solidFill>
                </w14:textFill>
              </w:rPr>
              <w:t>2020</w:t>
            </w:r>
            <w:r>
              <w:rPr>
                <w:color w:val="000000" w:themeColor="text1"/>
                <w:kern w:val="0"/>
                <w14:textFill>
                  <w14:solidFill>
                    <w14:schemeClr w14:val="tx1"/>
                  </w14:solidFill>
                </w14:textFill>
              </w:rPr>
              <w:t>〕</w:t>
            </w:r>
            <w:r>
              <w:rPr>
                <w:color w:val="000000" w:themeColor="text1"/>
                <w14:textFill>
                  <w14:solidFill>
                    <w14:schemeClr w14:val="tx1"/>
                  </w14:solidFill>
                </w14:textFill>
              </w:rPr>
              <w:t>24号）。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427"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规划环境影响</w:t>
            </w:r>
          </w:p>
          <w:p>
            <w:pPr>
              <w:pStyle w:val="51"/>
              <w:rPr>
                <w:color w:val="000000" w:themeColor="text1"/>
                <w14:textFill>
                  <w14:solidFill>
                    <w14:schemeClr w14:val="tx1"/>
                  </w14:solidFill>
                </w14:textFill>
              </w:rPr>
            </w:pPr>
            <w:r>
              <w:rPr>
                <w:color w:val="000000" w:themeColor="text1"/>
                <w14:textFill>
                  <w14:solidFill>
                    <w14:schemeClr w14:val="tx1"/>
                  </w14:solidFill>
                </w14:textFill>
              </w:rPr>
              <w:t>评价情况</w:t>
            </w:r>
          </w:p>
        </w:tc>
        <w:tc>
          <w:tcPr>
            <w:tcW w:w="6927" w:type="dxa"/>
            <w:gridSpan w:val="3"/>
            <w:tcBorders>
              <w:tl2br w:val="nil"/>
              <w:tr2bl w:val="nil"/>
            </w:tcBorders>
            <w:vAlign w:val="center"/>
          </w:tcPr>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规划环境影响评价文件名称：《胡杨河经济技术开发区总体规划（2021-2035年）环境影响报告书》；审查机关及文号：新疆生产建设兵团生态环境局《关于胡杨河经济技术开发区总体规划（2021-2035年）环境影响报告书的审查意见》（兵环审</w:t>
            </w:r>
            <w:r>
              <w:rPr>
                <w:color w:val="000000" w:themeColor="text1"/>
                <w:kern w:val="0"/>
                <w14:textFill>
                  <w14:solidFill>
                    <w14:schemeClr w14:val="tx1"/>
                  </w14:solidFill>
                </w14:textFill>
              </w:rPr>
              <w:t>〔</w:t>
            </w:r>
            <w:r>
              <w:rPr>
                <w:color w:val="000000" w:themeColor="text1"/>
                <w14:textFill>
                  <w14:solidFill>
                    <w14:schemeClr w14:val="tx1"/>
                  </w14:solidFill>
                </w14:textFill>
              </w:rPr>
              <w:t>2022</w:t>
            </w:r>
            <w:r>
              <w:rPr>
                <w:color w:val="000000" w:themeColor="text1"/>
                <w:kern w:val="0"/>
                <w14:textFill>
                  <w14:solidFill>
                    <w14:schemeClr w14:val="tx1"/>
                  </w14:solidFill>
                </w14:textFill>
              </w:rPr>
              <w:t>〕</w:t>
            </w:r>
            <w:r>
              <w:rPr>
                <w:color w:val="000000" w:themeColor="text1"/>
                <w14:textFill>
                  <w14:solidFill>
                    <w14:schemeClr w14:val="tx1"/>
                  </w14:solidFill>
                </w14:textFill>
              </w:rPr>
              <w:t>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427"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规划及规划环境影响评价符合性分析</w:t>
            </w:r>
          </w:p>
        </w:tc>
        <w:tc>
          <w:tcPr>
            <w:tcW w:w="6927" w:type="dxa"/>
            <w:gridSpan w:val="3"/>
            <w:tcBorders>
              <w:tl2br w:val="nil"/>
              <w:tr2bl w:val="nil"/>
            </w:tcBorders>
            <w:vAlign w:val="center"/>
          </w:tcPr>
          <w:p>
            <w:pPr>
              <w:ind w:firstLine="0" w:firstLineChars="0"/>
              <w:outlineLvl w:val="1"/>
              <w:rPr>
                <w:b/>
                <w:bCs/>
                <w:color w:val="000000" w:themeColor="text1"/>
                <w14:textFill>
                  <w14:solidFill>
                    <w14:schemeClr w14:val="tx1"/>
                  </w14:solidFill>
                </w14:textFill>
              </w:rPr>
            </w:pPr>
            <w:r>
              <w:rPr>
                <w:b/>
                <w:bCs/>
                <w:color w:val="000000" w:themeColor="text1"/>
                <w14:textFill>
                  <w14:solidFill>
                    <w14:schemeClr w14:val="tx1"/>
                  </w14:solidFill>
                </w14:textFill>
              </w:rPr>
              <w:t>1、与《胡杨河经济技术开发区总体规划（2021-2035年）》符合性分析</w:t>
            </w:r>
          </w:p>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根据《胡杨河经济技术开发总体规划（2021-2035）》：</w:t>
            </w:r>
          </w:p>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（1）胡杨河经济技术开发区包括兵团级五五工业园区和师市自设的胡杨河纺织工业园区，其中五五工业园区包括南区43.03km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和北区14.47km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2）发展定位：结合七师本地基础能源价格低、资源种类齐全的优势，利用新型、实用技术，将煤炭、石化原料、玉米等优势基础资源转化为高附加值的化工产品，实现产业链的充分延伸。引进建设一批规模大、产品附加值高、市场前景好的新型化工项目，实现“以化工、新材料、纺织三个主导产业，以装备制造、特色农产品加工、新型建材为辅助产业”的新型产业基地，打造“一带一路”经济带上重要化工新材料产品加工集聚区，现代装备制造产业及创新科技产业作为开发区高新科技发展区，城镇服务业与仓储物流业作为生产配套产业，合理引导胡杨河经济技术开发区向“专、精、特、新”的方向发展，实现工业化与城镇化并举。</w:t>
            </w:r>
          </w:p>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（3）南园区产业布局：着力发展精细化工、新材料为主导产业；新型建材、仓储物流业为辅助产业；装备制造业、创新科技产业、农产品加工、电子元器件产业作为淮安援疆产城融合发展产业。</w:t>
            </w:r>
          </w:p>
          <w:p>
            <w:pPr>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本项目位于第七师胡杨河经济技术开发区内，</w:t>
            </w:r>
            <w:r>
              <w:rPr>
                <w:rFonts w:hint="eastAsia"/>
                <w:color w:val="000000" w:themeColor="text1"/>
                <w:lang w:val="en-US" w:eastAsia="zh-CN"/>
                <w14:textFill>
                  <w14:solidFill>
                    <w14:schemeClr w14:val="tx1"/>
                  </w14:solidFill>
                </w14:textFill>
              </w:rPr>
              <w:t>项目属于商砼站项目，位于</w:t>
            </w:r>
            <w:r>
              <w:rPr>
                <w:color w:val="000000" w:themeColor="text1"/>
                <w14:textFill>
                  <w14:solidFill>
                    <w14:schemeClr w14:val="tx1"/>
                  </w14:solidFill>
                </w14:textFill>
              </w:rPr>
              <w:t>第七师胡杨河经济技术开发区</w:t>
            </w:r>
            <w:r>
              <w:rPr>
                <w:rFonts w:hint="eastAsia"/>
                <w:color w:val="000000" w:themeColor="text1"/>
                <w14:textFill>
                  <w14:solidFill>
                    <w14:schemeClr w14:val="tx1"/>
                  </w14:solidFill>
                </w14:textFill>
              </w:rPr>
              <w:t>南园区</w:t>
            </w:r>
            <w:r>
              <w:rPr>
                <w:rFonts w:hint="eastAsia"/>
                <w:color w:val="000000" w:themeColor="text1"/>
                <w:lang w:val="en-US" w:eastAsia="zh-CN"/>
                <w14:textFill>
                  <w14:solidFill>
                    <w14:schemeClr w14:val="tx1"/>
                  </w14:solidFill>
                </w14:textFill>
              </w:rPr>
              <w:t>新型建材产业区，</w:t>
            </w:r>
            <w:r>
              <w:rPr>
                <w:color w:val="000000" w:themeColor="text1"/>
                <w14:textFill>
                  <w14:solidFill>
                    <w14:schemeClr w14:val="tx1"/>
                  </w14:solidFill>
                </w14:textFill>
              </w:rPr>
              <w:t>项目建成后为当地提供商品混凝土，有利于当地的发展，符合园区发展定位、产业布局和用地规划等要求，符合《胡杨河经济技术开发总体规划（2021-2035年）》。项目</w:t>
            </w:r>
            <w:r>
              <w:rPr>
                <w:rFonts w:hint="eastAsia"/>
                <w:color w:val="000000" w:themeColor="text1"/>
                <w:lang w:val="en-US" w:eastAsia="zh-CN"/>
                <w14:textFill>
                  <w14:solidFill>
                    <w14:schemeClr w14:val="tx1"/>
                  </w14:solidFill>
                </w14:textFill>
              </w:rPr>
              <w:t>南区</w:t>
            </w:r>
            <w:r>
              <w:rPr>
                <w:color w:val="000000" w:themeColor="text1"/>
                <w14:textFill>
                  <w14:solidFill>
                    <w14:schemeClr w14:val="tx1"/>
                  </w14:solidFill>
                </w14:textFill>
              </w:rPr>
              <w:t>土地利用规划图详见附图1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南区产业功能布局图详见附图2</w:t>
            </w:r>
            <w:r>
              <w:rPr>
                <w:color w:val="000000" w:themeColor="text1"/>
                <w14:textFill>
                  <w14:solidFill>
                    <w14:schemeClr w14:val="tx1"/>
                  </w14:solidFill>
                </w14:textFill>
              </w:rPr>
              <w:t>。</w:t>
            </w:r>
          </w:p>
          <w:p>
            <w:pPr>
              <w:ind w:firstLine="0" w:firstLineChars="0"/>
              <w:outlineLvl w:val="1"/>
              <w:rPr>
                <w:b/>
                <w:bCs/>
                <w:color w:val="000000" w:themeColor="text1"/>
                <w14:textFill>
                  <w14:solidFill>
                    <w14:schemeClr w14:val="tx1"/>
                  </w14:solidFill>
                </w14:textFill>
              </w:rPr>
            </w:pPr>
            <w:r>
              <w:rPr>
                <w:b/>
                <w:bCs/>
                <w:color w:val="000000" w:themeColor="text1"/>
                <w14:textFill>
                  <w14:solidFill>
                    <w14:schemeClr w14:val="tx1"/>
                  </w14:solidFill>
                </w14:textFill>
              </w:rPr>
              <w:t>2、与《</w:t>
            </w:r>
            <w:bookmarkStart w:id="1" w:name="OLE_LINK1"/>
            <w:r>
              <w:rPr>
                <w:b/>
                <w:bCs/>
                <w:color w:val="000000" w:themeColor="text1"/>
                <w14:textFill>
                  <w14:solidFill>
                    <w14:schemeClr w14:val="tx1"/>
                  </w14:solidFill>
                </w14:textFill>
              </w:rPr>
              <w:t>胡杨河经济技术开发区总体规划（2021-2035年）环境影响报告书</w:t>
            </w:r>
            <w:bookmarkEnd w:id="1"/>
            <w:r>
              <w:rPr>
                <w:b/>
                <w:bCs/>
                <w:color w:val="000000" w:themeColor="text1"/>
                <w14:textFill>
                  <w14:solidFill>
                    <w14:schemeClr w14:val="tx1"/>
                  </w14:solidFill>
                </w14:textFill>
              </w:rPr>
              <w:t>》及其审查意见符合性分析</w:t>
            </w:r>
          </w:p>
          <w:p>
            <w:pPr>
              <w:pStyle w:val="97"/>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本项目位于胡杨河经济技术开发区南园区，园区已取得《关于胡杨河经济技术开发区总体规划（2021-2035）环境影响报告书的审查意见》（兵环审〔2022〕2号）。</w:t>
            </w:r>
          </w:p>
          <w:p>
            <w:pPr>
              <w:pStyle w:val="97"/>
              <w:ind w:firstLine="480"/>
              <w:rPr>
                <w:color w:val="000000" w:themeColor="text1"/>
                <w14:textFill>
                  <w14:solidFill>
                    <w14:schemeClr w14:val="tx1"/>
                  </w14:solidFill>
                </w14:textFill>
              </w:rPr>
            </w:pPr>
            <w:r>
              <w:rPr>
                <w:color w:val="000000" w:themeColor="text1"/>
                <w14:textFill>
                  <w14:solidFill>
                    <w14:schemeClr w14:val="tx1"/>
                  </w14:solidFill>
                </w14:textFill>
              </w:rPr>
              <w:t>胡杨河经济技术开发区南园区处于奎屯—独山子—乌苏区域大气联防联控控制区的一般控制区，规划修编后，</w:t>
            </w:r>
            <w:r>
              <w:rPr>
                <w:color w:val="000000" w:themeColor="text1"/>
                <w:szCs w:val="20"/>
                <w14:textFill>
                  <w14:solidFill>
                    <w14:schemeClr w14:val="tx1"/>
                  </w14:solidFill>
                </w14:textFill>
              </w:rPr>
              <w:t>南园区产业发展定位为：着力发展精细化工、新材料为主导产业；新型建材、仓储物流业为辅助产业；装备制造业、创新科技产业、农产品加工、电子元器件产业作为淮安援疆产城融合发展产业</w:t>
            </w:r>
            <w:r>
              <w:rPr>
                <w:color w:val="000000" w:themeColor="text1"/>
                <w14:textFill>
                  <w14:solidFill>
                    <w14:schemeClr w14:val="tx1"/>
                  </w14:solidFill>
                </w14:textFill>
              </w:rPr>
              <w:t>。本项目位于</w:t>
            </w:r>
            <w:r>
              <w:rPr>
                <w:color w:val="000000" w:themeColor="text1"/>
                <w:szCs w:val="20"/>
                <w14:textFill>
                  <w14:solidFill>
                    <w14:schemeClr w14:val="tx1"/>
                  </w14:solidFill>
                </w14:textFill>
              </w:rPr>
              <w:t>新型建材产业区</w:t>
            </w:r>
            <w:r>
              <w:rPr>
                <w:color w:val="000000" w:themeColor="text1"/>
                <w14:textFill>
                  <w14:solidFill>
                    <w14:schemeClr w14:val="tx1"/>
                  </w14:solidFill>
                </w14:textFill>
              </w:rPr>
              <w:t>，用地类型为三类工业用地。根据《关于胡杨河经济技术开发区总体规划（2021-2035）环境影响报告书的审查意见》，本项目规划环评审查意见的符合性见下表。</w:t>
            </w:r>
          </w:p>
          <w:p>
            <w:pPr>
              <w:ind w:firstLine="0" w:firstLineChars="0"/>
              <w:jc w:val="center"/>
              <w:rPr>
                <w:rFonts w:eastAsia="黑体"/>
                <w:b/>
                <w:bCs/>
                <w:color w:val="000000" w:themeColor="text1"/>
                <w:sz w:val="21"/>
                <w:szCs w:val="21"/>
                <w14:textFill>
                  <w14:solidFill>
                    <w14:schemeClr w14:val="tx1"/>
                  </w14:solidFill>
                </w14:textFill>
              </w:rPr>
            </w:pPr>
            <w:r>
              <w:rPr>
                <w:rFonts w:eastAsia="黑体"/>
                <w:b/>
                <w:bCs/>
                <w:color w:val="000000" w:themeColor="text1"/>
                <w:sz w:val="21"/>
                <w:szCs w:val="21"/>
                <w14:textFill>
                  <w14:solidFill>
                    <w14:schemeClr w14:val="tx1"/>
                  </w14:solidFill>
                </w14:textFill>
              </w:rPr>
              <w:t>表1-1     规划环评及审查意见符合性分析</w:t>
            </w:r>
          </w:p>
          <w:tbl>
            <w:tblPr>
              <w:tblStyle w:val="30"/>
              <w:tblW w:w="67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170"/>
              <w:gridCol w:w="1230"/>
              <w:gridCol w:w="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40" w:type="dxa"/>
                  <w:tcBorders>
                    <w:tl2br w:val="nil"/>
                    <w:tr2bl w:val="nil"/>
                  </w:tcBorders>
                  <w:vAlign w:val="center"/>
                </w:tcPr>
                <w:p>
                  <w:pPr>
                    <w:snapToGrid w:val="0"/>
                    <w:spacing w:line="30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4170" w:type="dxa"/>
                  <w:tcBorders>
                    <w:tl2br w:val="nil"/>
                    <w:tr2bl w:val="nil"/>
                  </w:tcBorders>
                  <w:vAlign w:val="center"/>
                </w:tcPr>
                <w:p>
                  <w:pPr>
                    <w:snapToGrid w:val="0"/>
                    <w:spacing w:line="30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原则要求</w:t>
                  </w:r>
                </w:p>
              </w:tc>
              <w:tc>
                <w:tcPr>
                  <w:tcW w:w="1230" w:type="dxa"/>
                  <w:tcBorders>
                    <w:tl2br w:val="nil"/>
                    <w:tr2bl w:val="nil"/>
                  </w:tcBorders>
                  <w:vAlign w:val="center"/>
                </w:tcPr>
                <w:p>
                  <w:pPr>
                    <w:snapToGrid w:val="0"/>
                    <w:spacing w:line="30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项目情况</w:t>
                  </w:r>
                </w:p>
              </w:tc>
              <w:tc>
                <w:tcPr>
                  <w:tcW w:w="780" w:type="dxa"/>
                  <w:tcBorders>
                    <w:tl2br w:val="nil"/>
                    <w:tr2bl w:val="nil"/>
                  </w:tcBorders>
                  <w:vAlign w:val="center"/>
                </w:tcPr>
                <w:p>
                  <w:pPr>
                    <w:snapToGrid w:val="0"/>
                    <w:spacing w:line="30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胡杨河经济技术开发区位于兵团第七师。2020年10月22日，兵团以新兵函〔2020〕24号文件对胡杨河经济技术开发区（园区）清理整顿方案予以批复。按照兵团开发区体制改革相关要求，你单位组织开展了胡杨河经济技术开发区总体规划及规划环评编制工作。本轮规划近期2021至2025年，远期为2026至2035年，规划总面积71.59平方公里，由南园区、北园区、胡杨河纺织工业园区形成“一区三园”构架。其中，南园区位于129团五五新镇东南侧与胡杨河市东北侧，规划范围北至奎克高速立交（奎车公路、奎克高速公路交汇处），南至130团20连耕地，东邻130团公益林，西到奎北铁路，规划面积53.82平方公里。规划产业定位以精细化工、新材料为主导产业，新型建材、仓储物流业为辅助产业，装备制造业、创新科技产业、农产品加工、电子元器件产业作为淮安援疆产城融合发展产业。北园区位于129团五五新镇北侧、128团前山镇东侧，规划范围西邻奎克高速公路，北侧、东侧紧邻克拉玛依市荒漠区，南为129团10连，规划面积14.47平方公里。规划重点发展生物医药、化工及新材料产业，配套发展仓储物流业。胡杨河纺织工业园区位于胡杨河市中心城区北侧，规划范围西至共青路，东至奎北铁路，北至北环路，南至纺织路、光明东路，规划面积3.30平方公里。规划布局纺织、电子元器件产业。</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本项目位于胡杨河经济技术开发区南园区，产业定位以精细化工、新材料为主导产业，新型建材、仓储物流业为辅助产业，本项目为商砼站项目，符合规划定位。</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20" w:type="dxa"/>
                  <w:gridSpan w:val="4"/>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规划在优化调整和实施过程中应重点做好的工作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入驻产业的准入条件均严于国家《产业结构调整指导目录（2019年本）》（以下简称《指导目录》）和《市场准入负面清单草案（试点版）》（以下简称“《清单草案》”）（一）优化开发区产业结构和布局，坚持绿色发展。坚持以环境质量改善为核心，遵循环保优先和绿色发展原则，结合区域实际及上位规划，依据所在产业区块功能及环保要求，确保产业区块的完整性和延续性，按照新兵函〔2020〕24号文件批复的主导产业，合理确定开发区产业结构和布局，不同功能区之间应设置必要的缓冲带。严格按照《关于公布第一批兵团化工园区名单的通知》（新兵发〔2021〕8号）中确定的化工区范围布局化工产业。南园区不再布局资源型源头加工类产业，禁止新建、扩建以原煤、原油、重油等为原料的化工产业项目，通过产业链引导化工区块向精细化工、新材料产业方向发展。避免开发区内各园区产业重复布局，纺织园区不再布局电子元器件产业。结合生态环境管控、环境风险防控要求，对开发区企业实现清单式管理，制定产业发展负面清单和东西部产业转移优先准入清单。根据开发区产业结构和产业链，结合资源利用上线、环境质量底线，完善生态环境准入清单。</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拟建项目为商砼站项目，属于《产业结构调整指导目录》（2021年修订版），属于允许类项目，符合规划定位。满足胡杨河经济技术开发区三线一单管控要求。</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严格控制“两高”行业发展规模，优化规划布局、产业结构与实施时序。通过积极转变生产和生活方式、调整能源消费结构、加强资源节约，统筹协调推进经济和社会发展。深入开展应对气候变化工作，切实增强控制温室气体排放能力。促进经济绿色低碳可持续发展，引导重点行业向绿色低碳方向转型，针对开发区规划从碳排放产业规模、结构调整、原料替代、能源利用效率提升、绿色清洁能源利用、废物节能与低碳化处置等方面提出节能、减煤和碳减排建议，推动减污治污减碳协同共治。对于生产技术落后、清洁生产水平偏低和不符合开发区规划的现状企业，采取逐步退出机制。</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拟建项目不属于两高项目，不属于生产技术落后产业，清洁生产水平满足国内要求。</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三）严守生态保护红线，加强空间管控。进一步优化开发区的空间布局，通过优化开发区产业空间布局、调整土地用途等方式，完善生态保障空间要求。重点关注大气污染综合治理、保护区域大气环境质量、开发区周边地表水水体水质、区域地下水环境、土壤环境、生态环境，对开发区内企业提出具体管控要求。衔接兵团和师市“三线一单”成果，落实、细化开发区所在生态环境管控单元的管控要求，保障规划实施不突破区域生态保护红线、环境质量底线和资源利用上线。做好与师市国土空间规划的衔接，从全局的角度以资源承载能力和国土空间开发适宜性评价来支撑开发区规划实施。</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根据区域“三线一单”成果，胡杨河经济技术开发区不在生态保护红线范围内，满足胡杨河经济技术开发区三线一单管控要求。</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四）坚守环境质量底线，严格污染物总量管控。对标《自治区严禁“三高”项目进新疆推进经济高质量发展实施方案》，严格开发区项目准入。依据规划区域及周边环境质量改善目标，建立开发区污染物削减台账，落实重点行业区域削减措施，纳入日常环境管理工作，建立考核机制，并与排污许可制度衔接，确保区域环境质量有效改善。推进现有企业工艺技术和污染治理技术改造，各类污染物排放须满足国家及自治区最新污染物排放标准要求。</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拟建项目执行最严格的大气污染物排放标准。</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五）严格能源消费总量和消耗强度“双控”，坚持“以水定产、以水定量”，严格入园产业和项目的生态环境准入。严格按照规划产业布局入驻企业，结合区域发展定位、开发布局、生态环境保护目标，实行入园企业环保准入审核制度，不符合产业政策、行业准入条件、生态环境准入清单及自治区党委明令禁止的“三高”项目一律不得入驻园区。引进项目的生产工艺、设备、污染治理技术，以及单位产品能耗、物耗、污染物排放和资源利用效率均需达到同行业国内先进水平，积极推进产业的技术进步和园区循环化改造，构建绿色、低碳园区。开发区水资源利用不得突破《新疆用水总量控制方案》确定的第七师水资源利用上限指标，土地资源利用不得突破第七师国土空间规划确定的新增建设用地规模。</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拟建项目单位产品能耗、物耗、污染物排放和资源利用效率均达到同行业国内先进水平。</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7</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六）加快完善开发区环境基础设施建设，推进区域环境质量持续改善和提升。按照“清污分流”、“污污分治”原则规划、设计和建设开发区排水系统、废（污）水处理系统和中水回用系统，逐步建成完整的排水和中水回用体系，提高废（污）水回用率。北园区新建一般工业固体废物处置场。根据开发区发展实际，制定切实可行的一般固体废物综合利用方案，严格按照国家有关规定，依法、依规、合理地贮存、处置和处理危险废物。</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本项目位于胡杨河经济技术开发区南园区，南园区内基础设施已基本建设完成，满足项目建设要求</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w:t>
                  </w:r>
                </w:p>
              </w:tc>
              <w:tc>
                <w:tcPr>
                  <w:tcW w:w="417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七）强化开发区环境风险管理，强化应急响应联动机制，保障城市人居环境安全和生态环境安全。配备应急物资，建设化工园区事故水池，定期开展应急演习，不断完善环境风险应急预案，防控开发区储运中可能引发的环境风险。</w:t>
                  </w:r>
                </w:p>
              </w:tc>
              <w:tc>
                <w:tcPr>
                  <w:tcW w:w="123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拟建项目环评中已开展环境风险评价，需编制应急预案，并与园区预案联动</w:t>
                  </w:r>
                </w:p>
              </w:tc>
              <w:tc>
                <w:tcPr>
                  <w:tcW w:w="780" w:type="dxa"/>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bl>
          <w:p>
            <w:pPr>
              <w:ind w:firstLine="480"/>
              <w:outlineLvl w:val="1"/>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5" w:hRule="atLeast"/>
          <w:jc w:val="center"/>
        </w:trPr>
        <w:tc>
          <w:tcPr>
            <w:tcW w:w="2427"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其他符合性分析</w:t>
            </w:r>
          </w:p>
        </w:tc>
        <w:tc>
          <w:tcPr>
            <w:tcW w:w="6927" w:type="dxa"/>
            <w:gridSpan w:val="3"/>
            <w:tcBorders>
              <w:tl2br w:val="nil"/>
              <w:tr2bl w:val="nil"/>
            </w:tcBorders>
            <w:vAlign w:val="center"/>
          </w:tcPr>
          <w:p>
            <w:pPr>
              <w:autoSpaceDE w:val="0"/>
              <w:autoSpaceDN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1、产业政策符合性</w:t>
            </w:r>
          </w:p>
          <w:p>
            <w:pPr>
              <w:ind w:firstLine="480"/>
              <w:outlineLvl w:val="1"/>
              <w:rPr>
                <w:color w:val="000000" w:themeColor="text1"/>
                <w:szCs w:val="22"/>
                <w14:textFill>
                  <w14:solidFill>
                    <w14:schemeClr w14:val="tx1"/>
                  </w14:solidFill>
                </w14:textFill>
              </w:rPr>
            </w:pPr>
            <w:r>
              <w:rPr>
                <w:color w:val="000000" w:themeColor="text1"/>
                <w14:textFill>
                  <w14:solidFill>
                    <w14:schemeClr w14:val="tx1"/>
                  </w14:solidFill>
                </w14:textFill>
              </w:rPr>
              <w:t>本项目为商砼站项目，根据《产业结构调整指导目录》（2021年修订版），本项目不属于国家限制类、鼓励类和淘汰类，应为允许类，</w:t>
            </w:r>
            <w:r>
              <w:rPr>
                <w:color w:val="000000" w:themeColor="text1"/>
                <w:szCs w:val="22"/>
                <w14:textFill>
                  <w14:solidFill>
                    <w14:schemeClr w14:val="tx1"/>
                  </w14:solidFill>
                </w14:textFill>
              </w:rPr>
              <w:t>符合国家产业政策。</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此外该项目已于2021年6月15日取得胡杨河经济技术开发区经济发展局关于此项目的备案证明，项目备案证号：胡杨河经开区（原料）备</w:t>
            </w:r>
            <w:r>
              <w:rPr>
                <w:color w:val="000000" w:themeColor="text1"/>
                <w:kern w:val="0"/>
                <w14:textFill>
                  <w14:solidFill>
                    <w14:schemeClr w14:val="tx1"/>
                  </w14:solidFill>
                </w14:textFill>
              </w:rPr>
              <w:t>〔</w:t>
            </w:r>
            <w:r>
              <w:rPr>
                <w:color w:val="000000" w:themeColor="text1"/>
                <w14:textFill>
                  <w14:solidFill>
                    <w14:schemeClr w14:val="tx1"/>
                  </w14:solidFill>
                </w14:textFill>
              </w:rPr>
              <w:t>2021</w:t>
            </w:r>
            <w:r>
              <w:rPr>
                <w:color w:val="000000" w:themeColor="text1"/>
                <w:kern w:val="0"/>
                <w14:textFill>
                  <w14:solidFill>
                    <w14:schemeClr w14:val="tx1"/>
                  </w14:solidFill>
                </w14:textFill>
              </w:rPr>
              <w:t>〕</w:t>
            </w:r>
            <w:r>
              <w:rPr>
                <w:color w:val="000000" w:themeColor="text1"/>
                <w14:textFill>
                  <w14:solidFill>
                    <w14:schemeClr w14:val="tx1"/>
                  </w14:solidFill>
                </w14:textFill>
              </w:rPr>
              <w:t>024号。因此，本项目建设符合国家和地方产业政策。</w:t>
            </w:r>
          </w:p>
          <w:p>
            <w:pPr>
              <w:autoSpaceDE w:val="0"/>
              <w:autoSpaceDN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2、与《第七师胡杨河市“三线一单”生态环境分区管控方案》的符合性分析</w:t>
            </w:r>
          </w:p>
          <w:p>
            <w:pPr>
              <w:pStyle w:val="46"/>
              <w:rPr>
                <w:color w:val="000000" w:themeColor="text1"/>
                <w14:textFill>
                  <w14:solidFill>
                    <w14:schemeClr w14:val="tx1"/>
                  </w14:solidFill>
                </w14:textFill>
              </w:rPr>
            </w:pPr>
            <w:r>
              <w:rPr>
                <w:color w:val="000000" w:themeColor="text1"/>
                <w14:textFill>
                  <w14:solidFill>
                    <w14:schemeClr w14:val="tx1"/>
                  </w14:solidFill>
                </w14:textFill>
              </w:rPr>
              <w:t>根据《关于以改善环境质量为核心加强环境影响评价管理的通知》，落实“生态保护红线、 环境质量底线、资源利用上线和环境准入负面清单”，强化“三线一单”作用，对本项目与《第七师胡杨河市“三线一单”生态环境分区管控方案》的符合性进行如下分析。</w:t>
            </w:r>
          </w:p>
          <w:p>
            <w:pPr>
              <w:autoSpaceDE w:val="0"/>
              <w:autoSpaceDN w:val="0"/>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（1）生态保护红线</w:t>
            </w:r>
          </w:p>
          <w:p>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根据《第七师胡杨河市“三线一单”生态环境分区管控方案及生态环境准入清单》可知：本项目位于胡杨河经济技术开发区属于重点管控单元，不在生态保护红线区和生态保护红线区以外的饮用水水源保护区、水源涵养区、防风固沙区、水土保持区、生物多样性维护区、土地沙化防控区、水土流失防控区等优先保护单元，项目符合生态保护红线的要求。</w:t>
            </w:r>
          </w:p>
          <w:p>
            <w:pPr>
              <w:autoSpaceDE w:val="0"/>
              <w:autoSpaceDN w:val="0"/>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（2）环境质量底线</w:t>
            </w:r>
          </w:p>
          <w:p>
            <w:pPr>
              <w:autoSpaceDE w:val="0"/>
              <w:autoSpaceDN w:val="0"/>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项目营运期废气经治理后达标排放，对大气环境影响不大；项目生产废水经处理后回用不外排，生</w:t>
            </w:r>
            <w:r>
              <w:rPr>
                <w:rFonts w:hint="eastAsia"/>
                <w:color w:val="000000" w:themeColor="text1"/>
                <w:szCs w:val="22"/>
                <w:lang w:val="en-US" w:eastAsia="zh-CN"/>
                <w14:textFill>
                  <w14:solidFill>
                    <w14:schemeClr w14:val="tx1"/>
                  </w14:solidFill>
                </w14:textFill>
              </w:rPr>
              <w:t>活</w:t>
            </w:r>
            <w:r>
              <w:rPr>
                <w:color w:val="000000" w:themeColor="text1"/>
                <w:szCs w:val="22"/>
                <w14:textFill>
                  <w14:solidFill>
                    <w14:schemeClr w14:val="tx1"/>
                  </w14:solidFill>
                </w14:textFill>
              </w:rPr>
              <w:t>污水排入园区污水处理厂进一步处理；项目产生的生活垃圾定期清运，交由园区环卫部门统一进行处理；厂界噪声经采取降噪措施后实现达标排放，声环境影响可以接受；项目采取相应的防渗、防泄漏等风险防范措施，对地下水、土壤环境不会造成不良影响。因此，项目建设满足环境质量底线管控要求。</w:t>
            </w:r>
          </w:p>
          <w:p>
            <w:pPr>
              <w:autoSpaceDE w:val="0"/>
              <w:autoSpaceDN w:val="0"/>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（3）资源利用上线</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本项目营运过程中消耗一定量的电</w:t>
            </w:r>
            <w:r>
              <w:rPr>
                <w:rFonts w:hint="eastAsia"/>
                <w:color w:val="000000" w:themeColor="text1"/>
                <w:lang w:val="en-US" w:eastAsia="zh-CN"/>
                <w14:textFill>
                  <w14:solidFill>
                    <w14:schemeClr w14:val="tx1"/>
                  </w14:solidFill>
                </w14:textFill>
              </w:rPr>
              <w:t>力</w:t>
            </w:r>
            <w:r>
              <w:rPr>
                <w:color w:val="000000" w:themeColor="text1"/>
                <w14:textFill>
                  <w14:solidFill>
                    <w14:schemeClr w14:val="tx1"/>
                  </w14:solidFill>
                </w14:textFill>
              </w:rPr>
              <w:t xml:space="preserve">、水等资源，本项目通过内部管理、废物综合处置、污染治理等多方面采取合理可行的防治措施，以“节能、降耗、减污”为目标，有效地控制污染。 </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项目运营期水、电、原料等资源利用不会突破区域的资源利用上线。</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因此本项目的建设不会突破资源利用上线。</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（4）生态环境准入清单</w:t>
            </w:r>
          </w:p>
          <w:p>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本次对照《产业结构调整指导目录》（2021年修订版），</w:t>
            </w:r>
            <w:r>
              <w:rPr>
                <w:color w:val="000000" w:themeColor="text1"/>
                <w14:textFill>
                  <w14:solidFill>
                    <w14:schemeClr w14:val="tx1"/>
                  </w14:solidFill>
                </w14:textFill>
              </w:rPr>
              <w:t>本项目不属于国家限制类、鼓励类和淘汰类，应为允许类，</w:t>
            </w:r>
            <w:r>
              <w:rPr>
                <w:color w:val="000000" w:themeColor="text1"/>
                <w:szCs w:val="22"/>
                <w14:textFill>
                  <w14:solidFill>
                    <w14:schemeClr w14:val="tx1"/>
                  </w14:solidFill>
                </w14:textFill>
              </w:rPr>
              <w:t>符合国家和地方产业政策</w:t>
            </w:r>
            <w:r>
              <w:rPr>
                <w:color w:val="000000" w:themeColor="text1"/>
                <w:kern w:val="0"/>
                <w:lang w:bidi="ar"/>
                <w14:textFill>
                  <w14:solidFill>
                    <w14:schemeClr w14:val="tx1"/>
                  </w14:solidFill>
                </w14:textFill>
              </w:rPr>
              <w:t>。也不属于“市场准入负面清单草案”（试点版）发改经体[2016]442 号文中禁止准入类及限制类项目。根据《胡杨河经济技术开发区总体规划（2021-2035年）环境影响报告书》及其审查意见，本项目为商砼站建设项目，不属于资源型源头加工类产业，不属于以原煤、原油、重油等为原料的化工产业项目，不属于“两高”项目等，未列入负面清单，符合胡杨河经济技术开发区规划。</w:t>
            </w:r>
          </w:p>
          <w:p>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（5）生态分区管控</w:t>
            </w:r>
          </w:p>
          <w:p>
            <w:pPr>
              <w:ind w:firstLine="480"/>
              <w:rPr>
                <w:b/>
                <w:color w:val="000000" w:themeColor="text1"/>
                <w:sz w:val="21"/>
                <w:szCs w:val="21"/>
                <w:lang w:bidi="ar"/>
                <w14:textFill>
                  <w14:solidFill>
                    <w14:schemeClr w14:val="tx1"/>
                  </w14:solidFill>
                </w14:textFill>
              </w:rPr>
            </w:pPr>
            <w:r>
              <w:rPr>
                <w:color w:val="000000" w:themeColor="text1"/>
                <w14:textFill>
                  <w14:solidFill>
                    <w14:schemeClr w14:val="tx1"/>
                  </w14:solidFill>
                </w14:textFill>
              </w:rPr>
              <w:t>根据《第七师胡杨河市“三线一单”生态环境分区管控方案及生态环境准入清单》，本项目位于胡杨河经济技术开发区属于重点管控单元（管控单元编码ZH65771220001）。</w:t>
            </w:r>
            <w:r>
              <w:rPr>
                <w:color w:val="000000" w:themeColor="text1"/>
                <w:lang w:bidi="ar"/>
                <w14:textFill>
                  <w14:solidFill>
                    <w14:schemeClr w14:val="tx1"/>
                  </w14:solidFill>
                </w14:textFill>
              </w:rPr>
              <w:t>本项目与</w:t>
            </w:r>
            <w:r>
              <w:rPr>
                <w:color w:val="000000" w:themeColor="text1"/>
                <w14:textFill>
                  <w14:solidFill>
                    <w14:schemeClr w14:val="tx1"/>
                  </w14:solidFill>
                </w14:textFill>
              </w:rPr>
              <w:t>重点</w:t>
            </w:r>
            <w:r>
              <w:rPr>
                <w:color w:val="000000" w:themeColor="text1"/>
                <w:lang w:bidi="ar"/>
                <w14:textFill>
                  <w14:solidFill>
                    <w14:schemeClr w14:val="tx1"/>
                  </w14:solidFill>
                </w14:textFill>
              </w:rPr>
              <w:t>环境管控单元分类管控要求的符合性分析见表1-2。</w:t>
            </w:r>
          </w:p>
          <w:p>
            <w:pPr>
              <w:ind w:firstLine="0" w:firstLineChars="0"/>
              <w:jc w:val="center"/>
              <w:rPr>
                <w:rFonts w:eastAsia="黑体"/>
                <w:b/>
                <w:bCs/>
                <w:color w:val="000000" w:themeColor="text1"/>
                <w:sz w:val="21"/>
                <w:szCs w:val="21"/>
                <w14:textFill>
                  <w14:solidFill>
                    <w14:schemeClr w14:val="tx1"/>
                  </w14:solidFill>
                </w14:textFill>
              </w:rPr>
            </w:pPr>
            <w:r>
              <w:rPr>
                <w:rFonts w:eastAsia="黑体"/>
                <w:b/>
                <w:bCs/>
                <w:color w:val="000000" w:themeColor="text1"/>
                <w:sz w:val="21"/>
                <w:szCs w:val="21"/>
                <w14:textFill>
                  <w14:solidFill>
                    <w14:schemeClr w14:val="tx1"/>
                  </w14:solidFill>
                </w14:textFill>
              </w:rPr>
              <w:t>表1-2  本项目与生态环境准入清单符合性分析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326"/>
              <w:gridCol w:w="1283"/>
              <w:gridCol w:w="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725" w:type="pct"/>
                  <w:gridSpan w:val="2"/>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管控要求</w:t>
                  </w:r>
                </w:p>
              </w:tc>
              <w:tc>
                <w:tcPr>
                  <w:tcW w:w="1274" w:type="pct"/>
                  <w:gridSpan w:val="2"/>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空间布局约束</w:t>
                  </w:r>
                </w:p>
              </w:tc>
              <w:tc>
                <w:tcPr>
                  <w:tcW w:w="3221" w:type="pct"/>
                  <w:tcBorders>
                    <w:tl2br w:val="nil"/>
                    <w:tr2bl w:val="nil"/>
                  </w:tcBorders>
                  <w:vAlign w:val="center"/>
                </w:tcPr>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（1）园区主导产业是：化工、新材料、纺织，园区以主导产业及其下游产业链为主要方向发展产业，准入产业需符合《产业结构调整指导目录（2019年本）》相关要求；</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【禁止类】</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1.1.1）严格治理园区现有化工项目，提高化工项目入驻标准，重点发展精细化工、新材料等新兴产业。禁止类产业有：《指导目录》中的淘汰类和《清单草案》中的禁止准入类，以及不具备区域资源禀赋条件、不符合所处重点生态功能区开发管制原则的限制类、允许类、鼓励类产业。</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1.1.2）禁止新建或扩建棉浆粕生产项目；禁止在《关于促进新疆纺织服装产业健康可持续发展的指导意见》（新政发[2017]155号）布局要求以外建设印染项目；禁止新建使用禁用的直接染料（冰染色基包括C.I.冰染色基11、C.I.冰染色基48、C.I.冰染色基112、C.I冰染色基113等）进行棉印染精加工的印染项目。</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（1.1.3）劳动力密集型的非化工企业不得与化工企业混建在同一园区内。</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1.1.4）在城市规划区边界外2千米（现有城市居民供气项目和钢铁生产企业厂区内配套项目除外）以内，主要河流两岸、高速公路两旁和其他严防污染的食品、药品等企业周边1千米以内禁止建设焦化项目，已在上述区域内投产运营的焦化企业，要根据该区域规划要求，在一定期限内，通过“搬迁、转产”等方式逐步退出。</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1.1.5）兰炭产能过剩地区不得批准新建兰炭项目，除了在原有基础上进行技改以及煤化工配套的兰炭项目以外，对新建没有后续产业的兰炭项目原则上一律不予审批，另外自治区划定的大气污染联防联控区内严禁建设任何性质焦化项目。</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1.1.6）城市规划区边界外2千米以内，主要河流两岸、公路、铁路、水路干线两侧和其它严防污染的食品、药品、精密制造产品等企业周边1千米以内及大气污染防治重点控制区内，禁止新增电石生产装置、电石法聚氯乙烯和烧碱生产装置。</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【限制类】</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（1.2.1）限制类产业有：《指导目录》中的限制类和《清单草案》中的限制准入类（已列入清单禁止类的产业除外），以及与所处重点生态功能区发展方向和开发管制原则不相符合的允许类、鼓励类产业。</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（1.2.2）对于高耗能项目，必须实行能源及环境评估，其指标不得高于同行业能耗标准值。</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（1.2.3）劳动力密集型的非化工企业与化工企业应分区建设。</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（1.2.4）合理产业布局，优化资源配置，将污染相对较大的工业项目布局在北区，远离胡杨河市。</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1.2.5）棉浆粕、粘胶纤维项目卫生防护距离通过环境影响评价计算确定，棉纺、印染项目卫生防护距离执行《纺织业卫生防护距离第1部分：棉、化纤纺织及印染精加工业》（GB18080.1）。项目卫生防护距离内不得规划、建设居民区、学校、医院等环境敏感目标，对于已存在的环境敏感目标要采取合理措施加以保护。</w:t>
                  </w:r>
                </w:p>
              </w:tc>
              <w:tc>
                <w:tcPr>
                  <w:tcW w:w="956"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本项目位于第七师胡杨河经济技术开发区南园区，为商砼站建设项目，无国家和自治区明令禁止或淘汰的工艺，各项污染物采取环保措施后均可达标排放。</w:t>
                  </w:r>
                </w:p>
              </w:tc>
              <w:tc>
                <w:tcPr>
                  <w:tcW w:w="318"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 xml:space="preserve">污染物排放管控 </w:t>
                  </w:r>
                </w:p>
              </w:tc>
              <w:tc>
                <w:tcPr>
                  <w:tcW w:w="3221" w:type="pct"/>
                  <w:tcBorders>
                    <w:tl2br w:val="nil"/>
                    <w:tr2bl w:val="nil"/>
                  </w:tcBorders>
                  <w:vAlign w:val="center"/>
                </w:tcPr>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（2.1）废水处理：</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（2.1.1）企业预处理达标废水经园区污水处理厂和中水厂处理满足中水回用标准，用于企业循环冷却、园区绿化、洒水降尘等。</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（2.1.2）各企业按清污分流原则建立完善的排水系统和事故池，严禁将高浓度废水稀释排放。选择节水工艺，鼓励一水多用，减少废水排放。</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（2.1.3）园区废水集中收集，分质处理。强化高盐污水处理处置，制定中水回用及处置去向。污水处理装置具体规模的设置应根据园区建设的进程予以协调，设置中水回用装置，减少外排水量。</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（2.1.4）新入驻企业场内必须设置污水处理及中水回用及消防设施装置。</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（2.2）废气处理：</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2.2.1）严格控制有毒和有害气体的排放，并对有毒和有害气体排放实施在线自动检测仪监控。各装置反应尾气排放气、紧急事故排放气、罐区低压排放气等视其情况或送入各装置的火炬系统、焚烧炉或进入燃料气系统回收利用。煤化工项目采用高效的除尘设备。</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（2.2.2）加强对企业的粉尘、烟尘污染治理。开展金属制品业酸雾等工艺废气污染控制与治理，提升行业装备水平，完善废气收集系统，减少无组织排放，做到工艺废气排放浓度和厂界浓度双达标。</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（2.2.3）含尘炉气或利用后的再生气必须经除尘处理后达标排放，捕集后的粉尘不能造成二次污染。</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（2.3）固废处理：</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2.3.1）工业园区的生活垃圾近期依托五五新镇生活垃圾填埋场进行处理。园区内产生的生活垃圾用专门容器收集后通过专用垃圾车运送市政生活垃圾处置设施进行处置。生活垃圾分类处理，无害化资源化处理。推广垃圾袋装化，对垃圾中有用的物质（如废纸、金属、玻璃等）回收。</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2.3.2）一般固体废物实行综合利用，对不可综合利用的一般固体废物，应送往一般工业固体废物处理处置场所，进行安全填埋处置。园区产生的危险固体废弃物主要包括少量废旧催化剂、高沸物，污水处理装置产生的污泥，外送委托有相关危险废物处理资质的企业进行安全处置。在园区内建设危险废物临时贮存库，并进行防渗和排水设计。按照国家有关规定办理危险废物申报转移的“五联单”手续，并在贮运过程中严格执行危险化学品贮存、运输和监管的有关规定。</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（2.3.3）大力推进一般工业固体废物的减量化、资源化和无害化工作。园区一般固体废物综合利用率不低于60%，对于无法综合利用的固体废物，在区外建设灰渣填埋场填埋。</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（2.4）园区开展规划环评，需重点分析园区主要污染物排放对胡杨河市影响，确保胡杨河市环境空气质量稳定达标。</w:t>
                  </w:r>
                </w:p>
              </w:tc>
              <w:tc>
                <w:tcPr>
                  <w:tcW w:w="956"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各卸料及运输过程中产生的无组织扬尘，通过洒水降尘进行防治，堆存区采用洒水降尘、编织覆盖及半封闭式抑尘，筒仓设置滤筒式除尘器，搅拌系统采用袋式除尘器处理粉尘，食堂油烟经油烟净化设施处理后排放。生活污水经隔油池处理后排入下水管网，最终进入园区污水处理厂。噪声处理</w:t>
                  </w:r>
                  <w:r>
                    <w:rPr>
                      <w:color w:val="000000" w:themeColor="text1"/>
                      <w:sz w:val="21"/>
                      <w:szCs w:val="21"/>
                      <w14:textFill>
                        <w14:solidFill>
                          <w14:schemeClr w14:val="tx1"/>
                        </w14:solidFill>
                      </w14:textFill>
                    </w:rPr>
                    <w:t>选用低噪声设备，采取减振、密闭、隔声等处理措施。生活垃圾经集中收集后，由环卫部门统一集中清运；除尘器收集粉尘及沉淀池沉渣收集后回用于生产；废机油暂存于危废暂存间（危废暂存间位于厂区北侧，面积约</w:t>
                  </w:r>
                  <w:r>
                    <w:rPr>
                      <w:rFonts w:hint="eastAsia"/>
                      <w:color w:val="000000" w:themeColor="text1"/>
                      <w:sz w:val="21"/>
                      <w:szCs w:val="21"/>
                      <w14:textFill>
                        <w14:solidFill>
                          <w14:schemeClr w14:val="tx1"/>
                        </w14:solidFill>
                      </w14:textFill>
                    </w:rPr>
                    <w:t>5m</w:t>
                  </w:r>
                  <w:r>
                    <w:rPr>
                      <w:rFonts w:hint="eastAsia"/>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，定期交由有资质的危险废物处理单位处置。各</w:t>
                  </w:r>
                  <w:r>
                    <w:rPr>
                      <w:bCs/>
                      <w:color w:val="000000" w:themeColor="text1"/>
                      <w:sz w:val="21"/>
                      <w:szCs w:val="21"/>
                      <w14:textFill>
                        <w14:solidFill>
                          <w14:schemeClr w14:val="tx1"/>
                        </w14:solidFill>
                      </w14:textFill>
                    </w:rPr>
                    <w:t>项污染物采取环保措施后均可达标排放。</w:t>
                  </w:r>
                </w:p>
              </w:tc>
              <w:tc>
                <w:tcPr>
                  <w:tcW w:w="318"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环境风险防控</w:t>
                  </w:r>
                </w:p>
              </w:tc>
              <w:tc>
                <w:tcPr>
                  <w:tcW w:w="3221" w:type="pct"/>
                  <w:tcBorders>
                    <w:tl2br w:val="nil"/>
                    <w:tr2bl w:val="nil"/>
                  </w:tcBorders>
                  <w:vAlign w:val="center"/>
                </w:tcPr>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园区自身：</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3.1）加强对风险概率高环节的定期检查、维护工作；定期对消防、消防报警和自控系统、防雷、防爆、防静电、防洪及管道泄露等安全措施和自动检测报警系统等全技术设施进行检修。化工园区安全生产管理机构应至少每五年开展一次化工园区整体性安全风险评估，评估安全风险，提出消除、降低、管控安全风险的对策措施。</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3.2）严格把控行业安全发展准入条件，进一步加强化工行业管理，进一步提升行业装备水平，完善并落实危险化学品安全生产责任制，严格化工从业人员准入、提高从业人员素质，强化化学品事故应急救援体系建设，建设化工行业安全发展信息化平台。</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3.3）建设安全监管和应急救援信息平台，构建基础信息库和风险隐患数据库，至少应接入企业重大危险源（储罐区和库区）实时在线监测监控相关数据，并且化工园区应将接入数据上传至省、市级应急管理部门。</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（3.4）处于高安全风险等级的园区，要责令其限期整改提升，整改完成前将实行项目限批，原则上不得新、改、扩建危险化学品建设项目，有效降低安全风险。</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3.5）组织实施精准化安全风险排查评估，分类建立完善安全风险数据库和信息管理系统，区分“红、橙、黄、蓝”四级安全风险，突出一、二级重大危险源和有毒有害、易燃易爆化工企业，按照“一企一策”、“一园一策”原则，实施最严格的治理整顿。</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（3.6）加强地下水跟踪监测工作，观察地下水的污染动态，好提出适时提出保护措施。一旦发生地下水污染，立即启动地下水污染应急预案，采取有效的措施，保证在最短的时间内解决污染事故。</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行业企业：</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（3.7）易燃易爆的企业，自身要做好防护工作。</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（3.8）企业存在重大安全隐患的，必须立即消除，消除前或消除过程中无法保证安全的，属地应急管理部门应依法责令暂时停产停业或者停止使用相关设施、设备。</w:t>
                  </w:r>
                </w:p>
              </w:tc>
              <w:tc>
                <w:tcPr>
                  <w:tcW w:w="956"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项目将加强风险管理，及时配备应急物资；环评建议项目取得批复后尽快开展突发环境事件应急预案编制及备案工作，并定期开展应急演习，避免风险事故的发生，并与园区应急预案进行联动。</w:t>
                  </w:r>
                </w:p>
              </w:tc>
              <w:tc>
                <w:tcPr>
                  <w:tcW w:w="318"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03"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资源开发利用效率</w:t>
                  </w:r>
                </w:p>
              </w:tc>
              <w:tc>
                <w:tcPr>
                  <w:tcW w:w="3221" w:type="pct"/>
                  <w:tcBorders>
                    <w:tl2br w:val="nil"/>
                    <w:tr2bl w:val="nil"/>
                  </w:tcBorders>
                  <w:vAlign w:val="center"/>
                </w:tcPr>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（4.1）到2025年，工业固体废物综合利用率达到95%，工业用水重复利用率75%。</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（4.2）合理利用土地，提高土地使用效率。</w:t>
                  </w:r>
                </w:p>
                <w:p>
                  <w:pPr>
                    <w:snapToGrid w:val="0"/>
                    <w:spacing w:line="300" w:lineRule="exact"/>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（4.3）加大环境保护政策实施力度，到2035年使园区工业用水循环利用率达到80%。</w:t>
                  </w:r>
                </w:p>
              </w:tc>
              <w:tc>
                <w:tcPr>
                  <w:tcW w:w="956"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w:t>
                  </w:r>
                  <w:r>
                    <w:rPr>
                      <w:rStyle w:val="36"/>
                      <w:rFonts w:hint="eastAsia"/>
                      <w:color w:val="000000" w:themeColor="text1"/>
                      <w:lang w:val="en-US" w:eastAsia="zh-CN"/>
                      <w14:textFill>
                        <w14:solidFill>
                          <w14:schemeClr w14:val="tx1"/>
                        </w14:solidFill>
                      </w14:textFill>
                    </w:rPr>
                    <w:t>为新建项目，</w:t>
                  </w:r>
                  <w:r>
                    <w:rPr>
                      <w:bCs/>
                      <w:color w:val="000000" w:themeColor="text1"/>
                      <w:sz w:val="21"/>
                      <w:szCs w:val="21"/>
                      <w14:textFill>
                        <w14:solidFill>
                          <w14:schemeClr w14:val="tx1"/>
                        </w14:solidFill>
                      </w14:textFill>
                    </w:rPr>
                    <w:t>不属于高耗能项目。</w:t>
                  </w:r>
                </w:p>
              </w:tc>
              <w:tc>
                <w:tcPr>
                  <w:tcW w:w="318" w:type="pct"/>
                  <w:tcBorders>
                    <w:tl2br w:val="nil"/>
                    <w:tr2bl w:val="nil"/>
                  </w:tcBorders>
                  <w:vAlign w:val="center"/>
                </w:tcPr>
                <w:p>
                  <w:pPr>
                    <w:snapToGrid w:val="0"/>
                    <w:spacing w:line="30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bl>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3、与《新疆维吾尔自治区大气污染防治条例》（2019）符合性分析</w:t>
            </w:r>
          </w:p>
          <w:p>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根据2018年11月30日新疆维吾尔自治区第十三届人民代表大会常务委员会第七次会议通过的《新疆维吾尔自治区大气污染防治条例》（2019）中“各级人民政府应当加强对建设施工、矿产资源开采、物料运输的扬尘和沙尘污染的治理，保持道路清洁、控制料堆和渣土堆放，科学合理扩大绿地、水面、湿地、地面铺装和防风固沙绿化面积，防治扬尘污染”。</w:t>
            </w:r>
          </w:p>
          <w:p>
            <w:pPr>
              <w:widowControl/>
              <w:ind w:firstLine="480"/>
              <w:jc w:val="left"/>
              <w:rPr>
                <w:color w:val="000000" w:themeColor="text1"/>
                <w14:textFill>
                  <w14:solidFill>
                    <w14:schemeClr w14:val="tx1"/>
                  </w14:solidFill>
                </w14:textFill>
              </w:rPr>
            </w:pPr>
            <w:r>
              <w:rPr>
                <w:color w:val="000000" w:themeColor="text1"/>
                <w:kern w:val="0"/>
                <w:szCs w:val="22"/>
                <w14:textFill>
                  <w14:solidFill>
                    <w14:schemeClr w14:val="tx1"/>
                  </w14:solidFill>
                </w14:textFill>
              </w:rPr>
              <w:t>本项目</w:t>
            </w:r>
            <w:r>
              <w:rPr>
                <w:color w:val="000000" w:themeColor="text1"/>
                <w14:textFill>
                  <w14:solidFill>
                    <w14:schemeClr w14:val="tx1"/>
                  </w14:solidFill>
                </w14:textFill>
              </w:rPr>
              <w:t>卸料及运输过程中产生的无组织扬尘，通过洒水降尘进行防治，</w:t>
            </w:r>
            <w:r>
              <w:rPr>
                <w:color w:val="000000" w:themeColor="text1"/>
                <w:kern w:val="0"/>
                <w:szCs w:val="22"/>
                <w14:textFill>
                  <w14:solidFill>
                    <w14:schemeClr w14:val="tx1"/>
                  </w14:solidFill>
                </w14:textFill>
              </w:rPr>
              <w:t>堆存区采用洒水降尘、编织覆盖及半封闭式抑尘，</w:t>
            </w:r>
            <w:r>
              <w:rPr>
                <w:color w:val="000000" w:themeColor="text1"/>
                <w14:textFill>
                  <w14:solidFill>
                    <w14:schemeClr w14:val="tx1"/>
                  </w14:solidFill>
                </w14:textFill>
              </w:rPr>
              <w:t>筒仓设置</w:t>
            </w:r>
            <w:r>
              <w:rPr>
                <w:color w:val="000000" w:themeColor="text1"/>
                <w:kern w:val="0"/>
                <w:lang w:bidi="ar"/>
                <w14:textFill>
                  <w14:solidFill>
                    <w14:schemeClr w14:val="tx1"/>
                  </w14:solidFill>
                </w14:textFill>
              </w:rPr>
              <w:t>滤筒式</w:t>
            </w:r>
            <w:r>
              <w:rPr>
                <w:snapToGrid w:val="0"/>
                <w:color w:val="000000" w:themeColor="text1"/>
                <w14:textFill>
                  <w14:solidFill>
                    <w14:schemeClr w14:val="tx1"/>
                  </w14:solidFill>
                </w14:textFill>
              </w:rPr>
              <w:t>除尘器</w:t>
            </w:r>
            <w:r>
              <w:rPr>
                <w:color w:val="000000" w:themeColor="text1"/>
                <w14:textFill>
                  <w14:solidFill>
                    <w14:schemeClr w14:val="tx1"/>
                  </w14:solidFill>
                </w14:textFill>
              </w:rPr>
              <w:t>，各生产环节废气在采取环保措施后均能达标排放，符合《新疆维吾尔自治区大气污染防治条例》（2019）。</w:t>
            </w:r>
          </w:p>
          <w:p>
            <w:pPr>
              <w:autoSpaceDE w:val="0"/>
              <w:autoSpaceDN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4、与《兵团第七师师域城镇体系规划（2012-2030）》符合性分析 </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新疆兵团第七师师域城镇体系规划（2012-2030）》提出的工业布局规划为：拟设胡杨河市工业园区、天北新区工业园、五五工业园、其他工业小区。其中五五工业园规划以生物化工、新材料、石油化工、轻纺、建材、农机制造为主要产业方向。 </w:t>
            </w:r>
          </w:p>
          <w:p>
            <w:pPr>
              <w:autoSpaceDE w:val="0"/>
              <w:autoSpaceDN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胡杨河经济技术开发区南园区，产业发展定位为：着力发展精细化工、新材料为主导产业；新型建材、仓储物流业为辅助产业；装备制造业、创新科技产业、农产品加工、电子元器件产业作为淮安援疆产城融合发展产业。本项目为商砼站项目，符合《新疆兵团第七师师域城镇体系规划（2012-2030）》。</w:t>
            </w:r>
          </w:p>
          <w:p>
            <w:pPr>
              <w:autoSpaceDE w:val="0"/>
              <w:autoSpaceDN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5、选址可行性及规划符合性分析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第七师胡杨河市经济技术开发区柳沟西路以南、西环路以东，中心地理坐标为：东经84°51′27.482″，北纬44°49′28.270″，项目区东侧为新疆绿源新型建材有限公司，南侧为空地，西侧为西环路，北侧为柳沟西路，项目地理位置和项目卫星影像及周边关系见附图</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、附图</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w:t>
            </w:r>
            <w:r>
              <w:rPr>
                <w:color w:val="000000" w:themeColor="text1"/>
                <w:kern w:val="0"/>
                <w14:textFill>
                  <w14:solidFill>
                    <w14:schemeClr w14:val="tx1"/>
                  </w14:solidFill>
                </w14:textFill>
              </w:rPr>
              <w:t>基础设施完善、电力能源供应可靠，能够保证生产所需能源，</w:t>
            </w:r>
            <w:r>
              <w:rPr>
                <w:color w:val="000000" w:themeColor="text1"/>
                <w14:textFill>
                  <w14:solidFill>
                    <w14:schemeClr w14:val="tx1"/>
                  </w14:solidFill>
                </w14:textFill>
              </w:rPr>
              <w:t>项目区厂址条件能够满足生产需要</w:t>
            </w:r>
            <w:r>
              <w:rPr>
                <w:bCs/>
                <w:color w:val="000000" w:themeColor="text1"/>
                <w14:textFill>
                  <w14:solidFill>
                    <w14:schemeClr w14:val="tx1"/>
                  </w14:solidFill>
                </w14:textFill>
              </w:rPr>
              <w:t>，</w:t>
            </w:r>
            <w:r>
              <w:rPr>
                <w:color w:val="000000" w:themeColor="text1"/>
                <w:kern w:val="0"/>
                <w14:textFill>
                  <w14:solidFill>
                    <w14:schemeClr w14:val="tx1"/>
                  </w14:solidFill>
                </w14:textFill>
              </w:rPr>
              <w:t>项目</w:t>
            </w:r>
            <w:r>
              <w:rPr>
                <w:color w:val="000000" w:themeColor="text1"/>
                <w14:textFill>
                  <w14:solidFill>
                    <w14:schemeClr w14:val="tx1"/>
                  </w14:solidFill>
                </w14:textFill>
              </w:rPr>
              <w:t>区为地势高差不大，工程地质条件良好，且周围无风景名胜区、名胜古迹，</w:t>
            </w:r>
            <w:r>
              <w:rPr>
                <w:bCs/>
                <w:color w:val="000000" w:themeColor="text1"/>
                <w14:textFill>
                  <w14:solidFill>
                    <w14:schemeClr w14:val="tx1"/>
                  </w14:solidFill>
                </w14:textFill>
              </w:rPr>
              <w:t>用地条件良好，场地内地形平坦，无滑坡等重大地质灾害影响，厂界外500m范围内无敏感目标分布</w:t>
            </w:r>
            <w:r>
              <w:rPr>
                <w:rFonts w:hint="eastAsia"/>
                <w:bCs/>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项目属于商砼站项目，位于</w:t>
            </w:r>
            <w:r>
              <w:rPr>
                <w:color w:val="000000" w:themeColor="text1"/>
                <w14:textFill>
                  <w14:solidFill>
                    <w14:schemeClr w14:val="tx1"/>
                  </w14:solidFill>
                </w14:textFill>
              </w:rPr>
              <w:t>第七师胡杨河经济技术开发区</w:t>
            </w:r>
            <w:r>
              <w:rPr>
                <w:rFonts w:hint="eastAsia"/>
                <w:color w:val="000000" w:themeColor="text1"/>
                <w14:textFill>
                  <w14:solidFill>
                    <w14:schemeClr w14:val="tx1"/>
                  </w14:solidFill>
                </w14:textFill>
              </w:rPr>
              <w:t>南园区</w:t>
            </w:r>
            <w:r>
              <w:rPr>
                <w:rFonts w:hint="eastAsia"/>
                <w:color w:val="000000" w:themeColor="text1"/>
                <w:lang w:val="en-US" w:eastAsia="zh-CN"/>
                <w14:textFill>
                  <w14:solidFill>
                    <w14:schemeClr w14:val="tx1"/>
                  </w14:solidFill>
                </w14:textFill>
              </w:rPr>
              <w:t>新型建材产业区，</w:t>
            </w:r>
            <w:r>
              <w:rPr>
                <w:color w:val="000000" w:themeColor="text1"/>
                <w14:textFill>
                  <w14:solidFill>
                    <w14:schemeClr w14:val="tx1"/>
                  </w14:solidFill>
                </w14:textFill>
              </w:rPr>
              <w:t>项目建成后为当地提供商品混凝土，有利于当地的发展，符合园区发展定位、产业布局和用地规划等要求</w:t>
            </w:r>
            <w:r>
              <w:rPr>
                <w:rFonts w:hint="eastAsia"/>
                <w:color w:val="000000" w:themeColor="text1"/>
                <w:lang w:eastAsia="zh-CN"/>
                <w14:textFill>
                  <w14:solidFill>
                    <w14:schemeClr w14:val="tx1"/>
                  </w14:solidFill>
                </w14:textFill>
              </w:rPr>
              <w:t>，</w:t>
            </w:r>
            <w:r>
              <w:rPr>
                <w:color w:val="000000" w:themeColor="text1"/>
                <w:szCs w:val="22"/>
                <w14:textFill>
                  <w14:solidFill>
                    <w14:schemeClr w14:val="tx1"/>
                  </w14:solidFill>
                </w14:textFill>
              </w:rPr>
              <w:t>选址及规划合理。</w:t>
            </w:r>
          </w:p>
        </w:tc>
      </w:tr>
    </w:tbl>
    <w:p>
      <w:pPr>
        <w:ind w:firstLine="480"/>
        <w:rPr>
          <w:color w:val="000000" w:themeColor="text1"/>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二、建设内容工程分析</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4751" w:type="pct"/>
            <w:tcBorders>
              <w:tl2br w:val="nil"/>
              <w:tr2bl w:val="nil"/>
            </w:tcBorders>
          </w:tcPr>
          <w:p>
            <w:pPr>
              <w:ind w:firstLine="0" w:firstLineChars="0"/>
              <w:rPr>
                <w:rFonts w:hint="eastAsia" w:eastAsia="宋体"/>
                <w:b/>
                <w:color w:val="000000" w:themeColor="text1"/>
                <w:lang w:eastAsia="zh-CN"/>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lang w:eastAsia="zh-CN"/>
                <w14:textFill>
                  <w14:solidFill>
                    <w14:schemeClr w14:val="tx1"/>
                  </w14:solidFill>
                </w14:textFill>
              </w:rPr>
              <w:t>项目由来</w:t>
            </w:r>
          </w:p>
          <w:p>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z w:val="24"/>
                <w:szCs w:val="24"/>
                <w:lang w:eastAsia="zh-CN"/>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克拉玛依西建建材有限责任公司成立于2012</w:t>
            </w:r>
            <w:r>
              <w:rPr>
                <w:rFonts w:hint="eastAsia" w:cs="Times New Roman"/>
                <w:bCs/>
                <w:color w:val="000000" w:themeColor="text1"/>
                <w:sz w:val="24"/>
                <w:szCs w:val="24"/>
                <w:lang w:eastAsia="zh-CN"/>
                <w14:textFill>
                  <w14:solidFill>
                    <w14:schemeClr w14:val="tx1"/>
                  </w14:solidFill>
                </w14:textFill>
              </w:rPr>
              <w:t>年</w:t>
            </w:r>
            <w:r>
              <w:rPr>
                <w:rFonts w:hint="default" w:ascii="Times New Roman" w:hAnsi="Times New Roman" w:cs="Times New Roman"/>
                <w:bCs/>
                <w:color w:val="000000" w:themeColor="text1"/>
                <w:sz w:val="24"/>
                <w:szCs w:val="24"/>
                <w:lang w:eastAsia="zh-CN"/>
                <w14:textFill>
                  <w14:solidFill>
                    <w14:schemeClr w14:val="tx1"/>
                  </w14:solidFill>
                </w14:textFill>
              </w:rPr>
              <w:t>6</w:t>
            </w:r>
            <w:r>
              <w:rPr>
                <w:rFonts w:hint="eastAsia" w:cs="Times New Roman"/>
                <w:bCs/>
                <w:color w:val="000000" w:themeColor="text1"/>
                <w:sz w:val="24"/>
                <w:szCs w:val="24"/>
                <w:lang w:eastAsia="zh-CN"/>
                <w14:textFill>
                  <w14:solidFill>
                    <w14:schemeClr w14:val="tx1"/>
                  </w14:solidFill>
                </w14:textFill>
              </w:rPr>
              <w:t>月</w:t>
            </w:r>
            <w:r>
              <w:rPr>
                <w:rFonts w:hint="default" w:ascii="Times New Roman" w:hAnsi="Times New Roman" w:cs="Times New Roman"/>
                <w:bCs/>
                <w:color w:val="000000" w:themeColor="text1"/>
                <w:sz w:val="24"/>
                <w:szCs w:val="24"/>
                <w:lang w:eastAsia="zh-CN"/>
                <w14:textFill>
                  <w14:solidFill>
                    <w14:schemeClr w14:val="tx1"/>
                  </w14:solidFill>
                </w14:textFill>
              </w:rPr>
              <w:t>21</w:t>
            </w:r>
            <w:r>
              <w:rPr>
                <w:rFonts w:hint="eastAsia" w:cs="Times New Roman"/>
                <w:bCs/>
                <w:color w:val="000000" w:themeColor="text1"/>
                <w:sz w:val="24"/>
                <w:szCs w:val="24"/>
                <w:lang w:eastAsia="zh-CN"/>
                <w14:textFill>
                  <w14:solidFill>
                    <w14:schemeClr w14:val="tx1"/>
                  </w14:solidFill>
                </w14:textFill>
              </w:rPr>
              <w:t>日，</w:t>
            </w:r>
            <w:r>
              <w:rPr>
                <w:rFonts w:hint="default" w:ascii="Times New Roman" w:hAnsi="Times New Roman" w:cs="Times New Roman"/>
                <w:color w:val="000000" w:themeColor="text1"/>
                <w:sz w:val="24"/>
                <w:szCs w:val="24"/>
                <w:lang w:val="en-US" w:eastAsia="zh-CN"/>
                <w14:textFill>
                  <w14:solidFill>
                    <w14:schemeClr w14:val="tx1"/>
                  </w14:solidFill>
                </w14:textFill>
              </w:rPr>
              <w:t>201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cs="Times New Roman"/>
                <w:color w:val="000000" w:themeColor="text1"/>
                <w:sz w:val="24"/>
                <w:szCs w:val="24"/>
                <w:lang w:val="en-US" w:eastAsia="zh-CN"/>
                <w14:textFill>
                  <w14:solidFill>
                    <w14:schemeClr w14:val="tx1"/>
                  </w14:solidFill>
                </w14:textFill>
              </w:rPr>
              <w:t>月，克拉玛依西建建材有限责任公司</w:t>
            </w:r>
            <w:r>
              <w:rPr>
                <w:rFonts w:hint="default" w:ascii="Times New Roman" w:hAnsi="Times New Roman" w:cs="Times New Roman"/>
                <w:color w:val="000000" w:themeColor="text1"/>
                <w:sz w:val="24"/>
                <w:lang w:val="en-US" w:eastAsia="zh-CN"/>
                <w14:textFill>
                  <w14:solidFill>
                    <w14:schemeClr w14:val="tx1"/>
                  </w14:solidFill>
                </w14:textFill>
              </w:rPr>
              <w:t>委托</w:t>
            </w:r>
            <w:r>
              <w:rPr>
                <w:rFonts w:hint="eastAsia" w:ascii="Times New Roman" w:hAnsi="Times New Roman" w:cs="Times New Roman"/>
                <w:color w:val="000000" w:themeColor="text1"/>
                <w:sz w:val="24"/>
                <w:lang w:val="en-US" w:eastAsia="zh-CN"/>
                <w14:textFill>
                  <w14:solidFill>
                    <w14:schemeClr w14:val="tx1"/>
                  </w14:solidFill>
                </w14:textFill>
              </w:rPr>
              <w:t>中国天辰工程有限公司</w:t>
            </w:r>
            <w:r>
              <w:rPr>
                <w:rFonts w:hint="default" w:ascii="Times New Roman" w:hAnsi="Times New Roman" w:cs="Times New Roman"/>
                <w:color w:val="000000" w:themeColor="text1"/>
                <w:sz w:val="24"/>
                <w:szCs w:val="24"/>
                <w:lang w:val="en-US" w:eastAsia="zh-CN"/>
                <w14:textFill>
                  <w14:solidFill>
                    <w14:schemeClr w14:val="tx1"/>
                  </w14:solidFill>
                </w14:textFill>
              </w:rPr>
              <w:t>编制了《克拉玛依西建建材有限责任公司</w:t>
            </w:r>
            <w:r>
              <w:rPr>
                <w:rFonts w:hint="eastAsia" w:ascii="Times New Roman" w:hAnsi="Times New Roman" w:cs="Times New Roman"/>
                <w:color w:val="000000" w:themeColor="text1"/>
                <w:sz w:val="24"/>
                <w:szCs w:val="24"/>
                <w:lang w:val="en-US" w:eastAsia="zh-CN"/>
                <w14:textFill>
                  <w14:solidFill>
                    <w14:schemeClr w14:val="tx1"/>
                  </w14:solidFill>
                </w14:textFill>
              </w:rPr>
              <w:t>年产50万立方米商品混凝土项目</w:t>
            </w:r>
            <w:r>
              <w:rPr>
                <w:rFonts w:hint="default" w:ascii="Times New Roman" w:hAnsi="Times New Roman" w:cs="Times New Roman"/>
                <w:color w:val="000000" w:themeColor="text1"/>
                <w:sz w:val="24"/>
                <w:szCs w:val="24"/>
                <w:lang w:val="en-US" w:eastAsia="zh-CN"/>
                <w14:textFill>
                  <w14:solidFill>
                    <w14:schemeClr w14:val="tx1"/>
                  </w14:solidFill>
                </w14:textFill>
              </w:rPr>
              <w:t>环境影响报告表》，</w:t>
            </w:r>
            <w:r>
              <w:rPr>
                <w:rFonts w:hint="eastAsia" w:ascii="Times New Roman" w:hAnsi="Times New Roman" w:cs="Times New Roman"/>
                <w:color w:val="000000" w:themeColor="text1"/>
                <w:sz w:val="24"/>
                <w:szCs w:val="24"/>
                <w:lang w:val="en-US" w:eastAsia="zh-CN"/>
                <w14:textFill>
                  <w14:solidFill>
                    <w14:schemeClr w14:val="tx1"/>
                  </w14:solidFill>
                </w14:textFill>
              </w:rPr>
              <w:t>农七师</w:t>
            </w:r>
            <w:r>
              <w:rPr>
                <w:rFonts w:hint="default" w:ascii="Times New Roman" w:hAnsi="Times New Roman" w:cs="Times New Roman"/>
                <w:color w:val="000000" w:themeColor="text1"/>
                <w:sz w:val="24"/>
                <w:szCs w:val="24"/>
                <w:lang w:val="en-US" w:eastAsia="zh-CN"/>
                <w14:textFill>
                  <w14:solidFill>
                    <w14:schemeClr w14:val="tx1"/>
                  </w14:solidFill>
                </w14:textFill>
              </w:rPr>
              <w:t>环保局</w:t>
            </w:r>
            <w:r>
              <w:rPr>
                <w:rFonts w:hint="eastAsia" w:ascii="Times New Roman" w:hAnsi="Times New Roman" w:cs="Times New Roman"/>
                <w:color w:val="000000" w:themeColor="text1"/>
                <w:sz w:val="24"/>
                <w:szCs w:val="24"/>
                <w:lang w:val="en-US" w:eastAsia="zh-CN"/>
                <w14:textFill>
                  <w14:solidFill>
                    <w14:schemeClr w14:val="tx1"/>
                  </w14:solidFill>
                </w14:textFill>
              </w:rPr>
              <w:t>（现第七师生态环境局）</w:t>
            </w:r>
            <w:r>
              <w:rPr>
                <w:rFonts w:hint="default" w:ascii="Times New Roman" w:hAnsi="Times New Roman" w:cs="Times New Roman"/>
                <w:color w:val="000000" w:themeColor="text1"/>
                <w:sz w:val="24"/>
                <w:szCs w:val="24"/>
                <w:lang w:val="en-US" w:eastAsia="zh-CN"/>
                <w14:textFill>
                  <w14:solidFill>
                    <w14:schemeClr w14:val="tx1"/>
                  </w14:solidFill>
                </w14:textFill>
              </w:rPr>
              <w:t>于201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25</w:t>
            </w:r>
            <w:r>
              <w:rPr>
                <w:rFonts w:hint="default" w:ascii="Times New Roman" w:hAnsi="Times New Roman" w:cs="Times New Roman"/>
                <w:color w:val="000000" w:themeColor="text1"/>
                <w:sz w:val="24"/>
                <w:szCs w:val="24"/>
                <w:lang w:val="en-US" w:eastAsia="zh-CN"/>
                <w14:textFill>
                  <w14:solidFill>
                    <w14:schemeClr w14:val="tx1"/>
                  </w14:solidFill>
                </w14:textFill>
              </w:rPr>
              <w:t>日批复了该项目，批准文号：师环</w:t>
            </w:r>
            <w:r>
              <w:rPr>
                <w:rFonts w:hint="eastAsia" w:ascii="Times New Roman" w:hAnsi="Times New Roman" w:cs="Times New Roman"/>
                <w:color w:val="000000" w:themeColor="text1"/>
                <w:sz w:val="24"/>
                <w:szCs w:val="24"/>
                <w:lang w:val="en-US" w:eastAsia="zh-CN"/>
                <w14:textFill>
                  <w14:solidFill>
                    <w14:schemeClr w14:val="tx1"/>
                  </w14:solidFill>
                </w14:textFill>
              </w:rPr>
              <w:t>发</w:t>
            </w:r>
            <w:r>
              <w:rPr>
                <w:rFonts w:hint="default" w:ascii="Times New Roman" w:hAnsi="Times New Roman" w:cs="Times New Roman"/>
                <w:color w:val="000000" w:themeColor="text1"/>
                <w:sz w:val="24"/>
                <w:szCs w:val="24"/>
                <w:lang w:val="en-US" w:eastAsia="zh-CN"/>
                <w14:textFill>
                  <w14:solidFill>
                    <w14:schemeClr w14:val="tx1"/>
                  </w14:solidFill>
                </w14:textFill>
              </w:rPr>
              <w:t>〔201</w:t>
            </w:r>
            <w:r>
              <w:rPr>
                <w:rFonts w:hint="eastAsia" w:ascii="Times New Roman" w:hAnsi="Times New Roman" w:cs="Times New Roman"/>
                <w:color w:val="000000" w:themeColor="text1"/>
                <w:sz w:val="24"/>
                <w:szCs w:val="24"/>
                <w:lang w:val="en-US" w:eastAsia="zh-CN"/>
                <w14:textFill>
                  <w14:solidFill>
                    <w14:schemeClr w14:val="tx1"/>
                  </w14:solidFill>
                </w14:textFill>
              </w:rPr>
              <w:t>2〕157</w:t>
            </w:r>
            <w:r>
              <w:rPr>
                <w:rFonts w:hint="default" w:ascii="Times New Roman" w:hAnsi="Times New Roman" w:cs="Times New Roman"/>
                <w:color w:val="000000" w:themeColor="text1"/>
                <w:sz w:val="24"/>
                <w:szCs w:val="24"/>
                <w:lang w:val="en-US" w:eastAsia="zh-CN"/>
                <w14:textFill>
                  <w14:solidFill>
                    <w14:schemeClr w14:val="tx1"/>
                  </w14:solidFill>
                </w14:textFill>
              </w:rPr>
              <w:t>号。</w:t>
            </w:r>
            <w:r>
              <w:rPr>
                <w:rFonts w:hint="eastAsia" w:cs="Times New Roman"/>
                <w:color w:val="000000" w:themeColor="text1"/>
                <w:sz w:val="24"/>
                <w:szCs w:val="24"/>
                <w:lang w:val="en-US" w:eastAsia="zh-CN"/>
                <w14:textFill>
                  <w14:solidFill>
                    <w14:schemeClr w14:val="tx1"/>
                  </w14:solidFill>
                </w14:textFill>
              </w:rPr>
              <w:t>因产品规模与市场需求不符合，同时资金未到位，</w:t>
            </w:r>
            <w:r>
              <w:rPr>
                <w:rFonts w:hint="default" w:ascii="Times New Roman" w:hAnsi="Times New Roman" w:cs="Times New Roman"/>
                <w:color w:val="000000" w:themeColor="text1"/>
                <w:sz w:val="24"/>
                <w:szCs w:val="24"/>
                <w:lang w:val="en-US" w:eastAsia="zh-CN"/>
                <w14:textFill>
                  <w14:solidFill>
                    <w14:schemeClr w14:val="tx1"/>
                  </w14:solidFill>
                </w14:textFill>
              </w:rPr>
              <w:t>克拉玛依西建建材有限责任公司年产50万立方米商品混凝土项目</w:t>
            </w:r>
            <w:r>
              <w:rPr>
                <w:rFonts w:hint="eastAsia" w:ascii="Times New Roman" w:hAnsi="Times New Roman" w:cs="Times New Roman"/>
                <w:color w:val="000000" w:themeColor="text1"/>
                <w:sz w:val="24"/>
                <w:szCs w:val="24"/>
                <w:lang w:val="en-US" w:eastAsia="zh-CN"/>
                <w14:textFill>
                  <w14:solidFill>
                    <w14:schemeClr w14:val="tx1"/>
                  </w14:solidFill>
                </w14:textFill>
              </w:rPr>
              <w:t>已停产。</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由于</w:t>
            </w:r>
            <w:r>
              <w:rPr>
                <w:rFonts w:hint="default" w:ascii="Times New Roman" w:hAnsi="Times New Roman" w:cs="Times New Roman"/>
                <w:color w:val="000000" w:themeColor="text1"/>
                <w:sz w:val="24"/>
                <w:szCs w:val="24"/>
                <w:highlight w:val="none"/>
                <w:lang w:eastAsia="zh-CN"/>
                <w14:textFill>
                  <w14:solidFill>
                    <w14:schemeClr w14:val="tx1"/>
                  </w14:solidFill>
                </w14:textFill>
              </w:rPr>
              <w:t>胡杨河市经济技术开发区</w:t>
            </w:r>
            <w:r>
              <w:rPr>
                <w:rFonts w:hint="eastAsia" w:cs="Times New Roman"/>
                <w:color w:val="000000" w:themeColor="text1"/>
                <w:sz w:val="24"/>
                <w:szCs w:val="24"/>
                <w:highlight w:val="none"/>
                <w:lang w:eastAsia="zh-CN"/>
                <w14:textFill>
                  <w14:solidFill>
                    <w14:schemeClr w14:val="tx1"/>
                  </w14:solidFill>
                </w14:textFill>
              </w:rPr>
              <w:t>及周边地区发展迅速，急需大量混凝土供应，</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2021年</w:t>
            </w:r>
            <w:r>
              <w:rPr>
                <w:rFonts w:hint="default" w:ascii="Times New Roman" w:hAnsi="Times New Roman" w:cs="Times New Roman"/>
                <w:bCs/>
                <w:color w:val="000000" w:themeColor="text1"/>
                <w:sz w:val="24"/>
                <w:szCs w:val="24"/>
                <w:lang w:eastAsia="zh-CN"/>
                <w14:textFill>
                  <w14:solidFill>
                    <w14:schemeClr w14:val="tx1"/>
                  </w14:solidFill>
                </w14:textFill>
              </w:rPr>
              <w:t>克拉玛依西建建材有限责任公司</w:t>
            </w:r>
            <w:r>
              <w:rPr>
                <w:rFonts w:hint="eastAsia" w:ascii="Times New Roman" w:hAnsi="Times New Roman" w:eastAsia="宋体" w:cs="Times New Roman"/>
                <w:caps w:val="0"/>
                <w:color w:val="000000" w:themeColor="text1"/>
                <w:sz w:val="24"/>
                <w:highlight w:val="none"/>
                <w:lang w:val="en-US" w:eastAsia="zh-CN"/>
                <w14:textFill>
                  <w14:solidFill>
                    <w14:schemeClr w14:val="tx1"/>
                  </w14:solidFill>
                </w14:textFill>
              </w:rPr>
              <w:t>根据目前市场需求，拟重新规划建设项目，于2021年向</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胡杨河经济技术开发区经济发展局提出备案申请，并于2021年6月15日取得“新疆生产建设兵团投资项目备案证”（胡杨河经开区（原料）备〔2021〕024号）</w:t>
            </w:r>
            <w:r>
              <w:rPr>
                <w:rFonts w:hint="eastAsia" w:ascii="Times New Roman" w:hAnsi="Times New Roman" w:eastAsia="宋体"/>
                <w:b w:val="0"/>
                <w:bCs w:val="0"/>
                <w:caps w:val="0"/>
                <w:color w:val="000000" w:themeColor="text1"/>
                <w:sz w:val="24"/>
                <w:highlight w:val="none"/>
                <w:lang w:val="en-US" w:eastAsia="zh-CN"/>
                <w14:textFill>
                  <w14:solidFill>
                    <w14:schemeClr w14:val="tx1"/>
                  </w14:solidFill>
                </w14:textFill>
              </w:rPr>
              <w:t>，项目建设性质为新建</w:t>
            </w:r>
            <w:r>
              <w:rPr>
                <w:rFonts w:hint="eastAsia"/>
                <w:b w:val="0"/>
                <w:bCs w:val="0"/>
                <w:caps w:val="0"/>
                <w:color w:val="000000" w:themeColor="text1"/>
                <w:sz w:val="24"/>
                <w:highlight w:val="none"/>
                <w:lang w:val="en-US" w:eastAsia="zh-CN"/>
                <w14:textFill>
                  <w14:solidFill>
                    <w14:schemeClr w14:val="tx1"/>
                  </w14:solidFill>
                </w14:textFill>
              </w:rPr>
              <w:t>，建设单位于2022年对厂区平面布置进行规划设计，其中原有已建成的办公生活区、停车区及原料堆场等利旧，生产区及门卫室等重新规划设计。</w:t>
            </w:r>
          </w:p>
          <w:p>
            <w:pPr>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2、建设内容及规模</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本项目新建180混凝土生产线一条，配套建设门卫室等公辅工程。项目建成后年产70万m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商品混凝土。</w:t>
            </w:r>
          </w:p>
          <w:p>
            <w:pPr>
              <w:ind w:firstLine="480"/>
              <w:rPr>
                <w:rFonts w:eastAsia="黑体"/>
                <w:b/>
                <w:bCs/>
                <w:color w:val="000000" w:themeColor="text1"/>
                <w:szCs w:val="21"/>
                <w14:textFill>
                  <w14:solidFill>
                    <w14:schemeClr w14:val="tx1"/>
                  </w14:solidFill>
                </w14:textFill>
              </w:rPr>
            </w:pPr>
            <w:r>
              <w:rPr>
                <w:color w:val="000000" w:themeColor="text1"/>
                <w14:textFill>
                  <w14:solidFill>
                    <w14:schemeClr w14:val="tx1"/>
                  </w14:solidFill>
                </w14:textFill>
              </w:rPr>
              <w:t>本项目主要由主体工程、辅助工程、</w:t>
            </w:r>
            <w:r>
              <w:rPr>
                <w:rFonts w:hint="eastAsia"/>
                <w:color w:val="000000" w:themeColor="text1"/>
                <w:lang w:eastAsia="zh-CN"/>
                <w14:textFill>
                  <w14:solidFill>
                    <w14:schemeClr w14:val="tx1"/>
                  </w14:solidFill>
                </w14:textFill>
              </w:rPr>
              <w:t>依托工程、</w:t>
            </w:r>
            <w:r>
              <w:rPr>
                <w:color w:val="000000" w:themeColor="text1"/>
                <w14:textFill>
                  <w14:solidFill>
                    <w14:schemeClr w14:val="tx1"/>
                  </w14:solidFill>
                </w14:textFill>
              </w:rPr>
              <w:t>储运工程、公用工程和环保工程组成，项目组成情况见表2-1。</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 xml:space="preserve"> 表2-1   项目组成情况</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078"/>
              <w:gridCol w:w="5865"/>
              <w:gridCol w:w="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工程类别</w:t>
                  </w:r>
                </w:p>
              </w:tc>
              <w:tc>
                <w:tcPr>
                  <w:tcW w:w="4135" w:type="pct"/>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建设内容</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restar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主体工程</w:t>
                  </w:r>
                </w:p>
              </w:tc>
              <w:tc>
                <w:tcPr>
                  <w:tcW w:w="642" w:type="pct"/>
                  <w:vMerge w:val="restar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生产区</w:t>
                  </w:r>
                </w:p>
              </w:tc>
              <w:tc>
                <w:tcPr>
                  <w:tcW w:w="3493"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新建1座混凝土搅拌楼：1 座1层，整个搅拌车间采取彩钢顶棚+四面遮挡（进出口采用门+篷布遮挡）；建筑面积约500m</w:t>
                  </w:r>
                  <w:r>
                    <w:rPr>
                      <w:color w:val="000000" w:themeColor="text1"/>
                      <w:spacing w:val="-8"/>
                      <w:sz w:val="21"/>
                      <w:szCs w:val="21"/>
                      <w:vertAlign w:val="superscript"/>
                      <w14:textFill>
                        <w14:solidFill>
                          <w14:schemeClr w14:val="tx1"/>
                        </w14:solidFill>
                      </w14:textFill>
                    </w:rPr>
                    <w:t>2</w:t>
                  </w:r>
                  <w:r>
                    <w:rPr>
                      <w:color w:val="000000" w:themeColor="text1"/>
                      <w:spacing w:val="-8"/>
                      <w:sz w:val="21"/>
                      <w:szCs w:val="21"/>
                      <w14:textFill>
                        <w14:solidFill>
                          <w14:schemeClr w14:val="tx1"/>
                        </w14:solidFill>
                      </w14:textFill>
                    </w:rPr>
                    <w:t>，内设1条混凝土自动化生产线，主要包括配料站、斜皮带机、主机、水泥计量、搅拌主楼、控制系统、原料罐等。</w:t>
                  </w:r>
                </w:p>
              </w:tc>
              <w:tc>
                <w:tcPr>
                  <w:tcW w:w="456"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p>
              </w:tc>
              <w:tc>
                <w:tcPr>
                  <w:tcW w:w="642" w:type="pct"/>
                  <w:vMerge w:val="continue"/>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p>
              </w:tc>
              <w:tc>
                <w:tcPr>
                  <w:tcW w:w="3493"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料仓：</w:t>
                  </w:r>
                  <w:r>
                    <w:rPr>
                      <w:bCs/>
                      <w:color w:val="000000" w:themeColor="text1"/>
                      <w:sz w:val="21"/>
                      <w:szCs w:val="21"/>
                      <w14:textFill>
                        <w14:solidFill>
                          <w14:schemeClr w14:val="tx1"/>
                        </w14:solidFill>
                      </w14:textFill>
                    </w:rPr>
                    <w:t>本项目新建1条混凝土生产线，生产线包括8个仓筒，</w:t>
                  </w:r>
                  <w:r>
                    <w:rPr>
                      <w:color w:val="000000" w:themeColor="text1"/>
                      <w:sz w:val="21"/>
                      <w:szCs w:val="21"/>
                      <w14:textFill>
                        <w14:solidFill>
                          <w14:schemeClr w14:val="tx1"/>
                        </w14:solidFill>
                      </w14:textFill>
                    </w:rPr>
                    <w:t>位于搅拌楼西侧，</w:t>
                  </w:r>
                  <w:r>
                    <w:rPr>
                      <w:bCs/>
                      <w:color w:val="000000" w:themeColor="text1"/>
                      <w:sz w:val="21"/>
                      <w:szCs w:val="21"/>
                      <w14:textFill>
                        <w14:solidFill>
                          <w14:schemeClr w14:val="tx1"/>
                        </w14:solidFill>
                      </w14:textFill>
                    </w:rPr>
                    <w:t>分别为4个水泥仓筒（200t）、2个粉煤灰筒仓（200t）和2个矿粉筒仓（200t）</w:t>
                  </w:r>
                </w:p>
              </w:tc>
              <w:tc>
                <w:tcPr>
                  <w:tcW w:w="456"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辅助工程</w:t>
                  </w:r>
                </w:p>
              </w:tc>
              <w:tc>
                <w:tcPr>
                  <w:tcW w:w="642"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门卫室</w:t>
                  </w:r>
                </w:p>
              </w:tc>
              <w:tc>
                <w:tcPr>
                  <w:tcW w:w="3493"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新建1座门卫室，建筑面积216m</w:t>
                  </w:r>
                  <w:r>
                    <w:rPr>
                      <w:color w:val="000000" w:themeColor="text1"/>
                      <w:spacing w:val="-8"/>
                      <w:sz w:val="21"/>
                      <w:szCs w:val="21"/>
                      <w:vertAlign w:val="superscript"/>
                      <w14:textFill>
                        <w14:solidFill>
                          <w14:schemeClr w14:val="tx1"/>
                        </w14:solidFill>
                      </w14:textFill>
                    </w:rPr>
                    <w:t>2</w:t>
                  </w:r>
                </w:p>
              </w:tc>
              <w:tc>
                <w:tcPr>
                  <w:tcW w:w="456"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restart"/>
                  <w:tcBorders>
                    <w:tl2br w:val="nil"/>
                    <w:tr2bl w:val="nil"/>
                  </w:tcBorders>
                  <w:vAlign w:val="center"/>
                </w:tcPr>
                <w:p>
                  <w:pPr>
                    <w:spacing w:line="240" w:lineRule="auto"/>
                    <w:ind w:firstLine="0" w:firstLineChars="0"/>
                    <w:jc w:val="center"/>
                    <w:rPr>
                      <w:rFonts w:hint="eastAsia" w:eastAsia="宋体"/>
                      <w:color w:val="000000" w:themeColor="text1"/>
                      <w:spacing w:val="-8"/>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依托工程</w:t>
                  </w:r>
                </w:p>
              </w:tc>
              <w:tc>
                <w:tcPr>
                  <w:tcW w:w="642"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办公</w:t>
                  </w:r>
                </w:p>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生活区</w:t>
                  </w:r>
                </w:p>
              </w:tc>
              <w:tc>
                <w:tcPr>
                  <w:tcW w:w="3493"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位于厂区北侧，建筑面积500m</w:t>
                  </w:r>
                  <w:r>
                    <w:rPr>
                      <w:color w:val="000000" w:themeColor="text1"/>
                      <w:spacing w:val="-8"/>
                      <w:sz w:val="21"/>
                      <w:szCs w:val="21"/>
                      <w:vertAlign w:val="superscript"/>
                      <w14:textFill>
                        <w14:solidFill>
                          <w14:schemeClr w14:val="tx1"/>
                        </w14:solidFill>
                      </w14:textFill>
                    </w:rPr>
                    <w:t>2</w:t>
                  </w:r>
                </w:p>
              </w:tc>
              <w:tc>
                <w:tcPr>
                  <w:tcW w:w="456"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rFonts w:hint="eastAsia" w:cs="Times New Roman"/>
                      <w:color w:val="000000" w:themeColor="text1"/>
                      <w:spacing w:val="-8"/>
                      <w:kern w:val="2"/>
                      <w:sz w:val="21"/>
                      <w:szCs w:val="21"/>
                      <w:lang w:val="en-US" w:eastAsia="zh-CN" w:bidi="ar-SA"/>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停车区</w:t>
                  </w:r>
                </w:p>
              </w:tc>
              <w:tc>
                <w:tcPr>
                  <w:tcW w:w="3493"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color w:val="000000" w:themeColor="text1"/>
                      <w:spacing w:val="-8"/>
                      <w:sz w:val="21"/>
                      <w:szCs w:val="21"/>
                      <w14:textFill>
                        <w14:solidFill>
                          <w14:schemeClr w14:val="tx1"/>
                        </w14:solidFill>
                      </w14:textFill>
                    </w:rPr>
                    <w:t>位于厂区南侧，占地面积2000m</w:t>
                  </w:r>
                  <w:r>
                    <w:rPr>
                      <w:color w:val="000000" w:themeColor="text1"/>
                      <w:spacing w:val="-8"/>
                      <w:sz w:val="21"/>
                      <w:szCs w:val="21"/>
                      <w:vertAlign w:val="superscript"/>
                      <w14:textFill>
                        <w14:solidFill>
                          <w14:schemeClr w14:val="tx1"/>
                        </w14:solidFill>
                      </w14:textFill>
                    </w:rPr>
                    <w:t>2</w:t>
                  </w:r>
                </w:p>
              </w:tc>
              <w:tc>
                <w:tcPr>
                  <w:tcW w:w="456" w:type="pct"/>
                  <w:tcBorders>
                    <w:tl2br w:val="nil"/>
                    <w:tr2bl w:val="nil"/>
                  </w:tcBorders>
                  <w:vAlign w:val="center"/>
                </w:tcPr>
                <w:p>
                  <w:pPr>
                    <w:spacing w:line="240" w:lineRule="auto"/>
                    <w:ind w:firstLine="0" w:firstLineChars="0"/>
                    <w:jc w:val="center"/>
                    <w:rPr>
                      <w:rFonts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rFonts w:hint="eastAsia" w:cs="Times New Roman"/>
                      <w:color w:val="000000" w:themeColor="text1"/>
                      <w:spacing w:val="-8"/>
                      <w:kern w:val="2"/>
                      <w:sz w:val="21"/>
                      <w:szCs w:val="21"/>
                      <w:lang w:val="en-US" w:eastAsia="zh-CN" w:bidi="ar-SA"/>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restar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储运工程</w:t>
                  </w:r>
                </w:p>
              </w:tc>
              <w:tc>
                <w:tcPr>
                  <w:tcW w:w="642"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原料堆场</w:t>
                  </w:r>
                </w:p>
              </w:tc>
              <w:tc>
                <w:tcPr>
                  <w:tcW w:w="3493"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位于厂区东侧，采用半封闭式，占地面积800m</w:t>
                  </w:r>
                  <w:r>
                    <w:rPr>
                      <w:color w:val="000000" w:themeColor="text1"/>
                      <w:spacing w:val="-8"/>
                      <w:sz w:val="21"/>
                      <w:szCs w:val="21"/>
                      <w:vertAlign w:val="superscript"/>
                      <w14:textFill>
                        <w14:solidFill>
                          <w14:schemeClr w14:val="tx1"/>
                        </w14:solidFill>
                      </w14:textFill>
                    </w:rPr>
                    <w:t>2</w:t>
                  </w:r>
                </w:p>
              </w:tc>
              <w:tc>
                <w:tcPr>
                  <w:tcW w:w="456"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rFonts w:hint="eastAsia" w:cs="Times New Roman"/>
                      <w:color w:val="000000" w:themeColor="text1"/>
                      <w:spacing w:val="-8"/>
                      <w:kern w:val="2"/>
                      <w:sz w:val="21"/>
                      <w:szCs w:val="21"/>
                      <w:lang w:val="en-US" w:eastAsia="zh-CN" w:bidi="ar-SA"/>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运输方式</w:t>
                  </w:r>
                </w:p>
              </w:tc>
              <w:tc>
                <w:tcPr>
                  <w:tcW w:w="3493"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汽车运输</w:t>
                  </w:r>
                </w:p>
              </w:tc>
              <w:tc>
                <w:tcPr>
                  <w:tcW w:w="456" w:type="pct"/>
                  <w:tcBorders>
                    <w:tl2br w:val="nil"/>
                    <w:tr2bl w:val="nil"/>
                  </w:tcBorders>
                  <w:vAlign w:val="center"/>
                </w:tcPr>
                <w:p>
                  <w:pPr>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当地供电电网供电</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当地供水系统供水</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生活污水经隔油池（1m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）处理后排入下水管网，最终进入</w:t>
                  </w:r>
                  <w:r>
                    <w:rPr>
                      <w:rFonts w:hint="eastAsia"/>
                      <w:color w:val="000000" w:themeColor="text1"/>
                      <w:sz w:val="21"/>
                      <w:szCs w:val="21"/>
                      <w14:textFill>
                        <w14:solidFill>
                          <w14:schemeClr w14:val="tx1"/>
                        </w14:solidFill>
                      </w14:textFill>
                    </w:rPr>
                    <w:t>胡杨河经济技术开发区（南区）污水处理厂</w:t>
                  </w:r>
                  <w:r>
                    <w:rPr>
                      <w:color w:val="000000" w:themeColor="text1"/>
                      <w:sz w:val="21"/>
                      <w:szCs w:val="21"/>
                      <w14:textFill>
                        <w14:solidFill>
                          <w14:schemeClr w14:val="tx1"/>
                        </w14:solidFill>
                      </w14:textFill>
                    </w:rPr>
                    <w:t>；生产废水经沉淀池（</w:t>
                  </w:r>
                  <w:r>
                    <w:rPr>
                      <w:rFonts w:hint="eastAsia"/>
                      <w:color w:val="000000" w:themeColor="text1"/>
                      <w:sz w:val="21"/>
                      <w:szCs w:val="21"/>
                      <w:lang w:val="en-US" w:eastAsia="zh-CN"/>
                      <w14:textFill>
                        <w14:solidFill>
                          <w14:schemeClr w14:val="tx1"/>
                        </w14:solidFill>
                      </w14:textFill>
                    </w:rPr>
                    <w:t>6</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）处理后回用于生产</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供热</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冬季供暖采用电采暖</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废水治理</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生活污水经隔油池（1m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）处理后排入下水管网，最终进入</w:t>
                  </w:r>
                  <w:r>
                    <w:rPr>
                      <w:rFonts w:hint="eastAsia"/>
                      <w:color w:val="000000" w:themeColor="text1"/>
                      <w:sz w:val="21"/>
                      <w:szCs w:val="21"/>
                      <w14:textFill>
                        <w14:solidFill>
                          <w14:schemeClr w14:val="tx1"/>
                        </w14:solidFill>
                      </w14:textFill>
                    </w:rPr>
                    <w:t>胡杨河经济技术开发区（南区）污水处理厂</w:t>
                  </w:r>
                  <w:r>
                    <w:rPr>
                      <w:color w:val="000000" w:themeColor="text1"/>
                      <w:sz w:val="21"/>
                      <w:szCs w:val="21"/>
                      <w14:textFill>
                        <w14:solidFill>
                          <w14:schemeClr w14:val="tx1"/>
                        </w14:solidFill>
                      </w14:textFill>
                    </w:rPr>
                    <w:t>；生产废水经沉淀池（</w:t>
                  </w:r>
                  <w:r>
                    <w:rPr>
                      <w:rFonts w:hint="eastAsia"/>
                      <w:color w:val="000000" w:themeColor="text1"/>
                      <w:sz w:val="21"/>
                      <w:szCs w:val="21"/>
                      <w:lang w:val="en-US" w:eastAsia="zh-CN"/>
                      <w14:textFill>
                        <w14:solidFill>
                          <w14:schemeClr w14:val="tx1"/>
                        </w14:solidFill>
                      </w14:textFill>
                    </w:rPr>
                    <w:t>6</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）处理后回用于生产</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卸料及运输通过洒水降尘进行防治；</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堆存区采用洒水降尘、编织覆盖及半封闭式抑尘；</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筒仓各设置1套滤筒式除尘器（共8套，除尘效率为99.7%，风量为4000m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/h），粉尘通过滤筒式除尘器（除尘效率99.7%）处理15m高排气筒（DA001</w:t>
                  </w:r>
                  <w:r>
                    <w:rPr>
                      <w:rFonts w:hint="eastAsia"/>
                      <w:color w:val="000000" w:themeColor="text1"/>
                      <w:sz w:val="21"/>
                      <w:szCs w:val="21"/>
                      <w:lang w:val="en-US" w:eastAsia="zh-CN"/>
                      <w14:textFill>
                        <w14:solidFill>
                          <w14:schemeClr w14:val="tx1"/>
                        </w14:solidFill>
                      </w14:textFill>
                    </w:rPr>
                    <w:t>~DA008</w:t>
                  </w:r>
                  <w:r>
                    <w:rPr>
                      <w:color w:val="000000" w:themeColor="text1"/>
                      <w:sz w:val="21"/>
                      <w:szCs w:val="21"/>
                      <w14:textFill>
                        <w14:solidFill>
                          <w14:schemeClr w14:val="tx1"/>
                        </w14:solidFill>
                      </w14:textFill>
                    </w:rPr>
                    <w:t>）排放；</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搅拌系统采用1套脉冲反吹布袋除尘器（除尘效率99.7%），经处理后的粉尘经15m排气筒排放（DA00</w:t>
                  </w:r>
                  <w:r>
                    <w:rPr>
                      <w:rFonts w:hint="eastAsia"/>
                      <w:color w:val="000000" w:themeColor="text1"/>
                      <w:sz w:val="21"/>
                      <w:szCs w:val="21"/>
                      <w:lang w:val="en-US" w:eastAsia="zh-CN"/>
                      <w14:textFill>
                        <w14:solidFill>
                          <w14:schemeClr w14:val="tx1"/>
                        </w14:solidFill>
                      </w14:textFill>
                    </w:rPr>
                    <w:t>9</w:t>
                  </w:r>
                  <w:r>
                    <w:rPr>
                      <w:color w:val="000000" w:themeColor="text1"/>
                      <w:sz w:val="21"/>
                      <w:szCs w:val="21"/>
                      <w14:textFill>
                        <w14:solidFill>
                          <w14:schemeClr w14:val="tx1"/>
                        </w14:solidFill>
                      </w14:textFill>
                    </w:rPr>
                    <w:t>）；</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食堂油烟通过油烟净化设施处理后，经</w:t>
                  </w:r>
                  <w:r>
                    <w:rPr>
                      <w:rFonts w:hint="eastAsia"/>
                      <w:color w:val="000000" w:themeColor="text1"/>
                      <w:sz w:val="21"/>
                      <w:szCs w:val="21"/>
                      <w:lang w:val="en-US" w:eastAsia="zh-CN"/>
                      <w14:textFill>
                        <w14:solidFill>
                          <w14:schemeClr w14:val="tx1"/>
                        </w14:solidFill>
                      </w14:textFill>
                    </w:rPr>
                    <w:t>油烟专用排气筒</w:t>
                  </w:r>
                  <w:r>
                    <w:rPr>
                      <w:color w:val="000000" w:themeColor="text1"/>
                      <w:sz w:val="21"/>
                      <w:szCs w:val="21"/>
                      <w14:textFill>
                        <w14:solidFill>
                          <w14:schemeClr w14:val="tx1"/>
                        </w14:solidFill>
                      </w14:textFill>
                    </w:rPr>
                    <w:t>排放</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噪声处理</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选用低噪声设备，采取减振、密闭、隔声等处理措施</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08"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4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固废治理</w:t>
                  </w:r>
                </w:p>
              </w:tc>
              <w:tc>
                <w:tcPr>
                  <w:tcW w:w="34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生活垃圾经集中收集后，由环卫部门统一集中清运</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隔油池废油单独收集后委托油脂回收公司处理</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不合格品、</w:t>
                  </w:r>
                  <w:r>
                    <w:rPr>
                      <w:color w:val="000000" w:themeColor="text1"/>
                      <w:sz w:val="21"/>
                      <w:szCs w:val="21"/>
                      <w14:textFill>
                        <w14:solidFill>
                          <w14:schemeClr w14:val="tx1"/>
                        </w14:solidFill>
                      </w14:textFill>
                    </w:rPr>
                    <w:t>除尘器收集粉尘及沉淀池沉渣收集后回用于生产；废机油暂存于危废暂存间（危废暂存间位于厂区北侧，面积约5m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），定期交由有资质的危险废物处理单位处置</w:t>
                  </w:r>
                </w:p>
              </w:tc>
              <w:tc>
                <w:tcPr>
                  <w:tcW w:w="4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ind w:firstLine="0" w:firstLineChars="0"/>
              <w:rPr>
                <w:b/>
                <w:bCs/>
                <w:color w:val="000000" w:themeColor="text1"/>
                <w:kern w:val="0"/>
                <w:szCs w:val="22"/>
                <w14:textFill>
                  <w14:solidFill>
                    <w14:schemeClr w14:val="tx1"/>
                  </w14:solidFill>
                </w14:textFill>
              </w:rPr>
            </w:pPr>
            <w:r>
              <w:rPr>
                <w:b/>
                <w:bCs/>
                <w:color w:val="000000" w:themeColor="text1"/>
                <w:kern w:val="0"/>
                <w:szCs w:val="22"/>
                <w14:textFill>
                  <w14:solidFill>
                    <w14:schemeClr w14:val="tx1"/>
                  </w14:solidFill>
                </w14:textFill>
              </w:rPr>
              <w:t>3、产品及产能</w:t>
            </w:r>
          </w:p>
          <w:p>
            <w:pPr>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本项目产品及产能见下表2-2。</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表2-2建设项目产品方案</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555"/>
              <w:gridCol w:w="2386"/>
              <w:gridCol w:w="1664"/>
              <w:gridCol w:w="1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8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926"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产品名称</w:t>
                  </w:r>
                </w:p>
              </w:tc>
              <w:tc>
                <w:tcPr>
                  <w:tcW w:w="1421"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设计规模（万m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991"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年运行时数</w:t>
                  </w:r>
                </w:p>
              </w:tc>
              <w:tc>
                <w:tcPr>
                  <w:tcW w:w="1076"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58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926"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商品混凝土</w:t>
                  </w:r>
                </w:p>
              </w:tc>
              <w:tc>
                <w:tcPr>
                  <w:tcW w:w="1421" w:type="pct"/>
                  <w:vAlign w:val="center"/>
                </w:tcPr>
                <w:p>
                  <w:pPr>
                    <w:spacing w:line="240" w:lineRule="auto"/>
                    <w:ind w:firstLine="0" w:firstLineChars="0"/>
                    <w:jc w:val="center"/>
                    <w:rPr>
                      <w:color w:val="000000" w:themeColor="text1"/>
                      <w:sz w:val="21"/>
                      <w:szCs w:val="21"/>
                      <w:highlight w:val="cyan"/>
                      <w14:textFill>
                        <w14:solidFill>
                          <w14:schemeClr w14:val="tx1"/>
                        </w14:solidFill>
                      </w14:textFill>
                    </w:rPr>
                  </w:pPr>
                  <w:r>
                    <w:rPr>
                      <w:color w:val="000000" w:themeColor="text1"/>
                      <w:sz w:val="21"/>
                      <w:szCs w:val="21"/>
                      <w14:textFill>
                        <w14:solidFill>
                          <w14:schemeClr w14:val="tx1"/>
                        </w14:solidFill>
                      </w14:textFill>
                    </w:rPr>
                    <w:t>70</w:t>
                  </w:r>
                </w:p>
              </w:tc>
              <w:tc>
                <w:tcPr>
                  <w:tcW w:w="991"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1920h</w:t>
                  </w:r>
                </w:p>
              </w:tc>
              <w:tc>
                <w:tcPr>
                  <w:tcW w:w="1076"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外售</w:t>
                  </w:r>
                </w:p>
              </w:tc>
            </w:tr>
          </w:tbl>
          <w:p>
            <w:pPr>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4、主要设备</w:t>
            </w:r>
          </w:p>
          <w:p>
            <w:pPr>
              <w:overflowPunct w:val="0"/>
              <w:ind w:firstLine="480"/>
              <w:rPr>
                <w:b/>
                <w:bCs/>
                <w:color w:val="000000" w:themeColor="text1"/>
                <w:sz w:val="21"/>
                <w:szCs w:val="21"/>
                <w14:textFill>
                  <w14:solidFill>
                    <w14:schemeClr w14:val="tx1"/>
                  </w14:solidFill>
                </w14:textFill>
              </w:rPr>
            </w:pPr>
            <w:r>
              <w:rPr>
                <w:snapToGrid w:val="0"/>
                <w:color w:val="000000" w:themeColor="text1"/>
                <w:kern w:val="0"/>
                <w14:textFill>
                  <w14:solidFill>
                    <w14:schemeClr w14:val="tx1"/>
                  </w14:solidFill>
                </w14:textFill>
              </w:rPr>
              <w:t>本项目主要设备及情况具体见表2-3。</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表2-3    主要设备</w:t>
            </w:r>
          </w:p>
          <w:tbl>
            <w:tblPr>
              <w:tblStyle w:val="30"/>
              <w:tblW w:w="84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07"/>
              <w:gridCol w:w="1703"/>
              <w:gridCol w:w="2533"/>
              <w:gridCol w:w="908"/>
              <w:gridCol w:w="1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493" w:type="pct"/>
                  <w:gridSpan w:val="2"/>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规格</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数量</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6"/>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180环保型混凝土搅拌站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80" w:type="pct"/>
                  <w:vMerge w:val="restart"/>
                  <w:textDirection w:val="tbRlV"/>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配料站</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储料仓</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 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称重传感器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3×1000 kg</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气缸</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缸径：φ100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振动器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平皮带</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传动装置</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8kW</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斜皮带机</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机架</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平皮带</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传动装置</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 kW</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托辊</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φ89 mm×800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48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主机</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搅拌机</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公称容积：2m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 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称重传感器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3×1000 kg</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气动蝶阀</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公称直径：φ300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振动器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煤灰</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 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称重传感器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3×1000 kg</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气动蝶阀</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公称直径：φ300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振动器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水计量及供水系统</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 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供水管路</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称重传感器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 kg</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气动蝶阀</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公称直径：φ159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水泵</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管路阀门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外加剂计量系统</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计量斗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 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供液管路</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储液箱</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 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称重传感器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 kg</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气动蝶阀</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公称直径：φ80 mm</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外加剂防腐泵</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管路阀门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气路系统</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空压机</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排气量：1.5 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/min</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气动三联件</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储气罐</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 xml:space="preserve"> +0.1m</w:t>
                  </w:r>
                  <w:r>
                    <w:rPr>
                      <w:color w:val="000000" w:themeColor="text1"/>
                      <w:sz w:val="21"/>
                      <w:szCs w:val="21"/>
                      <w:vertAlign w:val="superscript"/>
                      <w14:textFill>
                        <w14:solidFill>
                          <w14:schemeClr w14:val="tx1"/>
                        </w14:solidFill>
                      </w14:textFill>
                    </w:rPr>
                    <w:t>3</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连接管路</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管路阀门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搅拌主楼</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主体结构</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走台围栏</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待料斗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卸料斗</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外包装</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0.5mm厚彩钢板</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除尘装置</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布袋除尘</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操作室</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框架</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装修</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夹芯板</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靠椅</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空调</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1.5匹</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4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控制系统</w:t>
                  </w: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工控机</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显示器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液晶</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不间断电源</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打印机</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1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监视器</w:t>
                  </w:r>
                </w:p>
              </w:tc>
              <w:tc>
                <w:tcPr>
                  <w:tcW w:w="150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一台监视器+二个摄像头</w:t>
                  </w:r>
                </w:p>
              </w:tc>
              <w:tc>
                <w:tcPr>
                  <w:tcW w:w="54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1套</w:t>
                  </w:r>
                </w:p>
              </w:tc>
              <w:tc>
                <w:tcPr>
                  <w:tcW w:w="103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5、原辅材料及能耗</w:t>
            </w:r>
          </w:p>
          <w:p>
            <w:pPr>
              <w:topLinePunct/>
              <w:spacing w:line="440" w:lineRule="exact"/>
              <w:ind w:firstLine="480"/>
              <w:textAlignment w:val="baseline"/>
              <w:rPr>
                <w:b/>
                <w:bCs/>
                <w:color w:val="000000" w:themeColor="text1"/>
                <w14:textFill>
                  <w14:solidFill>
                    <w14:schemeClr w14:val="tx1"/>
                  </w14:solidFill>
                </w14:textFill>
              </w:rPr>
            </w:pPr>
            <w:r>
              <w:rPr>
                <w:color w:val="000000" w:themeColor="text1"/>
                <w:kern w:val="0"/>
                <w14:textFill>
                  <w14:solidFill>
                    <w14:schemeClr w14:val="tx1"/>
                  </w14:solidFill>
                </w14:textFill>
              </w:rPr>
              <w:t>根据建设单位提供资料，混凝土的密度约为2.38t/m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，项目年产70万m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的混凝土（166.6万吨），本项目主要原辅材料见下表2-4。</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表2-4   主要原辅材料一览表</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21"/>
              <w:gridCol w:w="2333"/>
              <w:gridCol w:w="1632"/>
              <w:gridCol w:w="1836"/>
              <w:gridCol w:w="2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6" w:hRule="atLeast"/>
              </w:trPr>
              <w:tc>
                <w:tcPr>
                  <w:tcW w:w="31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项目名称</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年用量（t/a）</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存储位置</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atLeast"/>
              </w:trPr>
              <w:tc>
                <w:tcPr>
                  <w:tcW w:w="31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113750</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筒仓</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碎石</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752500</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原料堆场</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机制砂</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525000</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原料堆场</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矿粉</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56000</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筒仓</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widowControl/>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粉煤灰</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70000</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筒仓</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widowControl/>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w:t>
                  </w:r>
                </w:p>
              </w:tc>
              <w:tc>
                <w:tcPr>
                  <w:tcW w:w="13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外加剂</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5250</w:t>
                  </w:r>
                </w:p>
              </w:tc>
              <w:tc>
                <w:tcPr>
                  <w:tcW w:w="109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原料堆场</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widowControl/>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w:t>
                  </w:r>
                </w:p>
              </w:tc>
              <w:tc>
                <w:tcPr>
                  <w:tcW w:w="1389" w:type="pct"/>
                  <w:tcBorders>
                    <w:tl2br w:val="nil"/>
                    <w:tr2bl w:val="nil"/>
                  </w:tcBorders>
                  <w:vAlign w:val="center"/>
                </w:tcPr>
                <w:p>
                  <w:pPr>
                    <w:widowControl/>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电</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7万kW·h</w:t>
                  </w:r>
                </w:p>
              </w:tc>
              <w:tc>
                <w:tcPr>
                  <w:tcW w:w="1093" w:type="pct"/>
                  <w:tcBorders>
                    <w:tl2br w:val="nil"/>
                    <w:tr2bl w:val="nil"/>
                  </w:tcBorders>
                  <w:vAlign w:val="center"/>
                </w:tcPr>
                <w:p>
                  <w:pPr>
                    <w:spacing w:line="240" w:lineRule="auto"/>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当地供电电网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pPr>
                    <w:widowControl/>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8</w:t>
                  </w:r>
                </w:p>
              </w:tc>
              <w:tc>
                <w:tcPr>
                  <w:tcW w:w="1389" w:type="pct"/>
                  <w:tcBorders>
                    <w:tl2br w:val="nil"/>
                    <w:tr2bl w:val="nil"/>
                  </w:tcBorders>
                  <w:vAlign w:val="center"/>
                </w:tcPr>
                <w:p>
                  <w:pPr>
                    <w:widowControl/>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w:t>
                  </w:r>
                </w:p>
              </w:tc>
              <w:tc>
                <w:tcPr>
                  <w:tcW w:w="972"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144940</w:t>
                  </w:r>
                </w:p>
              </w:tc>
              <w:tc>
                <w:tcPr>
                  <w:tcW w:w="1093" w:type="pct"/>
                  <w:tcBorders>
                    <w:tl2br w:val="nil"/>
                    <w:tr2bl w:val="nil"/>
                  </w:tcBorders>
                  <w:vAlign w:val="center"/>
                </w:tcPr>
                <w:p>
                  <w:pPr>
                    <w:spacing w:line="240" w:lineRule="auto"/>
                    <w:ind w:firstLine="0" w:firstLineChars="0"/>
                    <w:jc w:val="center"/>
                    <w:rPr>
                      <w:rFonts w:eastAsiaTheme="minorEastAsia"/>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123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当地供水管网</w:t>
                  </w:r>
                </w:p>
              </w:tc>
            </w:tr>
          </w:tbl>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本项目主要原辅料主要理化性质如下：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①水泥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水泥主要成分为：CaO、SiO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、Al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、FeO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。还有MgO、K</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O、SO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等，其含量大约为：CaO：64~67%，SiO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：20~23%，Al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：4~8%，FeO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：3~6%。水泥质量应符合</w:t>
            </w:r>
            <w:r>
              <w:rPr>
                <w:rFonts w:hint="eastAsia"/>
                <w:color w:val="000000" w:themeColor="text1"/>
                <w14:textFill>
                  <w14:solidFill>
                    <w14:schemeClr w14:val="tx1"/>
                  </w14:solidFill>
                </w14:textFill>
              </w:rPr>
              <w:t>《通用硅酸盐水泥》（GB 175-2007）</w:t>
            </w:r>
            <w:r>
              <w:rPr>
                <w:color w:val="000000" w:themeColor="text1"/>
                <w14:textFill>
                  <w14:solidFill>
                    <w14:schemeClr w14:val="tx1"/>
                  </w14:solidFill>
                </w14:textFill>
              </w:rPr>
              <w:t xml:space="preserve">的规定。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②粉煤灰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粉煤灰的主要组成为 SiO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、Al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及少量的FeO、Fe</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、CaO、MgO、SO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、TiO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等，粉煤灰质量需满足《用于水泥和混凝土中的粉煤灰》（GB/T1596）的规定。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③外加剂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外加剂（聚羧酸）是一种高性能减水剂，是水泥混凝土运用中的一种水泥分散剂，其特点是生产过程中无污染，不含甲醛，是一种绿色环保产品；使用聚羧酸减水剂，可用更多的矿渣或粉煤灰取代水泥，从而降低成本。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④砂石料</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当地外购成品，由卖方提供货车运至本项目所在地，堆放于项目砂石堆放区。砂料主采用粒径为5~31.5mm的碎石或卵石，已加工清洗干净，进厂后无需清洗。 </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6、公用工程</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6.1供水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本项目供水由当地供水管网供给，能满足项目用水需求，用水主要为生活用水和生产用水。</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（1）生活用水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项目工作人员10人，根据《新疆维吾尔自治区生活用水定额》中提供的用水定额，其中生活用水按100L/人·d计，全年工作天数为240d，生活用水量为1.0m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/d（240m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（2）生产用水</w:t>
            </w:r>
          </w:p>
          <w:p>
            <w:pPr>
              <w:widowControl/>
              <w:ind w:firstLine="480"/>
              <w:rPr>
                <w:color w:val="000000" w:themeColor="text1"/>
                <w:szCs w:val="28"/>
                <w14:textFill>
                  <w14:solidFill>
                    <w14:schemeClr w14:val="tx1"/>
                  </w14:solidFill>
                </w14:textFill>
              </w:rPr>
            </w:pPr>
            <w:r>
              <w:rPr>
                <w:color w:val="000000" w:themeColor="text1"/>
                <w14:textFill>
                  <w14:solidFill>
                    <w14:schemeClr w14:val="tx1"/>
                  </w14:solidFill>
                </w14:textFill>
              </w:rPr>
              <w:t>本项目生产用水主要为产品生产</w:t>
            </w:r>
            <w:r>
              <w:rPr>
                <w:color w:val="000000" w:themeColor="text1"/>
                <w:szCs w:val="22"/>
                <w14:textFill>
                  <w14:solidFill>
                    <w14:schemeClr w14:val="tx1"/>
                  </w14:solidFill>
                </w14:textFill>
              </w:rPr>
              <w:t>用水、搅拌设备及地面清洗用水、喷淋降尘用水、车辆清洗用水。根据混凝土产品生产要求，1m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商品混凝土中平均含水约在205L，</w:t>
            </w:r>
            <w:r>
              <w:rPr>
                <w:bCs/>
                <w:color w:val="000000" w:themeColor="text1"/>
                <w:kern w:val="0"/>
                <w:szCs w:val="22"/>
                <w14:textFill>
                  <w14:solidFill>
                    <w14:schemeClr w14:val="tx1"/>
                  </w14:solidFill>
                </w14:textFill>
              </w:rPr>
              <w:t>本项目年生产70万m</w:t>
            </w:r>
            <w:r>
              <w:rPr>
                <w:bCs/>
                <w:color w:val="000000" w:themeColor="text1"/>
                <w:kern w:val="0"/>
                <w:szCs w:val="22"/>
                <w:vertAlign w:val="superscript"/>
                <w14:textFill>
                  <w14:solidFill>
                    <w14:schemeClr w14:val="tx1"/>
                  </w14:solidFill>
                </w14:textFill>
              </w:rPr>
              <w:t>3</w:t>
            </w:r>
            <w:r>
              <w:rPr>
                <w:bCs/>
                <w:color w:val="000000" w:themeColor="text1"/>
                <w:kern w:val="0"/>
                <w:szCs w:val="22"/>
                <w14:textFill>
                  <w14:solidFill>
                    <w14:schemeClr w14:val="tx1"/>
                  </w14:solidFill>
                </w14:textFill>
              </w:rPr>
              <w:t>混凝土产品生产用水量约为143500m</w:t>
            </w:r>
            <w:r>
              <w:rPr>
                <w:bCs/>
                <w:color w:val="000000" w:themeColor="text1"/>
                <w:kern w:val="0"/>
                <w:szCs w:val="22"/>
                <w:vertAlign w:val="superscript"/>
                <w14:textFill>
                  <w14:solidFill>
                    <w14:schemeClr w14:val="tx1"/>
                  </w14:solidFill>
                </w14:textFill>
              </w:rPr>
              <w:t>3</w:t>
            </w:r>
            <w:r>
              <w:rPr>
                <w:bCs/>
                <w:color w:val="000000" w:themeColor="text1"/>
                <w:kern w:val="0"/>
                <w:szCs w:val="22"/>
                <w14:textFill>
                  <w14:solidFill>
                    <w14:schemeClr w14:val="tx1"/>
                  </w14:solidFill>
                </w14:textFill>
              </w:rPr>
              <w:t>/a；搅拌设备及地面清洗用水量约为2m</w:t>
            </w:r>
            <w:r>
              <w:rPr>
                <w:bCs/>
                <w:color w:val="000000" w:themeColor="text1"/>
                <w:kern w:val="0"/>
                <w:szCs w:val="22"/>
                <w:vertAlign w:val="superscript"/>
                <w14:textFill>
                  <w14:solidFill>
                    <w14:schemeClr w14:val="tx1"/>
                  </w14:solidFill>
                </w14:textFill>
              </w:rPr>
              <w:t>3</w:t>
            </w:r>
            <w:r>
              <w:rPr>
                <w:bCs/>
                <w:color w:val="000000" w:themeColor="text1"/>
                <w:kern w:val="0"/>
                <w:szCs w:val="22"/>
                <w14:textFill>
                  <w14:solidFill>
                    <w14:schemeClr w14:val="tx1"/>
                  </w14:solidFill>
                </w14:textFill>
              </w:rPr>
              <w:t>/d</w:t>
            </w:r>
            <w:r>
              <w:rPr>
                <w:color w:val="000000" w:themeColor="text1"/>
                <w:szCs w:val="22"/>
                <w14:textFill>
                  <w14:solidFill>
                    <w14:schemeClr w14:val="tx1"/>
                  </w14:solidFill>
                </w14:textFill>
              </w:rPr>
              <w:t>（480m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a），废水排放量按用水量的80%计算，则排水量为1.6m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/d（384m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 xml:space="preserve"> /a）（每年需补充96m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新鲜水）。；喷淋降尘用水</w:t>
            </w:r>
            <w:r>
              <w:rPr>
                <w:bCs/>
                <w:color w:val="000000" w:themeColor="text1"/>
                <w:kern w:val="0"/>
                <w:szCs w:val="22"/>
                <w14:textFill>
                  <w14:solidFill>
                    <w14:schemeClr w14:val="tx1"/>
                  </w14:solidFill>
                </w14:textFill>
              </w:rPr>
              <w:t>量约为1m</w:t>
            </w:r>
            <w:r>
              <w:rPr>
                <w:bCs/>
                <w:color w:val="000000" w:themeColor="text1"/>
                <w:kern w:val="0"/>
                <w:szCs w:val="22"/>
                <w:vertAlign w:val="superscript"/>
                <w14:textFill>
                  <w14:solidFill>
                    <w14:schemeClr w14:val="tx1"/>
                  </w14:solidFill>
                </w14:textFill>
              </w:rPr>
              <w:t>3</w:t>
            </w:r>
            <w:r>
              <w:rPr>
                <w:bCs/>
                <w:color w:val="000000" w:themeColor="text1"/>
                <w:kern w:val="0"/>
                <w:szCs w:val="22"/>
                <w14:textFill>
                  <w14:solidFill>
                    <w14:schemeClr w14:val="tx1"/>
                  </w14:solidFill>
                </w14:textFill>
              </w:rPr>
              <w:t>/d</w:t>
            </w:r>
            <w:r>
              <w:rPr>
                <w:color w:val="000000" w:themeColor="text1"/>
                <w:szCs w:val="22"/>
                <w14:textFill>
                  <w14:solidFill>
                    <w14:schemeClr w14:val="tx1"/>
                  </w14:solidFill>
                </w14:textFill>
              </w:rPr>
              <w:t>（240m</w:t>
            </w:r>
            <w:r>
              <w:rPr>
                <w:color w:val="000000" w:themeColor="text1"/>
                <w:szCs w:val="22"/>
                <w:vertAlign w:val="superscript"/>
                <w14:textFill>
                  <w14:solidFill>
                    <w14:schemeClr w14:val="tx1"/>
                  </w14:solidFill>
                </w14:textFill>
              </w:rPr>
              <w:t>3/</w:t>
            </w:r>
            <w:r>
              <w:rPr>
                <w:color w:val="000000" w:themeColor="text1"/>
                <w:szCs w:val="22"/>
                <w14:textFill>
                  <w14:solidFill>
                    <w14:schemeClr w14:val="tx1"/>
                  </w14:solidFill>
                </w14:textFill>
              </w:rPr>
              <w:t>a）；</w:t>
            </w:r>
            <w:r>
              <w:rPr>
                <w:bCs/>
                <w:color w:val="000000" w:themeColor="text1"/>
                <w:kern w:val="0"/>
                <w:szCs w:val="22"/>
                <w14:textFill>
                  <w14:solidFill>
                    <w14:schemeClr w14:val="tx1"/>
                  </w14:solidFill>
                </w14:textFill>
              </w:rPr>
              <w:t>项目运输车在出厂区门口时会进行清洗，</w:t>
            </w:r>
            <w:r>
              <w:rPr>
                <w:color w:val="000000" w:themeColor="text1"/>
                <w:kern w:val="0"/>
                <w:lang w:bidi="ar"/>
                <w14:textFill>
                  <w14:solidFill>
                    <w14:schemeClr w14:val="tx1"/>
                  </w14:solidFill>
                </w14:textFill>
              </w:rPr>
              <w:t>原料运输车辆平均每天约为50辆次，每次均需对运输车辆进行冲洗。车辆冲洗水量约为 0.04m</w:t>
            </w:r>
            <w:r>
              <w:rPr>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/（辆·次），因此每天使用冲洗水约2m</w:t>
            </w:r>
            <w:r>
              <w:rPr>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/d（480m</w:t>
            </w:r>
            <w:r>
              <w:rPr>
                <w:color w:val="000000" w:themeColor="text1"/>
                <w:kern w:val="0"/>
                <w:vertAlign w:val="superscript"/>
                <w:lang w:bidi="ar"/>
                <w14:textFill>
                  <w14:solidFill>
                    <w14:schemeClr w14:val="tx1"/>
                  </w14:solidFill>
                </w14:textFill>
              </w:rPr>
              <w:t>3</w:t>
            </w:r>
            <w:r>
              <w:rPr>
                <w:color w:val="000000" w:themeColor="text1"/>
                <w:kern w:val="0"/>
                <w:sz w:val="15"/>
                <w:szCs w:val="15"/>
                <w:lang w:bidi="ar"/>
                <w14:textFill>
                  <w14:solidFill>
                    <w14:schemeClr w14:val="tx1"/>
                  </w14:solidFill>
                </w14:textFill>
              </w:rPr>
              <w:t xml:space="preserve"> </w:t>
            </w:r>
            <w:r>
              <w:rPr>
                <w:color w:val="000000" w:themeColor="text1"/>
                <w:kern w:val="0"/>
                <w:lang w:bidi="ar"/>
                <w14:textFill>
                  <w14:solidFill>
                    <w14:schemeClr w14:val="tx1"/>
                  </w14:solidFill>
                </w14:textFill>
              </w:rPr>
              <w:t>/a），废水排放量按用水量的80%计算，则排水量为1.6m</w:t>
            </w:r>
            <w:r>
              <w:rPr>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/d（384m</w:t>
            </w:r>
            <w:r>
              <w:rPr>
                <w:color w:val="000000" w:themeColor="text1"/>
                <w:kern w:val="0"/>
                <w:vertAlign w:val="superscript"/>
                <w:lang w:bidi="ar"/>
                <w14:textFill>
                  <w14:solidFill>
                    <w14:schemeClr w14:val="tx1"/>
                  </w14:solidFill>
                </w14:textFill>
              </w:rPr>
              <w:t>3</w:t>
            </w:r>
            <w:r>
              <w:rPr>
                <w:color w:val="000000" w:themeColor="text1"/>
                <w:kern w:val="0"/>
                <w:sz w:val="15"/>
                <w:szCs w:val="15"/>
                <w:lang w:bidi="ar"/>
                <w14:textFill>
                  <w14:solidFill>
                    <w14:schemeClr w14:val="tx1"/>
                  </w14:solidFill>
                </w14:textFill>
              </w:rPr>
              <w:t xml:space="preserve"> </w:t>
            </w:r>
            <w:r>
              <w:rPr>
                <w:color w:val="000000" w:themeColor="text1"/>
                <w:kern w:val="0"/>
                <w:lang w:bidi="ar"/>
                <w14:textFill>
                  <w14:solidFill>
                    <w14:schemeClr w14:val="tx1"/>
                  </w14:solidFill>
                </w14:textFill>
              </w:rPr>
              <w:t>/a）（每年需补充96m</w:t>
            </w:r>
            <w:r>
              <w:rPr>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新鲜水）</w:t>
            </w:r>
            <w:r>
              <w:rPr>
                <w:bCs/>
                <w:color w:val="000000" w:themeColor="text1"/>
                <w:kern w:val="0"/>
                <w:szCs w:val="22"/>
                <w14:textFill>
                  <w14:solidFill>
                    <w14:schemeClr w14:val="tx1"/>
                  </w14:solidFill>
                </w14:textFill>
              </w:rPr>
              <w:t>。</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6.2排水</w:t>
            </w:r>
          </w:p>
          <w:p>
            <w:pPr>
              <w:ind w:firstLine="480"/>
              <w:rPr>
                <w:color w:val="000000" w:themeColor="text1"/>
                <w:kern w:val="0"/>
                <w:lang w:bidi="ar"/>
                <w14:textFill>
                  <w14:solidFill>
                    <w14:schemeClr w14:val="tx1"/>
                  </w14:solidFill>
                </w14:textFill>
              </w:rPr>
            </w:pPr>
            <w:r>
              <w:rPr>
                <w:color w:val="000000" w:themeColor="text1"/>
                <w14:textFill>
                  <w14:solidFill>
                    <w14:schemeClr w14:val="tx1"/>
                  </w14:solidFill>
                </w14:textFill>
              </w:rPr>
              <w:t>本项目废水主要为生活污水，生活用水量为1.0m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/d（240m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/a），排水量按用水量的80％计，则生活污水量为0.8m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/d（192m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/a），生活污水经隔油池处理后排入下水管网，最终进入</w:t>
            </w:r>
            <w:r>
              <w:rPr>
                <w:rFonts w:hint="eastAsia"/>
                <w:color w:val="000000" w:themeColor="text1"/>
                <w14:textFill>
                  <w14:solidFill>
                    <w14:schemeClr w14:val="tx1"/>
                  </w14:solidFill>
                </w14:textFill>
              </w:rPr>
              <w:t>胡杨河经济技术开发区（南区）污水处理厂</w:t>
            </w:r>
            <w:r>
              <w:rPr>
                <w:color w:val="000000" w:themeColor="text1"/>
                <w:kern w:val="0"/>
                <w:lang w:bidi="ar"/>
                <w14:textFill>
                  <w14:solidFill>
                    <w14:schemeClr w14:val="tx1"/>
                  </w14:solidFill>
                </w14:textFill>
              </w:rPr>
              <w:t>。</w:t>
            </w:r>
          </w:p>
          <w:p>
            <w:pPr>
              <w:pStyle w:val="41"/>
              <w:ind w:firstLine="480"/>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本项目</w:t>
            </w:r>
            <w:r>
              <w:rPr>
                <w:rFonts w:ascii="Times New Roman"/>
                <w:color w:val="000000" w:themeColor="text1"/>
                <w:szCs w:val="24"/>
                <w14:textFill>
                  <w14:solidFill>
                    <w14:schemeClr w14:val="tx1"/>
                  </w14:solidFill>
                </w14:textFill>
              </w:rPr>
              <w:t>产品生产</w:t>
            </w:r>
            <w:r>
              <w:rPr>
                <w:rFonts w:ascii="Times New Roman"/>
                <w:color w:val="000000" w:themeColor="text1"/>
                <w:szCs w:val="22"/>
                <w14:textFill>
                  <w14:solidFill>
                    <w14:schemeClr w14:val="tx1"/>
                  </w14:solidFill>
                </w14:textFill>
              </w:rPr>
              <w:t>用水全部进入产品；降尘用水全部自然蒸发；搅拌设备、地面及车辆清洗废水经沉淀池处理后循环利用，不外排。</w:t>
            </w:r>
          </w:p>
          <w:p>
            <w:pPr>
              <w:ind w:firstLine="480"/>
              <w:rPr>
                <w:b/>
                <w:bCs/>
                <w:color w:val="000000" w:themeColor="text1"/>
                <w:sz w:val="21"/>
                <w:szCs w:val="21"/>
                <w14:textFill>
                  <w14:solidFill>
                    <w14:schemeClr w14:val="tx1"/>
                  </w14:solidFill>
                </w14:textFill>
              </w:rPr>
            </w:pPr>
            <w:r>
              <w:rPr>
                <w:color w:val="000000" w:themeColor="text1"/>
                <w14:textFill>
                  <w14:solidFill>
                    <w14:schemeClr w14:val="tx1"/>
                  </w14:solidFill>
                </w14:textFill>
              </w:rPr>
              <w:t>本项目用、排水量见表2-5。</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表2-5   项目用、排水量一览表</w:t>
            </w:r>
          </w:p>
          <w:tbl>
            <w:tblPr>
              <w:tblStyle w:val="30"/>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570"/>
              <w:gridCol w:w="1322"/>
              <w:gridCol w:w="1126"/>
              <w:gridCol w:w="1130"/>
              <w:gridCol w:w="1120"/>
              <w:gridCol w:w="1038"/>
              <w:gridCol w:w="1028"/>
              <w:gridCol w:w="10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341" w:type="pct"/>
                  <w:tcBorders>
                    <w:left w:val="nil"/>
                    <w:right w:val="single" w:color="000000" w:sz="4" w:space="0"/>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790" w:type="pct"/>
                  <w:tcBorders>
                    <w:left w:val="single" w:color="000000" w:sz="4" w:space="0"/>
                    <w:right w:val="single" w:color="000000" w:sz="4" w:space="0"/>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673" w:type="pct"/>
                  <w:tcBorders>
                    <w:left w:val="single" w:color="000000" w:sz="4" w:space="0"/>
                    <w:right w:val="single" w:color="000000" w:sz="4" w:space="0"/>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用水定额</w:t>
                  </w:r>
                </w:p>
              </w:tc>
              <w:tc>
                <w:tcPr>
                  <w:tcW w:w="675" w:type="pct"/>
                  <w:tcBorders>
                    <w:left w:val="single" w:color="000000" w:sz="4" w:space="0"/>
                    <w:right w:val="single" w:color="000000" w:sz="4" w:space="0"/>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日用水量</w:t>
                  </w:r>
                </w:p>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/d）</w:t>
                  </w:r>
                </w:p>
              </w:tc>
              <w:tc>
                <w:tcPr>
                  <w:tcW w:w="669" w:type="pct"/>
                  <w:tcBorders>
                    <w:left w:val="single" w:color="000000" w:sz="4" w:space="0"/>
                    <w:right w:val="single" w:color="000000" w:sz="4" w:space="0"/>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日排水量</w:t>
                  </w:r>
                </w:p>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/d）</w:t>
                  </w:r>
                </w:p>
              </w:tc>
              <w:tc>
                <w:tcPr>
                  <w:tcW w:w="620" w:type="pct"/>
                  <w:tcBorders>
                    <w:left w:val="single" w:color="000000" w:sz="4" w:space="0"/>
                    <w:right w:val="nil"/>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总用水量</w:t>
                  </w:r>
                </w:p>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/a）</w:t>
                  </w:r>
                </w:p>
              </w:tc>
              <w:tc>
                <w:tcPr>
                  <w:tcW w:w="614" w:type="pct"/>
                  <w:tcBorders>
                    <w:left w:val="single" w:color="000000" w:sz="4" w:space="0"/>
                    <w:right w:val="nil"/>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总排水量</w:t>
                  </w:r>
                  <w:r>
                    <w:rPr>
                      <w:b/>
                      <w:color w:val="000000" w:themeColor="text1"/>
                      <w:sz w:val="21"/>
                      <w:szCs w:val="22"/>
                      <w14:textFill>
                        <w14:solidFill>
                          <w14:schemeClr w14:val="tx1"/>
                        </w14:solidFill>
                      </w14:textFill>
                    </w:rPr>
                    <w:t>（</w:t>
                  </w:r>
                  <w:r>
                    <w:rPr>
                      <w:rFonts w:eastAsia="Times New Roman"/>
                      <w:b/>
                      <w:color w:val="000000" w:themeColor="text1"/>
                      <w:sz w:val="21"/>
                      <w:szCs w:val="22"/>
                      <w14:textFill>
                        <w14:solidFill>
                          <w14:schemeClr w14:val="tx1"/>
                        </w14:solidFill>
                      </w14:textFill>
                    </w:rPr>
                    <w:t>m</w:t>
                  </w:r>
                  <w:r>
                    <w:rPr>
                      <w:rFonts w:eastAsia="Times New Roman"/>
                      <w:b/>
                      <w:color w:val="000000" w:themeColor="text1"/>
                      <w:position w:val="7"/>
                      <w:sz w:val="13"/>
                      <w:szCs w:val="22"/>
                      <w14:textFill>
                        <w14:solidFill>
                          <w14:schemeClr w14:val="tx1"/>
                        </w14:solidFill>
                      </w14:textFill>
                    </w:rPr>
                    <w:t>3</w:t>
                  </w:r>
                  <w:r>
                    <w:rPr>
                      <w:rFonts w:eastAsia="Times New Roman"/>
                      <w:b/>
                      <w:color w:val="000000" w:themeColor="text1"/>
                      <w:sz w:val="21"/>
                      <w:szCs w:val="22"/>
                      <w14:textFill>
                        <w14:solidFill>
                          <w14:schemeClr w14:val="tx1"/>
                        </w14:solidFill>
                      </w14:textFill>
                    </w:rPr>
                    <w:t>/a</w:t>
                  </w:r>
                  <w:r>
                    <w:rPr>
                      <w:b/>
                      <w:color w:val="000000" w:themeColor="text1"/>
                      <w:sz w:val="21"/>
                      <w:szCs w:val="22"/>
                      <w14:textFill>
                        <w14:solidFill>
                          <w14:schemeClr w14:val="tx1"/>
                        </w14:solidFill>
                      </w14:textFill>
                    </w:rPr>
                    <w:t>）</w:t>
                  </w:r>
                </w:p>
              </w:tc>
              <w:tc>
                <w:tcPr>
                  <w:tcW w:w="614" w:type="pct"/>
                  <w:tcBorders>
                    <w:left w:val="single" w:color="000000" w:sz="4" w:space="0"/>
                    <w:right w:val="nil"/>
                  </w:tcBorders>
                  <w:vAlign w:val="center"/>
                </w:tcPr>
                <w:p>
                  <w:pPr>
                    <w:snapToGrid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41" w:type="pct"/>
                  <w:tcBorders>
                    <w:left w:val="nil"/>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790" w:type="pct"/>
                  <w:tcBorders>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生活用水</w:t>
                  </w:r>
                </w:p>
              </w:tc>
              <w:tc>
                <w:tcPr>
                  <w:tcW w:w="673" w:type="pct"/>
                  <w:tcBorders>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100</w:t>
                  </w:r>
                  <w:r>
                    <w:rPr>
                      <w:color w:val="000000" w:themeColor="text1"/>
                      <w:sz w:val="21"/>
                      <w:szCs w:val="21"/>
                      <w14:textFill>
                        <w14:solidFill>
                          <w14:schemeClr w14:val="tx1"/>
                        </w14:solidFill>
                      </w14:textFill>
                    </w:rPr>
                    <w:t>L</w:t>
                  </w:r>
                  <w:r>
                    <w:rPr>
                      <w:bCs/>
                      <w:color w:val="000000" w:themeColor="text1"/>
                      <w:sz w:val="21"/>
                      <w:szCs w:val="21"/>
                      <w14:textFill>
                        <w14:solidFill>
                          <w14:schemeClr w14:val="tx1"/>
                        </w14:solidFill>
                      </w14:textFill>
                    </w:rPr>
                    <w:t>/人•日</w:t>
                  </w:r>
                </w:p>
              </w:tc>
              <w:tc>
                <w:tcPr>
                  <w:tcW w:w="675" w:type="pct"/>
                  <w:tcBorders>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w:t>
                  </w:r>
                </w:p>
              </w:tc>
              <w:tc>
                <w:tcPr>
                  <w:tcW w:w="669" w:type="pct"/>
                  <w:tcBorders>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0.8</w:t>
                  </w:r>
                </w:p>
              </w:tc>
              <w:tc>
                <w:tcPr>
                  <w:tcW w:w="620" w:type="pct"/>
                  <w:tcBorders>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240</w:t>
                  </w:r>
                </w:p>
              </w:tc>
              <w:tc>
                <w:tcPr>
                  <w:tcW w:w="614" w:type="pct"/>
                  <w:tcBorders>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192</w:t>
                  </w:r>
                </w:p>
              </w:tc>
              <w:tc>
                <w:tcPr>
                  <w:tcW w:w="614" w:type="pct"/>
                  <w:tcBorders>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1" w:type="pct"/>
                  <w:tcBorders>
                    <w:top w:val="single" w:color="000000" w:sz="4" w:space="0"/>
                    <w:left w:val="nil"/>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790"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产品生产用水</w:t>
                  </w:r>
                </w:p>
              </w:tc>
              <w:tc>
                <w:tcPr>
                  <w:tcW w:w="673"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675"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597.9</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20"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143500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进入产品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1" w:type="pct"/>
                  <w:tcBorders>
                    <w:top w:val="single" w:color="000000" w:sz="4" w:space="0"/>
                    <w:left w:val="nil"/>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790"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搅拌设备及地面清洗用水</w:t>
                  </w:r>
                </w:p>
              </w:tc>
              <w:tc>
                <w:tcPr>
                  <w:tcW w:w="673"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675"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20"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480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循环利用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1" w:type="pct"/>
                  <w:tcBorders>
                    <w:top w:val="single" w:color="000000" w:sz="4" w:space="0"/>
                    <w:left w:val="nil"/>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790"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降尘用水</w:t>
                  </w:r>
                </w:p>
              </w:tc>
              <w:tc>
                <w:tcPr>
                  <w:tcW w:w="673"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675"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20"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240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自然蒸发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1" w:type="pct"/>
                  <w:tcBorders>
                    <w:top w:val="single" w:color="000000" w:sz="4" w:space="0"/>
                    <w:left w:val="nil"/>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w:t>
                  </w:r>
                </w:p>
              </w:tc>
              <w:tc>
                <w:tcPr>
                  <w:tcW w:w="790"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车辆清洗用水</w:t>
                  </w:r>
                </w:p>
              </w:tc>
              <w:tc>
                <w:tcPr>
                  <w:tcW w:w="673"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75"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669" w:type="pc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20"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480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614" w:type="pct"/>
                  <w:tcBorders>
                    <w:top w:val="single" w:color="000000" w:sz="4" w:space="0"/>
                    <w:left w:val="single" w:color="000000" w:sz="4" w:space="0"/>
                    <w:bottom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循环利用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1" w:type="pct"/>
                  <w:tcBorders>
                    <w:top w:val="single" w:color="000000" w:sz="4" w:space="0"/>
                    <w:left w:val="nil"/>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w:t>
                  </w:r>
                </w:p>
              </w:tc>
              <w:tc>
                <w:tcPr>
                  <w:tcW w:w="790" w:type="pct"/>
                  <w:tcBorders>
                    <w:top w:val="single" w:color="000000" w:sz="4" w:space="0"/>
                    <w:left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总水量</w:t>
                  </w:r>
                </w:p>
              </w:tc>
              <w:tc>
                <w:tcPr>
                  <w:tcW w:w="673" w:type="pct"/>
                  <w:tcBorders>
                    <w:top w:val="single" w:color="000000" w:sz="4" w:space="0"/>
                    <w:left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675" w:type="pct"/>
                  <w:tcBorders>
                    <w:top w:val="single" w:color="000000" w:sz="4" w:space="0"/>
                    <w:left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603.9</w:t>
                  </w:r>
                </w:p>
              </w:tc>
              <w:tc>
                <w:tcPr>
                  <w:tcW w:w="669" w:type="pct"/>
                  <w:tcBorders>
                    <w:top w:val="single" w:color="000000" w:sz="4" w:space="0"/>
                    <w:left w:val="single" w:color="000000" w:sz="4" w:space="0"/>
                    <w:right w:val="single" w:color="000000" w:sz="4" w:space="0"/>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0.8</w:t>
                  </w:r>
                </w:p>
              </w:tc>
              <w:tc>
                <w:tcPr>
                  <w:tcW w:w="620" w:type="pct"/>
                  <w:tcBorders>
                    <w:top w:val="single" w:color="000000" w:sz="4" w:space="0"/>
                    <w:left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144940</w:t>
                  </w:r>
                </w:p>
              </w:tc>
              <w:tc>
                <w:tcPr>
                  <w:tcW w:w="614" w:type="pct"/>
                  <w:tcBorders>
                    <w:top w:val="single" w:color="000000" w:sz="4" w:space="0"/>
                    <w:left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192</w:t>
                  </w:r>
                </w:p>
              </w:tc>
              <w:tc>
                <w:tcPr>
                  <w:tcW w:w="614" w:type="pct"/>
                  <w:tcBorders>
                    <w:top w:val="single" w:color="000000" w:sz="4" w:space="0"/>
                    <w:left w:val="single" w:color="000000" w:sz="4" w:space="0"/>
                    <w:right w:val="nil"/>
                  </w:tcBorders>
                  <w:vAlign w:val="center"/>
                </w:tcPr>
                <w:p>
                  <w:pPr>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r>
          </w:tbl>
          <w:p>
            <w:pPr>
              <w:spacing w:line="450" w:lineRule="exact"/>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本项目水平衡图见图2-1。</w:t>
            </w:r>
          </w:p>
          <w:p>
            <w:pPr>
              <w:ind w:firstLine="0" w:firstLineChars="0"/>
              <w:rPr>
                <w:b/>
                <w:bCs/>
                <w:color w:val="000000" w:themeColor="text1"/>
                <w14:textFill>
                  <w14:solidFill>
                    <w14:schemeClr w14:val="tx1"/>
                  </w14:solidFill>
                </w14:textFill>
              </w:rPr>
            </w:pPr>
            <w:r>
              <w:rPr>
                <w:color w:val="000000" w:themeColor="text1"/>
                <w:szCs w:val="22"/>
                <w14:textFill>
                  <w14:solidFill>
                    <w14:schemeClr w14:val="tx1"/>
                  </w14:solidFill>
                </w14:textFill>
              </w:rPr>
              <mc:AlternateContent>
                <mc:Choice Requires="wpc">
                  <w:drawing>
                    <wp:inline distT="0" distB="0" distL="114300" distR="114300">
                      <wp:extent cx="5262880" cy="3810000"/>
                      <wp:effectExtent l="0" t="0" r="13970" b="0"/>
                      <wp:docPr id="197" name="画布 197"/>
                      <wp:cNvGraphicFramePr/>
                      <a:graphic xmlns:a="http://schemas.openxmlformats.org/drawingml/2006/main">
                        <a:graphicData uri="http://schemas.microsoft.com/office/word/2010/wordprocessingCanvas">
                          <wpc:wpc>
                            <wpc:bg>
                              <a:noFill/>
                            </wpc:bg>
                            <wpc:whole>
                              <a:ln>
                                <a:noFill/>
                              </a:ln>
                            </wpc:whole>
                            <wps:wsp>
                              <wps:cNvPr id="59" name="文本框 189"/>
                              <wps:cNvSpPr txBox="1"/>
                              <wps:spPr>
                                <a:xfrm>
                                  <a:off x="965200" y="854075"/>
                                  <a:ext cx="605790" cy="279400"/>
                                </a:xfrm>
                                <a:prstGeom prst="rect">
                                  <a:avLst/>
                                </a:prstGeom>
                                <a:solidFill>
                                  <a:srgbClr val="FFFFFF"/>
                                </a:solidFill>
                                <a:ln>
                                  <a:noFill/>
                                </a:ln>
                              </wps:spPr>
                              <wps:txbx>
                                <w:txbxContent>
                                  <w:p>
                                    <w:pPr>
                                      <w:ind w:firstLine="0" w:firstLineChars="0"/>
                                      <w:rPr>
                                        <w:sz w:val="22"/>
                                        <w:szCs w:val="22"/>
                                      </w:rPr>
                                    </w:pPr>
                                    <w:r>
                                      <w:rPr>
                                        <w:rFonts w:hint="eastAsia"/>
                                        <w:sz w:val="22"/>
                                        <w:szCs w:val="22"/>
                                      </w:rPr>
                                      <w:t>143500</w:t>
                                    </w:r>
                                  </w:p>
                                </w:txbxContent>
                              </wps:txbx>
                              <wps:bodyPr upright="1"/>
                            </wps:wsp>
                            <wps:wsp>
                              <wps:cNvPr id="60" name="文本框 117"/>
                              <wps:cNvSpPr txBox="1"/>
                              <wps:spPr>
                                <a:xfrm>
                                  <a:off x="38100" y="1585595"/>
                                  <a:ext cx="638175" cy="269875"/>
                                </a:xfrm>
                                <a:prstGeom prst="rect">
                                  <a:avLst/>
                                </a:prstGeom>
                                <a:solidFill>
                                  <a:srgbClr val="FFFFFF"/>
                                </a:solidFill>
                                <a:ln w="9525" cap="flat" cmpd="sng">
                                  <a:noFill/>
                                  <a:prstDash val="solid"/>
                                  <a:miter/>
                                  <a:headEnd type="none" w="med" len="med"/>
                                  <a:tailEnd type="none" w="med" len="med"/>
                                </a:ln>
                              </wps:spPr>
                              <wps:txbx>
                                <w:txbxContent>
                                  <w:p>
                                    <w:pPr>
                                      <w:spacing w:line="240" w:lineRule="auto"/>
                                      <w:ind w:firstLine="0" w:firstLineChars="0"/>
                                      <w:rPr>
                                        <w:rFonts w:ascii="Calibri" w:hAnsi="Calibri"/>
                                        <w:sz w:val="21"/>
                                        <w:szCs w:val="22"/>
                                      </w:rPr>
                                    </w:pPr>
                                    <w:r>
                                      <w:rPr>
                                        <w:rFonts w:hint="eastAsia" w:ascii="Calibri" w:hAnsi="Calibri"/>
                                        <w:sz w:val="21"/>
                                        <w:szCs w:val="22"/>
                                      </w:rPr>
                                      <w:t>新鲜水</w:t>
                                    </w:r>
                                  </w:p>
                                </w:txbxContent>
                              </wps:txbx>
                              <wps:bodyPr upright="1"/>
                            </wps:wsp>
                            <wps:wsp>
                              <wps:cNvPr id="61" name="直接连接符 118"/>
                              <wps:cNvCnPr/>
                              <wps:spPr>
                                <a:xfrm>
                                  <a:off x="595630" y="1713865"/>
                                  <a:ext cx="342900" cy="635"/>
                                </a:xfrm>
                                <a:prstGeom prst="line">
                                  <a:avLst/>
                                </a:prstGeom>
                                <a:ln w="9525" cap="flat" cmpd="sng">
                                  <a:solidFill>
                                    <a:srgbClr val="000000"/>
                                  </a:solidFill>
                                  <a:prstDash val="solid"/>
                                  <a:headEnd type="none" w="med" len="med"/>
                                  <a:tailEnd type="triangle" w="med" len="med"/>
                                </a:ln>
                              </wps:spPr>
                              <wps:bodyPr/>
                            </wps:wsp>
                            <wps:wsp>
                              <wps:cNvPr id="62" name="直接连接符 119"/>
                              <wps:cNvCnPr/>
                              <wps:spPr>
                                <a:xfrm flipH="1" flipV="1">
                                  <a:off x="932180" y="571500"/>
                                  <a:ext cx="4445" cy="2999105"/>
                                </a:xfrm>
                                <a:prstGeom prst="line">
                                  <a:avLst/>
                                </a:prstGeom>
                                <a:ln w="9525" cap="flat" cmpd="sng">
                                  <a:solidFill>
                                    <a:srgbClr val="000000"/>
                                  </a:solidFill>
                                  <a:prstDash val="solid"/>
                                  <a:headEnd type="none" w="med" len="med"/>
                                  <a:tailEnd type="none" w="med" len="med"/>
                                </a:ln>
                              </wps:spPr>
                              <wps:bodyPr/>
                            </wps:wsp>
                            <wps:wsp>
                              <wps:cNvPr id="63" name="文本框 120"/>
                              <wps:cNvSpPr txBox="1"/>
                              <wps:spPr>
                                <a:xfrm>
                                  <a:off x="1540510" y="404495"/>
                                  <a:ext cx="739140"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rFonts w:ascii="Calibri" w:hAnsi="Calibri"/>
                                        <w:sz w:val="21"/>
                                        <w:szCs w:val="22"/>
                                      </w:rPr>
                                    </w:pPr>
                                    <w:r>
                                      <w:rPr>
                                        <w:rFonts w:hint="eastAsia" w:ascii="Calibri" w:hAnsi="Calibri"/>
                                        <w:sz w:val="21"/>
                                        <w:szCs w:val="22"/>
                                      </w:rPr>
                                      <w:t>生活用水</w:t>
                                    </w:r>
                                  </w:p>
                                  <w:p>
                                    <w:pPr>
                                      <w:spacing w:line="240" w:lineRule="auto"/>
                                      <w:ind w:firstLine="0" w:firstLineChars="0"/>
                                      <w:rPr>
                                        <w:rFonts w:ascii="Calibri" w:hAnsi="Calibri"/>
                                        <w:sz w:val="21"/>
                                        <w:szCs w:val="22"/>
                                      </w:rPr>
                                    </w:pPr>
                                  </w:p>
                                </w:txbxContent>
                              </wps:txbx>
                              <wps:bodyPr upright="1"/>
                            </wps:wsp>
                            <wps:wsp>
                              <wps:cNvPr id="65" name="文本框 121"/>
                              <wps:cNvSpPr txBox="1"/>
                              <wps:spPr>
                                <a:xfrm>
                                  <a:off x="1517015" y="980440"/>
                                  <a:ext cx="1047115" cy="290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ascii="Calibri" w:hAnsi="Calibri"/>
                                        <w:sz w:val="21"/>
                                        <w:szCs w:val="22"/>
                                      </w:rPr>
                                      <w:t>产品生产用水</w:t>
                                    </w:r>
                                  </w:p>
                                </w:txbxContent>
                              </wps:txbx>
                              <wps:bodyPr upright="1"/>
                            </wps:wsp>
                            <wps:wsp>
                              <wps:cNvPr id="66" name="直接连接符 176"/>
                              <wps:cNvCnPr/>
                              <wps:spPr>
                                <a:xfrm flipV="1">
                                  <a:off x="1784350" y="150495"/>
                                  <a:ext cx="355600" cy="241300"/>
                                </a:xfrm>
                                <a:prstGeom prst="line">
                                  <a:avLst/>
                                </a:prstGeom>
                                <a:ln w="9525" cap="flat" cmpd="sng">
                                  <a:solidFill>
                                    <a:srgbClr val="000000"/>
                                  </a:solidFill>
                                  <a:prstDash val="dash"/>
                                  <a:headEnd type="none" w="med" len="med"/>
                                  <a:tailEnd type="triangle" w="med" len="med"/>
                                </a:ln>
                              </wps:spPr>
                              <wps:bodyPr/>
                            </wps:wsp>
                            <wps:wsp>
                              <wps:cNvPr id="72" name="直接连接符 182"/>
                              <wps:cNvCnPr/>
                              <wps:spPr>
                                <a:xfrm>
                                  <a:off x="936625" y="1122045"/>
                                  <a:ext cx="582930" cy="635"/>
                                </a:xfrm>
                                <a:prstGeom prst="line">
                                  <a:avLst/>
                                </a:prstGeom>
                                <a:ln w="9525" cap="flat" cmpd="sng">
                                  <a:solidFill>
                                    <a:srgbClr val="000000"/>
                                  </a:solidFill>
                                  <a:prstDash val="solid"/>
                                  <a:headEnd type="none" w="med" len="med"/>
                                  <a:tailEnd type="triangle" w="med" len="med"/>
                                </a:ln>
                              </wps:spPr>
                              <wps:bodyPr/>
                            </wps:wsp>
                            <wps:wsp>
                              <wps:cNvPr id="45" name="直接连接符 183"/>
                              <wps:cNvCnPr/>
                              <wps:spPr>
                                <a:xfrm>
                                  <a:off x="935355" y="577215"/>
                                  <a:ext cx="619125" cy="635"/>
                                </a:xfrm>
                                <a:prstGeom prst="line">
                                  <a:avLst/>
                                </a:prstGeom>
                                <a:ln w="9525" cap="flat" cmpd="sng">
                                  <a:solidFill>
                                    <a:srgbClr val="000000"/>
                                  </a:solidFill>
                                  <a:prstDash val="solid"/>
                                  <a:headEnd type="none" w="med" len="med"/>
                                  <a:tailEnd type="triangle" w="med" len="med"/>
                                </a:ln>
                              </wps:spPr>
                              <wps:bodyPr/>
                            </wps:wsp>
                            <wps:wsp>
                              <wps:cNvPr id="73" name="直接连接符 184"/>
                              <wps:cNvCnPr/>
                              <wps:spPr>
                                <a:xfrm>
                                  <a:off x="2275205" y="575945"/>
                                  <a:ext cx="1459230" cy="13970"/>
                                </a:xfrm>
                                <a:prstGeom prst="line">
                                  <a:avLst/>
                                </a:prstGeom>
                                <a:ln w="9525" cap="flat" cmpd="sng">
                                  <a:solidFill>
                                    <a:srgbClr val="000000"/>
                                  </a:solidFill>
                                  <a:prstDash val="solid"/>
                                  <a:headEnd type="none" w="med" len="med"/>
                                  <a:tailEnd type="triangle" w="med" len="med"/>
                                </a:ln>
                              </wps:spPr>
                              <wps:bodyPr/>
                            </wps:wsp>
                            <wps:wsp>
                              <wps:cNvPr id="74" name="文本框 185"/>
                              <wps:cNvSpPr txBox="1"/>
                              <wps:spPr>
                                <a:xfrm>
                                  <a:off x="56515" y="1329690"/>
                                  <a:ext cx="608965" cy="252730"/>
                                </a:xfrm>
                                <a:prstGeom prst="rect">
                                  <a:avLst/>
                                </a:prstGeom>
                                <a:solidFill>
                                  <a:srgbClr val="FFFFFF"/>
                                </a:solidFill>
                                <a:ln>
                                  <a:noFill/>
                                </a:ln>
                              </wps:spPr>
                              <wps:txbx>
                                <w:txbxContent>
                                  <w:p>
                                    <w:pPr>
                                      <w:spacing w:line="240" w:lineRule="auto"/>
                                      <w:ind w:firstLine="0" w:firstLineChars="0"/>
                                      <w:rPr>
                                        <w:rFonts w:ascii="Calibri" w:hAnsi="Calibri"/>
                                        <w:sz w:val="20"/>
                                        <w:szCs w:val="21"/>
                                      </w:rPr>
                                    </w:pPr>
                                    <w:r>
                                      <w:rPr>
                                        <w:rFonts w:hint="eastAsia"/>
                                        <w:sz w:val="22"/>
                                        <w:szCs w:val="22"/>
                                      </w:rPr>
                                      <w:t>144940</w:t>
                                    </w:r>
                                  </w:p>
                                </w:txbxContent>
                              </wps:txbx>
                              <wps:bodyPr upright="1"/>
                            </wps:wsp>
                            <wps:wsp>
                              <wps:cNvPr id="76" name="文本框 190"/>
                              <wps:cNvSpPr txBox="1"/>
                              <wps:spPr>
                                <a:xfrm>
                                  <a:off x="988695" y="248285"/>
                                  <a:ext cx="495300" cy="279400"/>
                                </a:xfrm>
                                <a:prstGeom prst="rect">
                                  <a:avLst/>
                                </a:prstGeom>
                                <a:solidFill>
                                  <a:srgbClr val="FFFFFF"/>
                                </a:solidFill>
                                <a:ln>
                                  <a:noFill/>
                                </a:ln>
                              </wps:spPr>
                              <wps:txbx>
                                <w:txbxContent>
                                  <w:p>
                                    <w:pPr>
                                      <w:spacing w:line="240" w:lineRule="auto"/>
                                      <w:ind w:firstLine="0" w:firstLineChars="0"/>
                                      <w:rPr>
                                        <w:rFonts w:ascii="Calibri" w:hAnsi="Calibri"/>
                                        <w:sz w:val="20"/>
                                        <w:szCs w:val="21"/>
                                      </w:rPr>
                                    </w:pPr>
                                    <w:r>
                                      <w:rPr>
                                        <w:rFonts w:hint="eastAsia"/>
                                        <w:sz w:val="22"/>
                                        <w:szCs w:val="22"/>
                                      </w:rPr>
                                      <w:t>240</w:t>
                                    </w:r>
                                  </w:p>
                                </w:txbxContent>
                              </wps:txbx>
                              <wps:bodyPr upright="1"/>
                            </wps:wsp>
                            <wps:wsp>
                              <wps:cNvPr id="77" name="文本框 191"/>
                              <wps:cNvSpPr txBox="1"/>
                              <wps:spPr>
                                <a:xfrm>
                                  <a:off x="2355850" y="318770"/>
                                  <a:ext cx="1421765" cy="241935"/>
                                </a:xfrm>
                                <a:prstGeom prst="rect">
                                  <a:avLst/>
                                </a:prstGeom>
                                <a:solidFill>
                                  <a:srgbClr val="FFFFFF"/>
                                </a:solidFill>
                                <a:ln>
                                  <a:noFill/>
                                </a:ln>
                              </wps:spPr>
                              <wps:txbx>
                                <w:txbxContent>
                                  <w:p>
                                    <w:pPr>
                                      <w:ind w:firstLine="0" w:firstLineChars="0"/>
                                    </w:pPr>
                                    <w:r>
                                      <w:rPr>
                                        <w:rFonts w:hint="eastAsia"/>
                                        <w:bCs/>
                                        <w:sz w:val="21"/>
                                        <w:szCs w:val="21"/>
                                      </w:rPr>
                                      <w:t>192（隔油池处理）</w:t>
                                    </w:r>
                                  </w:p>
                                </w:txbxContent>
                              </wps:txbx>
                              <wps:bodyPr upright="1"/>
                            </wps:wsp>
                            <wps:wsp>
                              <wps:cNvPr id="78" name="文本框 193"/>
                              <wps:cNvSpPr txBox="1"/>
                              <wps:spPr>
                                <a:xfrm>
                                  <a:off x="2151380" y="0"/>
                                  <a:ext cx="454025" cy="279400"/>
                                </a:xfrm>
                                <a:prstGeom prst="rect">
                                  <a:avLst/>
                                </a:prstGeom>
                                <a:solidFill>
                                  <a:srgbClr val="FFFFFF"/>
                                </a:solidFill>
                                <a:ln>
                                  <a:noFill/>
                                </a:ln>
                              </wps:spPr>
                              <wps:txbx>
                                <w:txbxContent>
                                  <w:p>
                                    <w:pPr>
                                      <w:spacing w:line="240" w:lineRule="auto"/>
                                      <w:ind w:firstLine="0" w:firstLineChars="0"/>
                                      <w:rPr>
                                        <w:sz w:val="21"/>
                                        <w:szCs w:val="22"/>
                                      </w:rPr>
                                    </w:pPr>
                                    <w:r>
                                      <w:rPr>
                                        <w:rFonts w:hint="eastAsia"/>
                                        <w:sz w:val="21"/>
                                        <w:szCs w:val="22"/>
                                      </w:rPr>
                                      <w:t>48</w:t>
                                    </w:r>
                                  </w:p>
                                </w:txbxContent>
                              </wps:txbx>
                              <wps:bodyPr upright="1"/>
                            </wps:wsp>
                            <wps:wsp>
                              <wps:cNvPr id="91" name="直接连接符 182"/>
                              <wps:cNvCnPr/>
                              <wps:spPr>
                                <a:xfrm>
                                  <a:off x="947420" y="1969135"/>
                                  <a:ext cx="582930" cy="635"/>
                                </a:xfrm>
                                <a:prstGeom prst="line">
                                  <a:avLst/>
                                </a:prstGeom>
                                <a:ln w="9525" cap="flat" cmpd="sng">
                                  <a:solidFill>
                                    <a:srgbClr val="000000"/>
                                  </a:solidFill>
                                  <a:prstDash val="solid"/>
                                  <a:headEnd type="none" w="med" len="med"/>
                                  <a:tailEnd type="triangle" w="med" len="med"/>
                                </a:ln>
                              </wps:spPr>
                              <wps:bodyPr/>
                            </wps:wsp>
                            <wps:wsp>
                              <wps:cNvPr id="80" name="文本框 121"/>
                              <wps:cNvSpPr txBox="1"/>
                              <wps:spPr>
                                <a:xfrm>
                                  <a:off x="1527175" y="1636395"/>
                                  <a:ext cx="1032510" cy="558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bCs/>
                                        <w:color w:val="000000" w:themeColor="text1"/>
                                        <w:sz w:val="21"/>
                                        <w:szCs w:val="21"/>
                                        <w14:textFill>
                                          <w14:solidFill>
                                            <w14:schemeClr w14:val="tx1"/>
                                          </w14:solidFill>
                                        </w14:textFill>
                                      </w:rPr>
                                      <w:t>搅拌设备</w:t>
                                    </w:r>
                                    <w:r>
                                      <w:rPr>
                                        <w:rFonts w:hint="eastAsia"/>
                                        <w:bCs/>
                                        <w:color w:val="000000" w:themeColor="text1"/>
                                        <w:sz w:val="21"/>
                                        <w:szCs w:val="21"/>
                                        <w14:textFill>
                                          <w14:solidFill>
                                            <w14:schemeClr w14:val="tx1"/>
                                          </w14:solidFill>
                                        </w14:textFill>
                                      </w:rPr>
                                      <w:t>及地面</w:t>
                                    </w:r>
                                    <w:r>
                                      <w:rPr>
                                        <w:bCs/>
                                        <w:color w:val="000000" w:themeColor="text1"/>
                                        <w:sz w:val="21"/>
                                        <w:szCs w:val="21"/>
                                        <w14:textFill>
                                          <w14:solidFill>
                                            <w14:schemeClr w14:val="tx1"/>
                                          </w14:solidFill>
                                        </w14:textFill>
                                      </w:rPr>
                                      <w:t>清洗用水</w:t>
                                    </w:r>
                                  </w:p>
                                </w:txbxContent>
                              </wps:txbx>
                              <wps:bodyPr upright="1"/>
                            </wps:wsp>
                            <wps:wsp>
                              <wps:cNvPr id="84" name="文本框 189"/>
                              <wps:cNvSpPr txBox="1"/>
                              <wps:spPr>
                                <a:xfrm>
                                  <a:off x="1017905" y="1627505"/>
                                  <a:ext cx="426085" cy="279400"/>
                                </a:xfrm>
                                <a:prstGeom prst="rect">
                                  <a:avLst/>
                                </a:prstGeom>
                                <a:solidFill>
                                  <a:srgbClr val="FFFFFF"/>
                                </a:solidFill>
                                <a:ln>
                                  <a:noFill/>
                                </a:ln>
                              </wps:spPr>
                              <wps:txbx>
                                <w:txbxContent>
                                  <w:p>
                                    <w:pPr>
                                      <w:ind w:firstLine="0" w:firstLineChars="0"/>
                                      <w:rPr>
                                        <w:sz w:val="22"/>
                                        <w:szCs w:val="22"/>
                                      </w:rPr>
                                    </w:pPr>
                                    <w:r>
                                      <w:rPr>
                                        <w:rFonts w:hint="eastAsia"/>
                                        <w:sz w:val="22"/>
                                        <w:szCs w:val="22"/>
                                      </w:rPr>
                                      <w:t>480</w:t>
                                    </w:r>
                                  </w:p>
                                </w:txbxContent>
                              </wps:txbx>
                              <wps:bodyPr upright="1"/>
                            </wps:wsp>
                            <wps:wsp>
                              <wps:cNvPr id="88" name="直接连接符 184"/>
                              <wps:cNvCnPr>
                                <a:stCxn id="65" idx="3"/>
                              </wps:cNvCnPr>
                              <wps:spPr>
                                <a:xfrm flipV="1">
                                  <a:off x="2564130" y="1123950"/>
                                  <a:ext cx="625475" cy="1905"/>
                                </a:xfrm>
                                <a:prstGeom prst="line">
                                  <a:avLst/>
                                </a:prstGeom>
                                <a:ln w="9525" cap="flat" cmpd="sng">
                                  <a:solidFill>
                                    <a:srgbClr val="000000"/>
                                  </a:solidFill>
                                  <a:prstDash val="solid"/>
                                  <a:headEnd type="none" w="med" len="med"/>
                                  <a:tailEnd type="triangle" w="med" len="med"/>
                                </a:ln>
                              </wps:spPr>
                              <wps:bodyPr/>
                            </wps:wsp>
                            <wps:wsp>
                              <wps:cNvPr id="89" name="直接连接符 184"/>
                              <wps:cNvCnPr/>
                              <wps:spPr>
                                <a:xfrm>
                                  <a:off x="2447290" y="1306830"/>
                                  <a:ext cx="3810" cy="339725"/>
                                </a:xfrm>
                                <a:prstGeom prst="line">
                                  <a:avLst/>
                                </a:prstGeom>
                                <a:ln w="9525" cap="flat" cmpd="sng">
                                  <a:solidFill>
                                    <a:srgbClr val="000000"/>
                                  </a:solidFill>
                                  <a:prstDash val="solid"/>
                                  <a:headEnd type="none" w="med" len="med"/>
                                  <a:tailEnd type="triangle" w="med" len="med"/>
                                </a:ln>
                              </wps:spPr>
                              <wps:bodyPr/>
                            </wps:wsp>
                            <wps:wsp>
                              <wps:cNvPr id="92" name="直接连接符 176"/>
                              <wps:cNvCnPr>
                                <a:endCxn id="93" idx="1"/>
                              </wps:cNvCnPr>
                              <wps:spPr>
                                <a:xfrm flipV="1">
                                  <a:off x="1666875" y="1428115"/>
                                  <a:ext cx="349250" cy="203200"/>
                                </a:xfrm>
                                <a:prstGeom prst="line">
                                  <a:avLst/>
                                </a:prstGeom>
                                <a:ln w="9525" cap="flat" cmpd="sng">
                                  <a:solidFill>
                                    <a:srgbClr val="000000"/>
                                  </a:solidFill>
                                  <a:prstDash val="dash"/>
                                  <a:headEnd type="none" w="med" len="med"/>
                                  <a:tailEnd type="triangle" w="med" len="med"/>
                                </a:ln>
                              </wps:spPr>
                              <wps:bodyPr/>
                            </wps:wsp>
                            <wps:wsp>
                              <wps:cNvPr id="93" name="文本框 193"/>
                              <wps:cNvSpPr txBox="1"/>
                              <wps:spPr>
                                <a:xfrm>
                                  <a:off x="2016125" y="1288415"/>
                                  <a:ext cx="394335" cy="279400"/>
                                </a:xfrm>
                                <a:prstGeom prst="rect">
                                  <a:avLst/>
                                </a:prstGeom>
                                <a:solidFill>
                                  <a:srgbClr val="FFFFFF"/>
                                </a:solidFill>
                                <a:ln>
                                  <a:noFill/>
                                </a:ln>
                              </wps:spPr>
                              <wps:txbx>
                                <w:txbxContent>
                                  <w:p>
                                    <w:pPr>
                                      <w:spacing w:line="240" w:lineRule="auto"/>
                                      <w:ind w:firstLine="0" w:firstLineChars="0"/>
                                      <w:rPr>
                                        <w:sz w:val="21"/>
                                        <w:szCs w:val="22"/>
                                      </w:rPr>
                                    </w:pPr>
                                    <w:r>
                                      <w:rPr>
                                        <w:rFonts w:hint="eastAsia"/>
                                        <w:sz w:val="21"/>
                                        <w:szCs w:val="22"/>
                                      </w:rPr>
                                      <w:t>96</w:t>
                                    </w:r>
                                  </w:p>
                                </w:txbxContent>
                              </wps:txbx>
                              <wps:bodyPr upright="1"/>
                            </wps:wsp>
                            <wps:wsp>
                              <wps:cNvPr id="94" name="文本框 193"/>
                              <wps:cNvSpPr txBox="1"/>
                              <wps:spPr>
                                <a:xfrm>
                                  <a:off x="2580640" y="822960"/>
                                  <a:ext cx="600710" cy="250825"/>
                                </a:xfrm>
                                <a:prstGeom prst="rect">
                                  <a:avLst/>
                                </a:prstGeom>
                                <a:solidFill>
                                  <a:srgbClr val="FFFFFF"/>
                                </a:solidFill>
                                <a:ln>
                                  <a:noFill/>
                                </a:ln>
                              </wps:spPr>
                              <wps:txbx>
                                <w:txbxContent>
                                  <w:p>
                                    <w:pPr>
                                      <w:spacing w:line="240" w:lineRule="auto"/>
                                      <w:ind w:firstLine="0" w:firstLineChars="0"/>
                                      <w:rPr>
                                        <w:sz w:val="21"/>
                                        <w:szCs w:val="22"/>
                                      </w:rPr>
                                    </w:pPr>
                                    <w:r>
                                      <w:rPr>
                                        <w:rFonts w:hint="eastAsia"/>
                                        <w:sz w:val="21"/>
                                        <w:szCs w:val="22"/>
                                      </w:rPr>
                                      <w:t>143500</w:t>
                                    </w:r>
                                  </w:p>
                                </w:txbxContent>
                              </wps:txbx>
                              <wps:bodyPr upright="1"/>
                            </wps:wsp>
                            <wps:wsp>
                              <wps:cNvPr id="96" name="直接连接符 182"/>
                              <wps:cNvCnPr/>
                              <wps:spPr>
                                <a:xfrm>
                                  <a:off x="943610" y="2786380"/>
                                  <a:ext cx="582930" cy="635"/>
                                </a:xfrm>
                                <a:prstGeom prst="line">
                                  <a:avLst/>
                                </a:prstGeom>
                                <a:ln w="9525" cap="flat" cmpd="sng">
                                  <a:solidFill>
                                    <a:srgbClr val="000000"/>
                                  </a:solidFill>
                                  <a:prstDash val="solid"/>
                                  <a:headEnd type="none" w="med" len="med"/>
                                  <a:tailEnd type="triangle" w="med" len="med"/>
                                </a:ln>
                              </wps:spPr>
                              <wps:bodyPr/>
                            </wps:wsp>
                            <wps:wsp>
                              <wps:cNvPr id="97" name="文本框 121"/>
                              <wps:cNvSpPr txBox="1"/>
                              <wps:spPr>
                                <a:xfrm>
                                  <a:off x="1548765" y="2670810"/>
                                  <a:ext cx="77597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ascii="Calibri" w:hAnsi="Calibri"/>
                                        <w:sz w:val="21"/>
                                        <w:szCs w:val="22"/>
                                      </w:rPr>
                                      <w:t>降尘用水</w:t>
                                    </w:r>
                                  </w:p>
                                </w:txbxContent>
                              </wps:txbx>
                              <wps:bodyPr upright="1"/>
                            </wps:wsp>
                            <wps:wsp>
                              <wps:cNvPr id="99" name="直接连接符 176"/>
                              <wps:cNvCnPr/>
                              <wps:spPr>
                                <a:xfrm flipV="1">
                                  <a:off x="1687195" y="2424430"/>
                                  <a:ext cx="355600" cy="241300"/>
                                </a:xfrm>
                                <a:prstGeom prst="line">
                                  <a:avLst/>
                                </a:prstGeom>
                                <a:ln w="9525" cap="flat" cmpd="sng">
                                  <a:solidFill>
                                    <a:srgbClr val="000000"/>
                                  </a:solidFill>
                                  <a:prstDash val="dash"/>
                                  <a:headEnd type="none" w="med" len="med"/>
                                  <a:tailEnd type="triangle" w="med" len="med"/>
                                </a:ln>
                              </wps:spPr>
                              <wps:bodyPr/>
                            </wps:wsp>
                            <wps:wsp>
                              <wps:cNvPr id="100" name="文本框 193"/>
                              <wps:cNvSpPr txBox="1"/>
                              <wps:spPr>
                                <a:xfrm>
                                  <a:off x="2043430" y="2324100"/>
                                  <a:ext cx="454025" cy="244475"/>
                                </a:xfrm>
                                <a:prstGeom prst="rect">
                                  <a:avLst/>
                                </a:prstGeom>
                                <a:solidFill>
                                  <a:srgbClr val="FFFFFF"/>
                                </a:solidFill>
                                <a:ln>
                                  <a:noFill/>
                                </a:ln>
                              </wps:spPr>
                              <wps:txbx>
                                <w:txbxContent>
                                  <w:p>
                                    <w:pPr>
                                      <w:spacing w:line="240" w:lineRule="auto"/>
                                      <w:ind w:firstLine="0" w:firstLineChars="0"/>
                                      <w:rPr>
                                        <w:sz w:val="21"/>
                                        <w:szCs w:val="22"/>
                                      </w:rPr>
                                    </w:pPr>
                                    <w:r>
                                      <w:rPr>
                                        <w:rFonts w:hint="eastAsia"/>
                                        <w:sz w:val="21"/>
                                        <w:szCs w:val="22"/>
                                      </w:rPr>
                                      <w:t>240</w:t>
                                    </w:r>
                                  </w:p>
                                </w:txbxContent>
                              </wps:txbx>
                              <wps:bodyPr upright="1"/>
                            </wps:wsp>
                            <wps:wsp>
                              <wps:cNvPr id="102" name="文本框 189"/>
                              <wps:cNvSpPr txBox="1"/>
                              <wps:spPr>
                                <a:xfrm>
                                  <a:off x="1028700" y="2461895"/>
                                  <a:ext cx="456565" cy="279400"/>
                                </a:xfrm>
                                <a:prstGeom prst="rect">
                                  <a:avLst/>
                                </a:prstGeom>
                                <a:solidFill>
                                  <a:srgbClr val="FFFFFF"/>
                                </a:solidFill>
                                <a:ln>
                                  <a:noFill/>
                                </a:ln>
                              </wps:spPr>
                              <wps:txbx>
                                <w:txbxContent>
                                  <w:p>
                                    <w:pPr>
                                      <w:ind w:firstLine="0" w:firstLineChars="0"/>
                                      <w:rPr>
                                        <w:sz w:val="22"/>
                                        <w:szCs w:val="22"/>
                                      </w:rPr>
                                    </w:pPr>
                                    <w:r>
                                      <w:rPr>
                                        <w:rFonts w:hint="eastAsia"/>
                                        <w:sz w:val="22"/>
                                        <w:szCs w:val="22"/>
                                      </w:rPr>
                                      <w:t>240</w:t>
                                    </w:r>
                                  </w:p>
                                </w:txbxContent>
                              </wps:txbx>
                              <wps:bodyPr upright="1"/>
                            </wps:wsp>
                            <wps:wsp>
                              <wps:cNvPr id="104" name="文本框 104"/>
                              <wps:cNvSpPr txBox="1"/>
                              <wps:spPr>
                                <a:xfrm>
                                  <a:off x="3117215" y="987425"/>
                                  <a:ext cx="817245" cy="292100"/>
                                </a:xfrm>
                                <a:prstGeom prst="rect">
                                  <a:avLst/>
                                </a:prstGeom>
                                <a:noFill/>
                                <a:ln w="6350">
                                  <a:noFill/>
                                </a:ln>
                              </wps:spPr>
                              <wps:txbx>
                                <w:txbxContent>
                                  <w:p>
                                    <w:pPr>
                                      <w:ind w:firstLine="0" w:firstLineChars="0"/>
                                      <w:rPr>
                                        <w:sz w:val="21"/>
                                        <w:szCs w:val="20"/>
                                      </w:rPr>
                                    </w:pPr>
                                    <w:r>
                                      <w:rPr>
                                        <w:rFonts w:hint="eastAsia"/>
                                        <w:sz w:val="21"/>
                                        <w:szCs w:val="20"/>
                                      </w:rPr>
                                      <w:t>进入产品</w:t>
                                    </w:r>
                                  </w:p>
                                </w:txbxContent>
                              </wps:txbx>
                              <wps:bodyPr upright="1"/>
                            </wps:wsp>
                            <wps:wsp>
                              <wps:cNvPr id="105" name="直接连接符 119"/>
                              <wps:cNvCnPr/>
                              <wps:spPr>
                                <a:xfrm flipV="1">
                                  <a:off x="2446020" y="1310005"/>
                                  <a:ext cx="937260" cy="1905"/>
                                </a:xfrm>
                                <a:prstGeom prst="line">
                                  <a:avLst/>
                                </a:prstGeom>
                                <a:ln w="9525" cap="flat" cmpd="sng">
                                  <a:solidFill>
                                    <a:srgbClr val="000000"/>
                                  </a:solidFill>
                                  <a:prstDash val="solid"/>
                                  <a:headEnd type="none" w="med" len="med"/>
                                  <a:tailEnd type="none" w="med" len="med"/>
                                </a:ln>
                              </wps:spPr>
                              <wps:bodyPr/>
                            </wps:wsp>
                            <wps:wsp>
                              <wps:cNvPr id="106" name="直接连接符 119"/>
                              <wps:cNvCnPr/>
                              <wps:spPr>
                                <a:xfrm flipV="1">
                                  <a:off x="3378835" y="1316355"/>
                                  <a:ext cx="2540" cy="481330"/>
                                </a:xfrm>
                                <a:prstGeom prst="line">
                                  <a:avLst/>
                                </a:prstGeom>
                                <a:ln w="9525" cap="flat" cmpd="sng">
                                  <a:solidFill>
                                    <a:srgbClr val="000000"/>
                                  </a:solidFill>
                                  <a:prstDash val="solid"/>
                                  <a:headEnd type="none" w="med" len="med"/>
                                  <a:tailEnd type="none" w="med" len="med"/>
                                </a:ln>
                              </wps:spPr>
                              <wps:bodyPr/>
                            </wps:wsp>
                            <wps:wsp>
                              <wps:cNvPr id="108" name="文本框 108"/>
                              <wps:cNvSpPr txBox="1"/>
                              <wps:spPr>
                                <a:xfrm>
                                  <a:off x="2660015" y="1333500"/>
                                  <a:ext cx="706120" cy="292100"/>
                                </a:xfrm>
                                <a:prstGeom prst="rect">
                                  <a:avLst/>
                                </a:prstGeom>
                                <a:noFill/>
                                <a:ln w="6350">
                                  <a:noFill/>
                                </a:ln>
                              </wps:spPr>
                              <wps:txbx>
                                <w:txbxContent>
                                  <w:p>
                                    <w:pPr>
                                      <w:ind w:firstLine="0" w:firstLineChars="0"/>
                                      <w:rPr>
                                        <w:sz w:val="21"/>
                                        <w:szCs w:val="20"/>
                                      </w:rPr>
                                    </w:pPr>
                                    <w:r>
                                      <w:rPr>
                                        <w:rFonts w:hint="eastAsia"/>
                                        <w:sz w:val="21"/>
                                        <w:szCs w:val="20"/>
                                      </w:rPr>
                                      <w:t>回用384</w:t>
                                    </w:r>
                                  </w:p>
                                </w:txbxContent>
                              </wps:txbx>
                              <wps:bodyPr upright="1"/>
                            </wps:wsp>
                            <wps:wsp>
                              <wps:cNvPr id="95" name="直接连接符 182"/>
                              <wps:cNvCnPr/>
                              <wps:spPr>
                                <a:xfrm>
                                  <a:off x="929640" y="3559810"/>
                                  <a:ext cx="582930" cy="635"/>
                                </a:xfrm>
                                <a:prstGeom prst="line">
                                  <a:avLst/>
                                </a:prstGeom>
                                <a:ln w="9525" cap="flat" cmpd="sng">
                                  <a:solidFill>
                                    <a:srgbClr val="000000"/>
                                  </a:solidFill>
                                  <a:prstDash val="solid"/>
                                  <a:headEnd type="none" w="med" len="med"/>
                                  <a:tailEnd type="triangle" w="med" len="med"/>
                                </a:ln>
                              </wps:spPr>
                              <wps:bodyPr/>
                            </wps:wsp>
                            <wps:wsp>
                              <wps:cNvPr id="20" name="文本框 121"/>
                              <wps:cNvSpPr txBox="1"/>
                              <wps:spPr>
                                <a:xfrm>
                                  <a:off x="1529080" y="3401695"/>
                                  <a:ext cx="103949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ascii="Calibri" w:hAnsi="Calibri"/>
                                        <w:sz w:val="21"/>
                                        <w:szCs w:val="22"/>
                                      </w:rPr>
                                      <w:t>车辆清洗用水用水</w:t>
                                    </w:r>
                                  </w:p>
                                </w:txbxContent>
                              </wps:txbx>
                              <wps:bodyPr upright="1"/>
                            </wps:wsp>
                            <wps:wsp>
                              <wps:cNvPr id="21" name="直接连接符 176"/>
                              <wps:cNvCnPr/>
                              <wps:spPr>
                                <a:xfrm flipV="1">
                                  <a:off x="1682115" y="3168650"/>
                                  <a:ext cx="355600" cy="241300"/>
                                </a:xfrm>
                                <a:prstGeom prst="line">
                                  <a:avLst/>
                                </a:prstGeom>
                                <a:ln w="9525" cap="flat" cmpd="sng">
                                  <a:solidFill>
                                    <a:srgbClr val="000000"/>
                                  </a:solidFill>
                                  <a:prstDash val="dash"/>
                                  <a:headEnd type="none" w="med" len="med"/>
                                  <a:tailEnd type="triangle" w="med" len="med"/>
                                </a:ln>
                              </wps:spPr>
                              <wps:bodyPr/>
                            </wps:wsp>
                            <wps:wsp>
                              <wps:cNvPr id="101" name="文本框 189"/>
                              <wps:cNvSpPr txBox="1"/>
                              <wps:spPr>
                                <a:xfrm>
                                  <a:off x="1000760" y="3223895"/>
                                  <a:ext cx="496570" cy="279400"/>
                                </a:xfrm>
                                <a:prstGeom prst="rect">
                                  <a:avLst/>
                                </a:prstGeom>
                                <a:solidFill>
                                  <a:srgbClr val="FFFFFF"/>
                                </a:solidFill>
                                <a:ln>
                                  <a:noFill/>
                                </a:ln>
                              </wps:spPr>
                              <wps:txbx>
                                <w:txbxContent>
                                  <w:p>
                                    <w:pPr>
                                      <w:ind w:firstLine="0" w:firstLineChars="0"/>
                                      <w:rPr>
                                        <w:sz w:val="22"/>
                                        <w:szCs w:val="22"/>
                                      </w:rPr>
                                    </w:pPr>
                                    <w:r>
                                      <w:rPr>
                                        <w:rFonts w:hint="eastAsia"/>
                                        <w:sz w:val="22"/>
                                        <w:szCs w:val="22"/>
                                      </w:rPr>
                                      <w:t>480</w:t>
                                    </w:r>
                                  </w:p>
                                </w:txbxContent>
                              </wps:txbx>
                              <wps:bodyPr upright="1"/>
                            </wps:wsp>
                            <wps:wsp>
                              <wps:cNvPr id="121" name="文本框 121"/>
                              <wps:cNvSpPr txBox="1"/>
                              <wps:spPr>
                                <a:xfrm>
                                  <a:off x="2072640" y="3070860"/>
                                  <a:ext cx="487680" cy="266700"/>
                                </a:xfrm>
                                <a:prstGeom prst="rect">
                                  <a:avLst/>
                                </a:prstGeom>
                                <a:solidFill>
                                  <a:srgbClr val="FFFFFF"/>
                                </a:solidFill>
                                <a:ln w="9525" cap="flat" cmpd="sng">
                                  <a:noFill/>
                                  <a:prstDash val="solid"/>
                                  <a:miter/>
                                  <a:headEnd type="none" w="med" len="med"/>
                                  <a:tailEnd type="none" w="med" len="med"/>
                                </a:ln>
                              </wps:spPr>
                              <wps:txbx>
                                <w:txbxContent>
                                  <w:p>
                                    <w:pPr>
                                      <w:ind w:firstLine="0" w:firstLineChars="0"/>
                                    </w:pPr>
                                    <w:r>
                                      <w:rPr>
                                        <w:rFonts w:hint="eastAsia"/>
                                        <w:sz w:val="22"/>
                                      </w:rPr>
                                      <w:t>96</w:t>
                                    </w:r>
                                  </w:p>
                                </w:txbxContent>
                              </wps:txbx>
                              <wps:bodyPr upright="1"/>
                            </wps:wsp>
                            <wps:wsp>
                              <wps:cNvPr id="111" name="文本框 120"/>
                              <wps:cNvSpPr txBox="1"/>
                              <wps:spPr>
                                <a:xfrm>
                                  <a:off x="3706495" y="361950"/>
                                  <a:ext cx="1511935" cy="480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rFonts w:ascii="Calibri" w:hAnsi="Calibri"/>
                                        <w:color w:val="000000" w:themeColor="text1"/>
                                        <w:sz w:val="21"/>
                                        <w:szCs w:val="22"/>
                                        <w14:textFill>
                                          <w14:solidFill>
                                            <w14:schemeClr w14:val="tx1"/>
                                          </w14:solidFill>
                                        </w14:textFill>
                                      </w:rPr>
                                    </w:pPr>
                                    <w:r>
                                      <w:rPr>
                                        <w:rFonts w:hint="eastAsia" w:ascii="Calibri" w:hAnsi="Calibri"/>
                                        <w:color w:val="000000" w:themeColor="text1"/>
                                        <w:sz w:val="21"/>
                                        <w:szCs w:val="22"/>
                                        <w14:textFill>
                                          <w14:solidFill>
                                            <w14:schemeClr w14:val="tx1"/>
                                          </w14:solidFill>
                                        </w14:textFill>
                                      </w:rPr>
                                      <w:t>胡杨河经济技术开发区（南区）污水处理厂</w:t>
                                    </w:r>
                                  </w:p>
                                </w:txbxContent>
                              </wps:txbx>
                              <wps:bodyPr upright="1"/>
                            </wps:wsp>
                            <wps:wsp>
                              <wps:cNvPr id="34" name="文本框 121"/>
                              <wps:cNvSpPr txBox="1"/>
                              <wps:spPr>
                                <a:xfrm>
                                  <a:off x="3080385" y="1808480"/>
                                  <a:ext cx="781685"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default" w:eastAsia="宋体"/>
                                        <w:lang w:val="en-US" w:eastAsia="zh-CN"/>
                                      </w:rPr>
                                    </w:pPr>
                                    <w:r>
                                      <w:rPr>
                                        <w:rFonts w:hint="eastAsia" w:ascii="Calibri" w:hAnsi="Calibri"/>
                                        <w:sz w:val="21"/>
                                        <w:szCs w:val="22"/>
                                      </w:rPr>
                                      <w:t>沉淀池</w:t>
                                    </w:r>
                                    <w:r>
                                      <w:rPr>
                                        <w:rFonts w:hint="eastAsia" w:ascii="Calibri" w:hAnsi="Calibri"/>
                                        <w:sz w:val="21"/>
                                        <w:szCs w:val="22"/>
                                        <w:lang w:val="en-US" w:eastAsia="zh-CN"/>
                                      </w:rPr>
                                      <w:t>1#</w:t>
                                    </w:r>
                                  </w:p>
                                </w:txbxContent>
                              </wps:txbx>
                              <wps:bodyPr upright="1"/>
                            </wps:wsp>
                            <wps:wsp>
                              <wps:cNvPr id="36" name="直接连接符 119"/>
                              <wps:cNvCnPr/>
                              <wps:spPr>
                                <a:xfrm flipV="1">
                                  <a:off x="2472690" y="3097530"/>
                                  <a:ext cx="937260" cy="1905"/>
                                </a:xfrm>
                                <a:prstGeom prst="line">
                                  <a:avLst/>
                                </a:prstGeom>
                                <a:ln w="9525" cap="flat" cmpd="sng">
                                  <a:solidFill>
                                    <a:srgbClr val="000000"/>
                                  </a:solidFill>
                                  <a:prstDash val="solid"/>
                                  <a:headEnd type="none" w="med" len="med"/>
                                  <a:tailEnd type="none" w="med" len="med"/>
                                </a:ln>
                              </wps:spPr>
                              <wps:bodyPr/>
                            </wps:wsp>
                            <wps:wsp>
                              <wps:cNvPr id="38" name="文本框 38"/>
                              <wps:cNvSpPr txBox="1"/>
                              <wps:spPr>
                                <a:xfrm>
                                  <a:off x="2559050" y="3088640"/>
                                  <a:ext cx="706120" cy="292100"/>
                                </a:xfrm>
                                <a:prstGeom prst="rect">
                                  <a:avLst/>
                                </a:prstGeom>
                                <a:noFill/>
                                <a:ln w="6350">
                                  <a:noFill/>
                                </a:ln>
                              </wps:spPr>
                              <wps:txbx>
                                <w:txbxContent>
                                  <w:p>
                                    <w:pPr>
                                      <w:ind w:firstLine="0" w:firstLineChars="0"/>
                                      <w:rPr>
                                        <w:sz w:val="21"/>
                                        <w:szCs w:val="20"/>
                                      </w:rPr>
                                    </w:pPr>
                                    <w:r>
                                      <w:rPr>
                                        <w:rFonts w:hint="eastAsia"/>
                                        <w:sz w:val="21"/>
                                        <w:szCs w:val="20"/>
                                      </w:rPr>
                                      <w:t>回用384</w:t>
                                    </w:r>
                                  </w:p>
                                </w:txbxContent>
                              </wps:txbx>
                              <wps:bodyPr upright="1"/>
                            </wps:wsp>
                            <wps:wsp>
                              <wps:cNvPr id="39" name="文本框 121"/>
                              <wps:cNvSpPr txBox="1"/>
                              <wps:spPr>
                                <a:xfrm>
                                  <a:off x="3084830" y="3394710"/>
                                  <a:ext cx="793115"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default" w:eastAsia="宋体"/>
                                        <w:lang w:val="en-US" w:eastAsia="zh-CN"/>
                                      </w:rPr>
                                    </w:pPr>
                                    <w:r>
                                      <w:rPr>
                                        <w:rFonts w:hint="eastAsia" w:ascii="Calibri" w:hAnsi="Calibri"/>
                                        <w:sz w:val="21"/>
                                        <w:szCs w:val="22"/>
                                      </w:rPr>
                                      <w:t>沉淀池</w:t>
                                    </w:r>
                                    <w:r>
                                      <w:rPr>
                                        <w:rFonts w:hint="eastAsia" w:ascii="Calibri" w:hAnsi="Calibri"/>
                                        <w:sz w:val="21"/>
                                        <w:szCs w:val="22"/>
                                        <w:lang w:val="en-US" w:eastAsia="zh-CN"/>
                                      </w:rPr>
                                      <w:t>1#</w:t>
                                    </w:r>
                                  </w:p>
                                  <w:p/>
                                </w:txbxContent>
                              </wps:txbx>
                              <wps:bodyPr upright="1"/>
                            </wps:wsp>
                            <wps:wsp>
                              <wps:cNvPr id="41" name="直接连接符 119"/>
                              <wps:cNvCnPr/>
                              <wps:spPr>
                                <a:xfrm flipV="1">
                                  <a:off x="3398520" y="3107055"/>
                                  <a:ext cx="3810" cy="288925"/>
                                </a:xfrm>
                                <a:prstGeom prst="line">
                                  <a:avLst/>
                                </a:prstGeom>
                                <a:ln w="9525" cap="flat" cmpd="sng">
                                  <a:solidFill>
                                    <a:srgbClr val="000000"/>
                                  </a:solidFill>
                                  <a:prstDash val="solid"/>
                                  <a:headEnd type="none" w="med" len="med"/>
                                  <a:tailEnd type="none" w="med" len="med"/>
                                </a:ln>
                              </wps:spPr>
                              <wps:bodyPr/>
                            </wps:wsp>
                            <wps:wsp>
                              <wps:cNvPr id="42" name="直接连接符 184"/>
                              <wps:cNvCnPr/>
                              <wps:spPr>
                                <a:xfrm>
                                  <a:off x="2552700" y="1939290"/>
                                  <a:ext cx="534670" cy="3810"/>
                                </a:xfrm>
                                <a:prstGeom prst="line">
                                  <a:avLst/>
                                </a:prstGeom>
                                <a:ln w="9525" cap="flat" cmpd="sng">
                                  <a:solidFill>
                                    <a:srgbClr val="000000"/>
                                  </a:solidFill>
                                  <a:prstDash val="solid"/>
                                  <a:headEnd type="none" w="med" len="med"/>
                                  <a:tailEnd type="triangle" w="med" len="med"/>
                                </a:ln>
                              </wps:spPr>
                              <wps:bodyPr/>
                            </wps:wsp>
                            <wps:wsp>
                              <wps:cNvPr id="43" name="直接连接符 184"/>
                              <wps:cNvCnPr/>
                              <wps:spPr>
                                <a:xfrm>
                                  <a:off x="2560955" y="3513455"/>
                                  <a:ext cx="534670" cy="3810"/>
                                </a:xfrm>
                                <a:prstGeom prst="line">
                                  <a:avLst/>
                                </a:prstGeom>
                                <a:ln w="9525" cap="flat" cmpd="sng">
                                  <a:solidFill>
                                    <a:srgbClr val="000000"/>
                                  </a:solidFill>
                                  <a:prstDash val="solid"/>
                                  <a:headEnd type="none" w="med" len="med"/>
                                  <a:tailEnd type="triangle" w="med" len="med"/>
                                </a:ln>
                              </wps:spPr>
                              <wps:bodyPr/>
                            </wps:wsp>
                            <wps:wsp>
                              <wps:cNvPr id="44" name="直接连接符 184"/>
                              <wps:cNvCnPr/>
                              <wps:spPr>
                                <a:xfrm>
                                  <a:off x="2481580" y="3094355"/>
                                  <a:ext cx="3810" cy="306705"/>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300pt;width:414.4pt;" coordsize="5262880,3810000" editas="canvas" o:gfxdata="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">
                      <o:lock v:ext="edit" aspectratio="f"/>
                      <v:shape id="_x0000_s1026" o:spid="_x0000_s1026" style="position:absolute;left:0;top:0;height:3810000;width:5262880;" filled="f" stroked="f" coordsize="21600,21600" o:gfxdata="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">
                        <v:fill on="f" focussize="0,0"/>
                        <v:stroke on="f"/>
                        <v:imagedata o:title=""/>
                        <o:lock v:ext="edit" aspectratio="f"/>
                      </v:shape>
                      <v:shape id="文本框 189" o:spid="_x0000_s1026" o:spt="202" type="#_x0000_t202" style="position:absolute;left:965200;top:854075;height:279400;width:605790;"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orNj9MAAAAFAQAADwAAAAAAAAABACAAAAAiAAAAZHJzL2Rv&#10;d25yZXYueG1sUEsBAhQAFAAAAAgAh07iQBoVenTNAQAAgwMAAA4AAAAAAAAAAQAgAAAAIgEAAGRy&#10;cy9lMm9Eb2MueG1sUEsFBgAAAAAGAAYAWQEAAGEFAAAAAA==&#10;">
                        <v:fill on="t" focussize="0,0"/>
                        <v:stroke on="f"/>
                        <v:imagedata o:title=""/>
                        <o:lock v:ext="edit" aspectratio="f"/>
                        <v:textbox>
                          <w:txbxContent>
                            <w:p>
                              <w:pPr>
                                <w:ind w:firstLine="0" w:firstLineChars="0"/>
                                <w:rPr>
                                  <w:sz w:val="22"/>
                                  <w:szCs w:val="22"/>
                                </w:rPr>
                              </w:pPr>
                              <w:r>
                                <w:rPr>
                                  <w:rFonts w:hint="eastAsia"/>
                                  <w:sz w:val="22"/>
                                  <w:szCs w:val="22"/>
                                </w:rPr>
                                <w:t>143500</w:t>
                              </w:r>
                            </w:p>
                          </w:txbxContent>
                        </v:textbox>
                      </v:shape>
                      <v:shape id="文本框 117" o:spid="_x0000_s1026" o:spt="202" type="#_x0000_t202" style="position:absolute;left:38100;top:1585595;height:269875;width:63817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6KzY/TAAAABQEAAA8AAAAAAAAAAQAgAAAAIgAA&#10;AGRycy9kb3ducmV2LnhtbFBLAQIUABQAAAAIAIdO4kDej1BBDQIAABkEAAAOAAAAAAAAAAEAIAAA&#10;ACIBAABkcnMvZTJvRG9jLnhtbFBLBQYAAAAABgAGAFkBAAChBQAAAAA=&#10;">
                        <v:fill on="t" focussize="0,0"/>
                        <v:stroke on="f" joinstyle="miter"/>
                        <v:imagedata o:title=""/>
                        <o:lock v:ext="edit" aspectratio="f"/>
                        <v:textbox>
                          <w:txbxContent>
                            <w:p>
                              <w:pPr>
                                <w:spacing w:line="240" w:lineRule="auto"/>
                                <w:ind w:firstLine="0" w:firstLineChars="0"/>
                                <w:rPr>
                                  <w:rFonts w:ascii="Calibri" w:hAnsi="Calibri"/>
                                  <w:sz w:val="21"/>
                                  <w:szCs w:val="22"/>
                                </w:rPr>
                              </w:pPr>
                              <w:r>
                                <w:rPr>
                                  <w:rFonts w:hint="eastAsia" w:ascii="Calibri" w:hAnsi="Calibri"/>
                                  <w:sz w:val="21"/>
                                  <w:szCs w:val="22"/>
                                </w:rPr>
                                <w:t>新鲜水</w:t>
                              </w:r>
                            </w:p>
                          </w:txbxContent>
                        </v:textbox>
                      </v:shape>
                      <v:line id="直接连接符 118" o:spid="_x0000_s1026" o:spt="20" style="position:absolute;left:595630;top:1713865;height:635;width:34290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XTLY1gAAAAUBAAAPAAAAAAAAAAEAIAAAACIAAABkcnMv&#10;ZG93bnJldi54bWxQSwECFAAUAAAACACHTuJAEMAtYQUCAADrAwAADgAAAAAAAAABACAAAAAlAQAA&#10;ZHJzL2Uyb0RvYy54bWxQSwUGAAAAAAYABgBZAQAAnAUAAAAA&#10;">
                        <v:fill on="f" focussize="0,0"/>
                        <v:stroke color="#000000" joinstyle="round" endarrow="block"/>
                        <v:imagedata o:title=""/>
                        <o:lock v:ext="edit" aspectratio="f"/>
                      </v:line>
                      <v:line id="直接连接符 119" o:spid="_x0000_s1026" o:spt="20" style="position:absolute;left:932180;top:571500;flip:x y;height:2999105;width:4445;" filled="f" stroked="t" coordsize="21600,21600" o:gfxdata="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sA3J0QAAAAUBAAAPAAAAAAAAAAEAIAAAACIAAABkcnMvZG93&#10;bnJldi54bWxQSwECFAAUAAAACACHTuJAPk76cQcCAAD8AwAADgAAAAAAAAABACAAAAAgAQAAZHJz&#10;L2Uyb0RvYy54bWxQSwUGAAAAAAYABgBZAQAAmQUAAAAA&#10;">
                        <v:fill on="f" focussize="0,0"/>
                        <v:stroke color="#000000" joinstyle="round"/>
                        <v:imagedata o:title=""/>
                        <o:lock v:ext="edit" aspectratio="f"/>
                      </v:line>
                      <v:shape id="文本框 120" o:spid="_x0000_s1026" o:spt="202" type="#_x0000_t202" style="position:absolute;left:1540510;top:404495;height:330200;width:739140;"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Yq41QAAAAUBAAAPAAAAAAAA&#10;AAEAIAAAACIAAABkcnMvZG93bnJldi54bWxQSwECFAAUAAAACACHTuJAie84eBUCAABDBAAADgAA&#10;AAAAAAABACAAAAAkAQAAZHJzL2Uyb0RvYy54bWxQSwUGAAAAAAYABgBZAQAAqwUAAAAA&#10;">
                        <v:fill on="t" focussize="0,0"/>
                        <v:stroke color="#000000" joinstyle="miter"/>
                        <v:imagedata o:title=""/>
                        <o:lock v:ext="edit" aspectratio="f"/>
                        <v:textbox>
                          <w:txbxContent>
                            <w:p>
                              <w:pPr>
                                <w:spacing w:line="240" w:lineRule="auto"/>
                                <w:ind w:firstLine="0" w:firstLineChars="0"/>
                                <w:rPr>
                                  <w:rFonts w:ascii="Calibri" w:hAnsi="Calibri"/>
                                  <w:sz w:val="21"/>
                                  <w:szCs w:val="22"/>
                                </w:rPr>
                              </w:pPr>
                              <w:r>
                                <w:rPr>
                                  <w:rFonts w:hint="eastAsia" w:ascii="Calibri" w:hAnsi="Calibri"/>
                                  <w:sz w:val="21"/>
                                  <w:szCs w:val="22"/>
                                </w:rPr>
                                <w:t>生活用水</w:t>
                              </w:r>
                            </w:p>
                            <w:p>
                              <w:pPr>
                                <w:spacing w:line="240" w:lineRule="auto"/>
                                <w:ind w:firstLine="0" w:firstLineChars="0"/>
                                <w:rPr>
                                  <w:rFonts w:ascii="Calibri" w:hAnsi="Calibri"/>
                                  <w:sz w:val="21"/>
                                  <w:szCs w:val="22"/>
                                </w:rPr>
                              </w:pPr>
                            </w:p>
                          </w:txbxContent>
                        </v:textbox>
                      </v:shape>
                      <v:shape id="文本框 121" o:spid="_x0000_s1026" o:spt="202" type="#_x0000_t202" style="position:absolute;left:1517015;top:980440;height:290830;width:1047115;"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MGKuNUAAAAFAQAADwAAAAAA&#10;AAABACAAAAAiAAAAZHJzL2Rvd25yZXYueG1sUEsBAhQAFAAAAAgAh07iQMe4ZM4WAgAARAQAAA4A&#10;AAAAAAAAAQAgAAAAJAEAAGRycy9lMm9Eb2MueG1sUEsFBgAAAAAGAAYAWQEAAKwFAAAAAA==&#10;">
                        <v:fill on="t" focussize="0,0"/>
                        <v:stroke color="#000000" joinstyle="miter"/>
                        <v:imagedata o:title=""/>
                        <o:lock v:ext="edit" aspectratio="f"/>
                        <v:textbox>
                          <w:txbxContent>
                            <w:p>
                              <w:pPr>
                                <w:ind w:firstLine="0" w:firstLineChars="0"/>
                              </w:pPr>
                              <w:r>
                                <w:rPr>
                                  <w:rFonts w:hint="eastAsia" w:ascii="Calibri" w:hAnsi="Calibri"/>
                                  <w:sz w:val="21"/>
                                  <w:szCs w:val="22"/>
                                </w:rPr>
                                <w:t>产品生产用水</w:t>
                              </w:r>
                            </w:p>
                          </w:txbxContent>
                        </v:textbox>
                      </v:shape>
                      <v:line id="直接连接符 176" o:spid="_x0000_s1026" o:spt="20" style="position:absolute;left:1784350;top:150495;flip:y;height:241300;width:355600;" filled="f" stroked="t" coordsize="21600,21600" o:gfxdata="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vnBg7TAAAABQEAAA8AAAAAAAAAAQAgAAAAIgAA&#10;AGRycy9kb3ducmV2LnhtbFBLAQIUABQAAAAIAIdO4kDfRoZ4DQIAAPcDAAAOAAAAAAAAAAEAIAAA&#10;ACIBAABkcnMvZTJvRG9jLnhtbFBLBQYAAAAABgAGAFkBAAChBQAAAAA=&#10;">
                        <v:fill on="f" focussize="0,0"/>
                        <v:stroke color="#000000" joinstyle="round" dashstyle="dash" endarrow="block"/>
                        <v:imagedata o:title=""/>
                        <o:lock v:ext="edit" aspectratio="f"/>
                      </v:line>
                      <v:line id="直接连接符 182" o:spid="_x0000_s1026" o:spt="20" style="position:absolute;left:936625;top:1122045;height:635;width:58293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JdMtjWAAAABQEAAA8AAAAAAAAAAQAgAAAAIgAAAGRycy9k&#10;b3ducmV2LnhtbFBLAQIUABQAAAAIAIdO4kA2/b/xBAIAAOsDAAAOAAAAAAAAAAEAIAAAACUBAABk&#10;cnMvZTJvRG9jLnhtbFBLBQYAAAAABgAGAFkBAACbBQAAAAA=&#10;">
                        <v:fill on="f" focussize="0,0"/>
                        <v:stroke color="#000000" joinstyle="round" endarrow="block"/>
                        <v:imagedata o:title=""/>
                        <o:lock v:ext="edit" aspectratio="f"/>
                      </v:line>
                      <v:line id="直接连接符 183" o:spid="_x0000_s1026" o:spt="20" style="position:absolute;left:935355;top:577215;height:635;width:619125;"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XTLY1gAAAAUBAAAPAAAAAAAAAAEAIAAAACIAAABkcnMvZG93&#10;bnJldi54bWxQSwECFAAUAAAACACHTuJAj3AOzAICAADqAwAADgAAAAAAAAABACAAAAAlAQAAZHJz&#10;L2Uyb0RvYy54bWxQSwUGAAAAAAYABgBZAQAAmQUAAAAA&#10;">
                        <v:fill on="f" focussize="0,0"/>
                        <v:stroke color="#000000" joinstyle="round" endarrow="block"/>
                        <v:imagedata o:title=""/>
                        <o:lock v:ext="edit" aspectratio="f"/>
                      </v:line>
                      <v:line id="直接连接符 184" o:spid="_x0000_s1026" o:spt="20" style="position:absolute;left:2275205;top:575945;height:13970;width:145923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dMtjWAAAABQEAAA8AAAAAAAAAAQAgAAAAIgAA&#10;AGRycy9kb3ducmV2LnhtbFBLAQIUABQAAAAIAIdO4kA1lZAjCgIAAO4DAAAOAAAAAAAAAAEAIAAA&#10;ACUBAABkcnMvZTJvRG9jLnhtbFBLBQYAAAAABgAGAFkBAAChBQAAAAA=&#10;">
                        <v:fill on="f" focussize="0,0"/>
                        <v:stroke color="#000000" joinstyle="round" endarrow="block"/>
                        <v:imagedata o:title=""/>
                        <o:lock v:ext="edit" aspectratio="f"/>
                      </v:line>
                      <v:shape id="文本框 185" o:spid="_x0000_s1026" o:spt="202" type="#_x0000_t202" style="position:absolute;left:56515;top:1329690;height:252730;width:60896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is2P0wAAAAUBAAAPAAAAAAAAAAEAIAAAACIAAABkcnMv&#10;ZG93bnJldi54bWxQSwECFAAUAAAACACHTuJAjyyInM8BAACDAwAADgAAAAAAAAABACAAAAAiAQAA&#10;ZHJzL2Uyb0RvYy54bWxQSwUGAAAAAAYABgBZAQAAYwUAAAAA&#10;">
                        <v:fill on="t" focussize="0,0"/>
                        <v:stroke on="f"/>
                        <v:imagedata o:title=""/>
                        <o:lock v:ext="edit" aspectratio="f"/>
                        <v:textbox>
                          <w:txbxContent>
                            <w:p>
                              <w:pPr>
                                <w:spacing w:line="240" w:lineRule="auto"/>
                                <w:ind w:firstLine="0" w:firstLineChars="0"/>
                                <w:rPr>
                                  <w:rFonts w:ascii="Calibri" w:hAnsi="Calibri"/>
                                  <w:sz w:val="20"/>
                                  <w:szCs w:val="21"/>
                                </w:rPr>
                              </w:pPr>
                              <w:r>
                                <w:rPr>
                                  <w:rFonts w:hint="eastAsia"/>
                                  <w:sz w:val="22"/>
                                  <w:szCs w:val="22"/>
                                </w:rPr>
                                <w:t>144940</w:t>
                              </w:r>
                            </w:p>
                          </w:txbxContent>
                        </v:textbox>
                      </v:shape>
                      <v:shape id="文本框 190" o:spid="_x0000_s1026" o:spt="202" type="#_x0000_t202" style="position:absolute;left:988695;top:248285;height:279400;width:495300;"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is2P0wAAAAUBAAAPAAAAAAAAAAEAIAAAACIAAABkcnMvZG93&#10;bnJldi54bWxQSwECFAAUAAAACACHTuJAY7RFC8wBAACDAwAADgAAAAAAAAABACAAAAAiAQAAZHJz&#10;L2Uyb0RvYy54bWxQSwUGAAAAAAYABgBZAQAAYAUAAAAA&#10;">
                        <v:fill on="t" focussize="0,0"/>
                        <v:stroke on="f"/>
                        <v:imagedata o:title=""/>
                        <o:lock v:ext="edit" aspectratio="f"/>
                        <v:textbox>
                          <w:txbxContent>
                            <w:p>
                              <w:pPr>
                                <w:spacing w:line="240" w:lineRule="auto"/>
                                <w:ind w:firstLine="0" w:firstLineChars="0"/>
                                <w:rPr>
                                  <w:rFonts w:ascii="Calibri" w:hAnsi="Calibri"/>
                                  <w:sz w:val="20"/>
                                  <w:szCs w:val="21"/>
                                </w:rPr>
                              </w:pPr>
                              <w:r>
                                <w:rPr>
                                  <w:rFonts w:hint="eastAsia"/>
                                  <w:sz w:val="22"/>
                                  <w:szCs w:val="22"/>
                                </w:rPr>
                                <w:t>240</w:t>
                              </w:r>
                            </w:p>
                          </w:txbxContent>
                        </v:textbox>
                      </v:shape>
                      <v:shape id="文本框 191" o:spid="_x0000_s1026" o:spt="202" type="#_x0000_t202" style="position:absolute;left:2355850;top:318770;height:241935;width:142176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is2P0wAAAAUBAAAPAAAAAAAAAAEAIAAAACIAAABkcnMv&#10;ZG93bnJldi54bWxQSwECFAAUAAAACACHTuJA4BOtUs8BAACFAwAADgAAAAAAAAABACAAAAAiAQAA&#10;ZHJzL2Uyb0RvYy54bWxQSwUGAAAAAAYABgBZAQAAYwUAAAAA&#10;">
                        <v:fill on="t" focussize="0,0"/>
                        <v:stroke on="f"/>
                        <v:imagedata o:title=""/>
                        <o:lock v:ext="edit" aspectratio="f"/>
                        <v:textbox>
                          <w:txbxContent>
                            <w:p>
                              <w:pPr>
                                <w:ind w:firstLine="0" w:firstLineChars="0"/>
                              </w:pPr>
                              <w:r>
                                <w:rPr>
                                  <w:rFonts w:hint="eastAsia"/>
                                  <w:bCs/>
                                  <w:sz w:val="21"/>
                                  <w:szCs w:val="21"/>
                                </w:rPr>
                                <w:t>192（隔油池处理）</w:t>
                              </w:r>
                            </w:p>
                          </w:txbxContent>
                        </v:textbox>
                      </v:shape>
                      <v:shape id="文本框 193" o:spid="_x0000_s1026" o:spt="202" type="#_x0000_t202" style="position:absolute;left:2151380;top:0;height:279400;width:45402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6KzY/TAAAABQEAAA8AAAAAAAAAAQAgAAAAIgAAAGRycy9kb3du&#10;cmV2LnhtbFBLAQIUABQAAAAIAIdO4kCd90O/ywEAAH8DAAAOAAAAAAAAAAEAIAAAACIBAABkcnMv&#10;ZTJvRG9jLnhtbFBLBQYAAAAABgAGAFkBAABfBQAAAAA=&#10;">
                        <v:fill on="t" focussize="0,0"/>
                        <v:stroke on="f"/>
                        <v:imagedata o:title=""/>
                        <o:lock v:ext="edit" aspectratio="f"/>
                        <v:textbox>
                          <w:txbxContent>
                            <w:p>
                              <w:pPr>
                                <w:spacing w:line="240" w:lineRule="auto"/>
                                <w:ind w:firstLine="0" w:firstLineChars="0"/>
                                <w:rPr>
                                  <w:sz w:val="21"/>
                                  <w:szCs w:val="22"/>
                                </w:rPr>
                              </w:pPr>
                              <w:r>
                                <w:rPr>
                                  <w:rFonts w:hint="eastAsia"/>
                                  <w:sz w:val="21"/>
                                  <w:szCs w:val="22"/>
                                </w:rPr>
                                <w:t>48</w:t>
                              </w:r>
                            </w:p>
                          </w:txbxContent>
                        </v:textbox>
                      </v:shape>
                      <v:line id="直接连接符 182" o:spid="_x0000_s1026" o:spt="20" style="position:absolute;left:947420;top:1969135;height:635;width:58293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JdMtjWAAAABQEAAA8AAAAAAAAAAQAgAAAAIgAAAGRycy9k&#10;b3ducmV2LnhtbFBLAQIUABQAAAAIAIdO4kBZhQRjBAIAAOsDAAAOAAAAAAAAAAEAIAAAACUBAABk&#10;cnMvZTJvRG9jLnhtbFBLBQYAAAAABgAGAFkBAACbBQAAAAA=&#10;">
                        <v:fill on="f" focussize="0,0"/>
                        <v:stroke color="#000000" joinstyle="round" endarrow="block"/>
                        <v:imagedata o:title=""/>
                        <o:lock v:ext="edit" aspectratio="f"/>
                      </v:line>
                      <v:shape id="文本框 121" o:spid="_x0000_s1026" o:spt="202" type="#_x0000_t202" style="position:absolute;left:1527175;top:1636395;height:558800;width:1032510;"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wYq41QAAAAUBAAAPAAAA&#10;AAAAAAEAIAAAACIAAABkcnMvZG93bnJldi54bWxQSwECFAAUAAAACACHTuJAyUX+xxgCAABFBAAA&#10;DgAAAAAAAAABACAAAAAkAQAAZHJzL2Uyb0RvYy54bWxQSwUGAAAAAAYABgBZAQAArgUAAAAA&#10;">
                        <v:fill on="t" focussize="0,0"/>
                        <v:stroke color="#000000" joinstyle="miter"/>
                        <v:imagedata o:title=""/>
                        <o:lock v:ext="edit" aspectratio="f"/>
                        <v:textbox>
                          <w:txbxContent>
                            <w:p>
                              <w:pPr>
                                <w:ind w:firstLine="0" w:firstLineChars="0"/>
                              </w:pPr>
                              <w:r>
                                <w:rPr>
                                  <w:bCs/>
                                  <w:color w:val="000000" w:themeColor="text1"/>
                                  <w:sz w:val="21"/>
                                  <w:szCs w:val="21"/>
                                  <w14:textFill>
                                    <w14:solidFill>
                                      <w14:schemeClr w14:val="tx1"/>
                                    </w14:solidFill>
                                  </w14:textFill>
                                </w:rPr>
                                <w:t>搅拌设备</w:t>
                              </w:r>
                              <w:r>
                                <w:rPr>
                                  <w:rFonts w:hint="eastAsia"/>
                                  <w:bCs/>
                                  <w:color w:val="000000" w:themeColor="text1"/>
                                  <w:sz w:val="21"/>
                                  <w:szCs w:val="21"/>
                                  <w14:textFill>
                                    <w14:solidFill>
                                      <w14:schemeClr w14:val="tx1"/>
                                    </w14:solidFill>
                                  </w14:textFill>
                                </w:rPr>
                                <w:t>及地面</w:t>
                              </w:r>
                              <w:r>
                                <w:rPr>
                                  <w:bCs/>
                                  <w:color w:val="000000" w:themeColor="text1"/>
                                  <w:sz w:val="21"/>
                                  <w:szCs w:val="21"/>
                                  <w14:textFill>
                                    <w14:solidFill>
                                      <w14:schemeClr w14:val="tx1"/>
                                    </w14:solidFill>
                                  </w14:textFill>
                                </w:rPr>
                                <w:t>清洗用水</w:t>
                              </w:r>
                            </w:p>
                          </w:txbxContent>
                        </v:textbox>
                      </v:shape>
                      <v:shape id="文本框 189" o:spid="_x0000_s1026" o:spt="202" type="#_x0000_t202" style="position:absolute;left:1017905;top:1627505;height:279400;width:42608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orNj9MAAAAFAQAADwAAAAAAAAABACAAAAAiAAAAZHJz&#10;L2Rvd25yZXYueG1sUEsBAhQAFAAAAAgAh07iQCtb3sfQAQAAhQMAAA4AAAAAAAAAAQAgAAAAIgEA&#10;AGRycy9lMm9Eb2MueG1sUEsFBgAAAAAGAAYAWQEAAGQFAAAAAA==&#10;">
                        <v:fill on="t" focussize="0,0"/>
                        <v:stroke on="f"/>
                        <v:imagedata o:title=""/>
                        <o:lock v:ext="edit" aspectratio="f"/>
                        <v:textbox>
                          <w:txbxContent>
                            <w:p>
                              <w:pPr>
                                <w:ind w:firstLine="0" w:firstLineChars="0"/>
                                <w:rPr>
                                  <w:sz w:val="22"/>
                                  <w:szCs w:val="22"/>
                                </w:rPr>
                              </w:pPr>
                              <w:r>
                                <w:rPr>
                                  <w:rFonts w:hint="eastAsia"/>
                                  <w:sz w:val="22"/>
                                  <w:szCs w:val="22"/>
                                </w:rPr>
                                <w:t>480</w:t>
                              </w:r>
                            </w:p>
                          </w:txbxContent>
                        </v:textbox>
                      </v:shape>
                      <v:line id="直接连接符 184" o:spid="_x0000_s1026" o:spt="20" style="position:absolute;left:2564130;top:1123950;flip:y;height:1905;width:625475;" filled="f" stroked="t" coordsize="21600,21600" o:gfxdata="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NaeL1QAAAAUBAAAP&#10;AAAAAAAAAAEAIAAAACIAAABkcnMvZG93bnJldi54bWxQSwECFAAUAAAACACHTuJAuyPhNhsCAAAe&#10;BAAADgAAAAAAAAABACAAAAAkAQAAZHJzL2Uyb0RvYy54bWxQSwUGAAAAAAYABgBZAQAAsQUAAAAA&#10;">
                        <v:fill on="f" focussize="0,0"/>
                        <v:stroke color="#000000" joinstyle="round" endarrow="block"/>
                        <v:imagedata o:title=""/>
                        <o:lock v:ext="edit" aspectratio="f"/>
                      </v:line>
                      <v:line id="直接连接符 184" o:spid="_x0000_s1026" o:spt="20" style="position:absolute;left:2447290;top:1306830;height:339725;width:381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JdMtjWAAAABQEAAA8AAAAAAAAAAQAgAAAAIgAAAGRycy9k&#10;b3ducmV2LnhtbFBLAQIUABQAAAAIAIdO4kDv19V0BAIAAO0DAAAOAAAAAAAAAAEAIAAAACUBAABk&#10;cnMvZTJvRG9jLnhtbFBLBQYAAAAABgAGAFkBAACbBQAAAAA=&#10;">
                        <v:fill on="f" focussize="0,0"/>
                        <v:stroke color="#000000" joinstyle="round" endarrow="block"/>
                        <v:imagedata o:title=""/>
                        <o:lock v:ext="edit" aspectratio="f"/>
                      </v:line>
                      <v:line id="直接连接符 176" o:spid="_x0000_s1026" o:spt="20" style="position:absolute;left:1666875;top:1428115;flip:y;height:203200;width:349250;" filled="f" stroked="t" coordsize="21600,21600" o:gfxdata="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5wYO0wAAAAUBAAAP&#10;AAAAAAAAAAEAIAAAACIAAABkcnMvZG93bnJldi54bWxQSwECFAAUAAAACACHTuJAMvp3Eh0CAAAg&#10;BAAADgAAAAAAAAABACAAAAAiAQAAZHJzL2Uyb0RvYy54bWxQSwUGAAAAAAYABgBZAQAAsQUAAAAA&#10;">
                        <v:fill on="f" focussize="0,0"/>
                        <v:stroke color="#000000" joinstyle="round" dashstyle="dash" endarrow="block"/>
                        <v:imagedata o:title=""/>
                        <o:lock v:ext="edit" aspectratio="f"/>
                      </v:line>
                      <v:shape id="文本框 193" o:spid="_x0000_s1026" o:spt="202" type="#_x0000_t202" style="position:absolute;left:2016125;top:1288415;height:279400;width:39433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6KzY/TAAAABQEAAA8AAAAAAAAAAQAgAAAAIgAAAGRy&#10;cy9kb3ducmV2LnhtbFBLAQIUABQAAAAIAIdO4kCqGzV40QEAAIUDAAAOAAAAAAAAAAEAIAAAACIB&#10;AABkcnMvZTJvRG9jLnhtbFBLBQYAAAAABgAGAFkBAABlBQAAAAA=&#10;">
                        <v:fill on="t" focussize="0,0"/>
                        <v:stroke on="f"/>
                        <v:imagedata o:title=""/>
                        <o:lock v:ext="edit" aspectratio="f"/>
                        <v:textbox>
                          <w:txbxContent>
                            <w:p>
                              <w:pPr>
                                <w:spacing w:line="240" w:lineRule="auto"/>
                                <w:ind w:firstLine="0" w:firstLineChars="0"/>
                                <w:rPr>
                                  <w:sz w:val="21"/>
                                  <w:szCs w:val="22"/>
                                </w:rPr>
                              </w:pPr>
                              <w:r>
                                <w:rPr>
                                  <w:rFonts w:hint="eastAsia"/>
                                  <w:sz w:val="21"/>
                                  <w:szCs w:val="22"/>
                                </w:rPr>
                                <w:t>96</w:t>
                              </w:r>
                            </w:p>
                          </w:txbxContent>
                        </v:textbox>
                      </v:shape>
                      <v:shape id="文本框 193" o:spid="_x0000_s1026" o:spt="202" type="#_x0000_t202" style="position:absolute;left:2580640;top:822960;height:250825;width:600710;"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6KzY/TAAAABQEAAA8AAAAAAAAAAQAgAAAAIgAAAGRycy9k&#10;b3ducmV2LnhtbFBLAQIUABQAAAAIAIdO4kAE7gozzgEAAIQDAAAOAAAAAAAAAAEAIAAAACIBAABk&#10;cnMvZTJvRG9jLnhtbFBLBQYAAAAABgAGAFkBAABiBQAAAAA=&#10;">
                        <v:fill on="t" focussize="0,0"/>
                        <v:stroke on="f"/>
                        <v:imagedata o:title=""/>
                        <o:lock v:ext="edit" aspectratio="f"/>
                        <v:textbox>
                          <w:txbxContent>
                            <w:p>
                              <w:pPr>
                                <w:spacing w:line="240" w:lineRule="auto"/>
                                <w:ind w:firstLine="0" w:firstLineChars="0"/>
                                <w:rPr>
                                  <w:sz w:val="21"/>
                                  <w:szCs w:val="22"/>
                                </w:rPr>
                              </w:pPr>
                              <w:r>
                                <w:rPr>
                                  <w:rFonts w:hint="eastAsia"/>
                                  <w:sz w:val="21"/>
                                  <w:szCs w:val="22"/>
                                </w:rPr>
                                <w:t>143500</w:t>
                              </w:r>
                            </w:p>
                          </w:txbxContent>
                        </v:textbox>
                      </v:shape>
                      <v:line id="直接连接符 182" o:spid="_x0000_s1026" o:spt="20" style="position:absolute;left:943610;top:2786380;height:635;width:58293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JdMtjWAAAABQEAAA8AAAAAAAAAAQAgAAAAIgAAAGRycy9kb3du&#10;cmV2LnhtbFBLAQIUABQAAAAIAIdO4kDs5761AQIAAOsDAAAOAAAAAAAAAAEAIAAAACUBAABkcnMv&#10;ZTJvRG9jLnhtbFBLBQYAAAAABgAGAFkBAACYBQAAAAA=&#10;">
                        <v:fill on="f" focussize="0,0"/>
                        <v:stroke color="#000000" joinstyle="round" endarrow="block"/>
                        <v:imagedata o:title=""/>
                        <o:lock v:ext="edit" aspectratio="f"/>
                      </v:line>
                      <v:shape id="文本框 121" o:spid="_x0000_s1026" o:spt="202" type="#_x0000_t202" style="position:absolute;left:1548765;top:2670810;height:275590;width:775970;"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DBirjVAAAABQEAAA8AAAAA&#10;AAAAAQAgAAAAIgAAAGRycy9kb3ducmV2LnhtbFBLAQIUABQAAAAIAIdO4kCydeNsFwIAAEQEAAAO&#10;AAAAAAAAAAEAIAAAACQBAABkcnMvZTJvRG9jLnhtbFBLBQYAAAAABgAGAFkBAACtBQAAAAA=&#10;">
                        <v:fill on="t" focussize="0,0"/>
                        <v:stroke color="#000000" joinstyle="miter"/>
                        <v:imagedata o:title=""/>
                        <o:lock v:ext="edit" aspectratio="f"/>
                        <v:textbox>
                          <w:txbxContent>
                            <w:p>
                              <w:pPr>
                                <w:ind w:firstLine="0" w:firstLineChars="0"/>
                              </w:pPr>
                              <w:r>
                                <w:rPr>
                                  <w:rFonts w:hint="eastAsia" w:ascii="Calibri" w:hAnsi="Calibri"/>
                                  <w:sz w:val="21"/>
                                  <w:szCs w:val="22"/>
                                </w:rPr>
                                <w:t>降尘用水</w:t>
                              </w:r>
                            </w:p>
                          </w:txbxContent>
                        </v:textbox>
                      </v:shape>
                      <v:line id="直接连接符 176" o:spid="_x0000_s1026" o:spt="20" style="position:absolute;left:1687195;top:2424430;flip:y;height:241300;width:355600;" filled="f" stroked="t" coordsize="21600,21600" o:gfxdata="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&#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5wYO0wAAAAUBAAAPAAAAAAAAAAEAIAAAACIAAABk&#10;cnMvZG93bnJldi54bWxQSwECFAAUAAAACACHTuJAMr9p9QsCAAD4AwAADgAAAAAAAAABACAAAAAi&#10;AQAAZHJzL2Uyb0RvYy54bWxQSwUGAAAAAAYABgBZAQAAnwUAAAAA&#10;">
                        <v:fill on="f" focussize="0,0"/>
                        <v:stroke color="#000000" joinstyle="round" dashstyle="dash" endarrow="block"/>
                        <v:imagedata o:title=""/>
                        <o:lock v:ext="edit" aspectratio="f"/>
                      </v:line>
                      <v:shape id="文本框 193" o:spid="_x0000_s1026" o:spt="202" type="#_x0000_t202" style="position:absolute;left:2043430;top:2324100;height:244475;width:45402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is2P0wAAAAUBAAAPAAAAAAAAAAEAIAAAACIAAABkcnMvZG93&#10;bnJldi54bWxQSwECFAAUAAAACACHTuJA72D06swBAACGAwAADgAAAAAAAAABACAAAAAiAQAAZHJz&#10;L2Uyb0RvYy54bWxQSwUGAAAAAAYABgBZAQAAYAUAAAAA&#10;">
                        <v:fill on="t" focussize="0,0"/>
                        <v:stroke on="f"/>
                        <v:imagedata o:title=""/>
                        <o:lock v:ext="edit" aspectratio="f"/>
                        <v:textbox>
                          <w:txbxContent>
                            <w:p>
                              <w:pPr>
                                <w:spacing w:line="240" w:lineRule="auto"/>
                                <w:ind w:firstLine="0" w:firstLineChars="0"/>
                                <w:rPr>
                                  <w:sz w:val="21"/>
                                  <w:szCs w:val="22"/>
                                </w:rPr>
                              </w:pPr>
                              <w:r>
                                <w:rPr>
                                  <w:rFonts w:hint="eastAsia"/>
                                  <w:sz w:val="21"/>
                                  <w:szCs w:val="22"/>
                                </w:rPr>
                                <w:t>240</w:t>
                              </w:r>
                            </w:p>
                          </w:txbxContent>
                        </v:textbox>
                      </v:shape>
                      <v:shape id="文本框 189" o:spid="_x0000_s1026" o:spt="202" type="#_x0000_t202" style="position:absolute;left:1028700;top:2461895;height:279400;width:456565;"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is2P0wAAAAUBAAAPAAAAAAAAAAEAIAAAACIAAABkcnMvZG93&#10;bnJldi54bWxQSwECFAAUAAAACACHTuJAe3GbYcwBAACGAwAADgAAAAAAAAABACAAAAAiAQAAZHJz&#10;L2Uyb0RvYy54bWxQSwUGAAAAAAYABgBZAQAAYAUAAAAA&#10;">
                        <v:fill on="t" focussize="0,0"/>
                        <v:stroke on="f"/>
                        <v:imagedata o:title=""/>
                        <o:lock v:ext="edit" aspectratio="f"/>
                        <v:textbox>
                          <w:txbxContent>
                            <w:p>
                              <w:pPr>
                                <w:ind w:firstLine="0" w:firstLineChars="0"/>
                                <w:rPr>
                                  <w:sz w:val="22"/>
                                  <w:szCs w:val="22"/>
                                </w:rPr>
                              </w:pPr>
                              <w:r>
                                <w:rPr>
                                  <w:rFonts w:hint="eastAsia"/>
                                  <w:sz w:val="22"/>
                                  <w:szCs w:val="22"/>
                                </w:rPr>
                                <w:t>240</w:t>
                              </w:r>
                            </w:p>
                          </w:txbxContent>
                        </v:textbox>
                      </v:shape>
                      <v:shape id="_x0000_s1026" o:spid="_x0000_s1026" o:spt="202" type="#_x0000_t202" style="position:absolute;left:3117215;top:987425;height:292100;width:817245;" filled="f" stroked="f" coordsize="21600,21600" o:gfxdata="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INqSdYAAAAFAQAADwAAAAAAAAABACAAAAAiAAAAZHJzL2Rvd25yZXYueG1s&#10;UEsBAhQAFAAAAAgAh07iQNd90r/BAQAAZQMAAA4AAAAAAAAAAQAgAAAAJQEAAGRycy9lMm9Eb2Mu&#10;eG1sUEsFBgAAAAAGAAYAWQEAAFgFAAAAAA==&#10;">
                        <v:fill on="f" focussize="0,0"/>
                        <v:stroke on="f" weight="0.5pt"/>
                        <v:imagedata o:title=""/>
                        <o:lock v:ext="edit" aspectratio="f"/>
                        <v:textbox>
                          <w:txbxContent>
                            <w:p>
                              <w:pPr>
                                <w:ind w:firstLine="0" w:firstLineChars="0"/>
                                <w:rPr>
                                  <w:sz w:val="21"/>
                                  <w:szCs w:val="20"/>
                                </w:rPr>
                              </w:pPr>
                              <w:r>
                                <w:rPr>
                                  <w:rFonts w:hint="eastAsia"/>
                                  <w:sz w:val="21"/>
                                  <w:szCs w:val="20"/>
                                </w:rPr>
                                <w:t>进入产品</w:t>
                              </w:r>
                            </w:p>
                          </w:txbxContent>
                        </v:textbox>
                      </v:shape>
                      <v:line id="直接连接符 119" o:spid="_x0000_s1026" o:spt="20" style="position:absolute;left:2446020;top:1310005;flip:y;height:1905;width:937260;" filled="f" stroked="t" coordsize="21600,21600" o:gfxdata="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R+eFtQAAAAFAQAADwAAAAAAAAABACAAAAAiAAAAZHJzL2Rvd25y&#10;ZXYueG1sUEsBAhQAFAAAAAgAh07iQDQFw80CAgAA9AMAAA4AAAAAAAAAAQAgAAAAIwEAAGRycy9l&#10;Mm9Eb2MueG1sUEsFBgAAAAAGAAYAWQEAAJcFAAAAAA==&#10;">
                        <v:fill on="f" focussize="0,0"/>
                        <v:stroke color="#000000" joinstyle="round"/>
                        <v:imagedata o:title=""/>
                        <o:lock v:ext="edit" aspectratio="f"/>
                      </v:line>
                      <v:line id="直接连接符 119" o:spid="_x0000_s1026" o:spt="20" style="position:absolute;left:3378835;top:1316355;flip:y;height:481330;width:2540;" filled="f" stroked="t" coordsize="21600,21600" o:gfxdata="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0fnhbUAAAABQEAAA8AAAAAAAAAAQAgAAAAIgAAAGRy&#10;cy9kb3ducmV2LnhtbFBLAQIUABQAAAAIAIdO4kDUHH5HCQIAAPQDAAAOAAAAAAAAAAEAIAAAACMB&#10;AABkcnMvZTJvRG9jLnhtbFBLBQYAAAAABgAGAFkBAACeBQAAAAA=&#10;">
                        <v:fill on="f" focussize="0,0"/>
                        <v:stroke color="#000000" joinstyle="round"/>
                        <v:imagedata o:title=""/>
                        <o:lock v:ext="edit" aspectratio="f"/>
                      </v:line>
                      <v:shape id="_x0000_s1026" o:spid="_x0000_s1026" o:spt="202" type="#_x0000_t202" style="position:absolute;left:2660015;top:1333500;height:292100;width:706120;" filled="f" stroked="f" coordsize="21600,21600" o:gfxdata="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INqSdYAAAAFAQAADwAAAAAAAAABACAAAAAiAAAAZHJzL2Rvd25yZXYueG1sUEsB&#10;AhQAFAAAAAgAh07iQGnyLrO+AQAAZgMAAA4AAAAAAAAAAQAgAAAAJQEAAGRycy9lMm9Eb2MueG1s&#10;UEsFBgAAAAAGAAYAWQEAAFUFAAAAAA==&#10;">
                        <v:fill on="f" focussize="0,0"/>
                        <v:stroke on="f" weight="0.5pt"/>
                        <v:imagedata o:title=""/>
                        <o:lock v:ext="edit" aspectratio="f"/>
                        <v:textbox>
                          <w:txbxContent>
                            <w:p>
                              <w:pPr>
                                <w:ind w:firstLine="0" w:firstLineChars="0"/>
                                <w:rPr>
                                  <w:sz w:val="21"/>
                                  <w:szCs w:val="20"/>
                                </w:rPr>
                              </w:pPr>
                              <w:r>
                                <w:rPr>
                                  <w:rFonts w:hint="eastAsia"/>
                                  <w:sz w:val="21"/>
                                  <w:szCs w:val="20"/>
                                </w:rPr>
                                <w:t>回用384</w:t>
                              </w:r>
                            </w:p>
                          </w:txbxContent>
                        </v:textbox>
                      </v:shape>
                      <v:line id="直接连接符 182" o:spid="_x0000_s1026" o:spt="20" style="position:absolute;left:929640;top:3559810;height:635;width:58293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0y2NYAAAAFAQAADwAAAAAAAAABACAAAAAiAAAAZHJzL2Rvd25y&#10;ZXYueG1sUEsBAhQAFAAAAAgAh07iQPXUjMUAAgAA6wMAAA4AAAAAAAAAAQAgAAAAJQEAAGRycy9l&#10;Mm9Eb2MueG1sUEsFBgAAAAAGAAYAWQEAAJcFAAAAAA==&#10;">
                        <v:fill on="f" focussize="0,0"/>
                        <v:stroke color="#000000" joinstyle="round" endarrow="block"/>
                        <v:imagedata o:title=""/>
                        <o:lock v:ext="edit" aspectratio="f"/>
                      </v:line>
                      <v:shape id="文本框 121" o:spid="_x0000_s1026" o:spt="202" type="#_x0000_t202" style="position:absolute;left:1529080;top:3401695;height:285750;width:1039495;"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wYq41QAAAAUBAAAPAAAA&#10;AAAAAAEAIAAAACIAAABkcnMvZG93bnJldi54bWxQSwECFAAUAAAACACHTuJAFy/PoRgCAABFBAAA&#10;DgAAAAAAAAABACAAAAAkAQAAZHJzL2Uyb0RvYy54bWxQSwUGAAAAAAYABgBZAQAArgUAAAAA&#10;">
                        <v:fill on="t" focussize="0,0"/>
                        <v:stroke color="#000000" joinstyle="miter"/>
                        <v:imagedata o:title=""/>
                        <o:lock v:ext="edit" aspectratio="f"/>
                        <v:textbox>
                          <w:txbxContent>
                            <w:p>
                              <w:pPr>
                                <w:ind w:firstLine="0" w:firstLineChars="0"/>
                              </w:pPr>
                              <w:r>
                                <w:rPr>
                                  <w:rFonts w:hint="eastAsia" w:ascii="Calibri" w:hAnsi="Calibri"/>
                                  <w:sz w:val="21"/>
                                  <w:szCs w:val="22"/>
                                </w:rPr>
                                <w:t>车辆清洗用水用水</w:t>
                              </w:r>
                            </w:p>
                          </w:txbxContent>
                        </v:textbox>
                      </v:shape>
                      <v:line id="直接连接符 176" o:spid="_x0000_s1026" o:spt="20" style="position:absolute;left:1682115;top:3168650;flip:y;height:241300;width:355600;" filled="f" stroked="t" coordsize="21600,21600" o:gfxdata="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&#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GDtMAAAAFAQAADwAAAAAAAAABACAAAAAiAAAA&#10;ZHJzL2Rvd25yZXYueG1sUEsBAhQAFAAAAAgAh07iQJmG5OMMAgAA+AMAAA4AAAAAAAAAAQAgAAAA&#10;IgEAAGRycy9lMm9Eb2MueG1sUEsFBgAAAAAGAAYAWQEAAKAFAAAAAA==&#10;">
                        <v:fill on="f" focussize="0,0"/>
                        <v:stroke color="#000000" joinstyle="round" dashstyle="dash" endarrow="block"/>
                        <v:imagedata o:title=""/>
                        <o:lock v:ext="edit" aspectratio="f"/>
                      </v:line>
                      <v:shape id="文本框 189" o:spid="_x0000_s1026" o:spt="202" type="#_x0000_t202" style="position:absolute;left:1000760;top:3223895;height:279400;width:496570;"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&#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6KzY/TAAAABQEAAA8AAAAAAAAAAQAgAAAAIgAAAGRy&#10;cy9kb3ducmV2LnhtbFBLAQIUABQAAAAIAIdO4kBZf7vK0QEAAIYDAAAOAAAAAAAAAAEAIAAAACIB&#10;AABkcnMvZTJvRG9jLnhtbFBLBQYAAAAABgAGAFkBAABlBQAAAAA=&#10;">
                        <v:fill on="t" focussize="0,0"/>
                        <v:stroke on="f"/>
                        <v:imagedata o:title=""/>
                        <o:lock v:ext="edit" aspectratio="f"/>
                        <v:textbox>
                          <w:txbxContent>
                            <w:p>
                              <w:pPr>
                                <w:ind w:firstLine="0" w:firstLineChars="0"/>
                                <w:rPr>
                                  <w:sz w:val="22"/>
                                  <w:szCs w:val="22"/>
                                </w:rPr>
                              </w:pPr>
                              <w:r>
                                <w:rPr>
                                  <w:rFonts w:hint="eastAsia"/>
                                  <w:sz w:val="22"/>
                                  <w:szCs w:val="22"/>
                                </w:rPr>
                                <w:t>480</w:t>
                              </w:r>
                            </w:p>
                          </w:txbxContent>
                        </v:textbox>
                      </v:shape>
                      <v:shape id="_x0000_s1026" o:spid="_x0000_s1026" o:spt="202" type="#_x0000_t202" style="position:absolute;left:2072640;top:3070860;height:266700;width:487680;" fillcolor="#FFFFFF" filled="t" stroked="f" coordsize="21600,21600" o:gfxdata="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6KzY/TAAAABQEAAA8AAAAAAAAAAQAg&#10;AAAAIgAAAGRycy9kb3ducmV2LnhtbFBLAQIUABQAAAAIAIdO4kBpDnBAEwIAABwEAAAOAAAAAAAA&#10;AAEAIAAAACIBAABkcnMvZTJvRG9jLnhtbFBLBQYAAAAABgAGAFkBAACnBQAAAAA=&#10;">
                        <v:fill on="t" focussize="0,0"/>
                        <v:stroke on="f" joinstyle="miter"/>
                        <v:imagedata o:title=""/>
                        <o:lock v:ext="edit" aspectratio="f"/>
                        <v:textbox>
                          <w:txbxContent>
                            <w:p>
                              <w:pPr>
                                <w:ind w:firstLine="0" w:firstLineChars="0"/>
                              </w:pPr>
                              <w:r>
                                <w:rPr>
                                  <w:rFonts w:hint="eastAsia"/>
                                  <w:sz w:val="22"/>
                                </w:rPr>
                                <w:t>96</w:t>
                              </w:r>
                            </w:p>
                          </w:txbxContent>
                        </v:textbox>
                      </v:shape>
                      <v:shape id="文本框 120" o:spid="_x0000_s1026" o:spt="202" type="#_x0000_t202" style="position:absolute;left:3706495;top:361950;height:480695;width:1511935;"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wYq41QAAAAUBAAAPAAAAAAAA&#10;AAEAIAAAACIAAABkcnMvZG93bnJldi54bWxQSwECFAAUAAAACACHTuJARTM/dRUCAABFBAAADgAA&#10;AAAAAAABACAAAAAkAQAAZHJzL2Uyb0RvYy54bWxQSwUGAAAAAAYABgBZAQAAqwUAAAAA&#10;">
                        <v:fill on="t" focussize="0,0"/>
                        <v:stroke color="#000000" joinstyle="miter"/>
                        <v:imagedata o:title=""/>
                        <o:lock v:ext="edit" aspectratio="f"/>
                        <v:textbox>
                          <w:txbxContent>
                            <w:p>
                              <w:pPr>
                                <w:spacing w:line="240" w:lineRule="auto"/>
                                <w:ind w:firstLine="0" w:firstLineChars="0"/>
                                <w:rPr>
                                  <w:rFonts w:ascii="Calibri" w:hAnsi="Calibri"/>
                                  <w:color w:val="000000" w:themeColor="text1"/>
                                  <w:sz w:val="21"/>
                                  <w:szCs w:val="22"/>
                                  <w14:textFill>
                                    <w14:solidFill>
                                      <w14:schemeClr w14:val="tx1"/>
                                    </w14:solidFill>
                                  </w14:textFill>
                                </w:rPr>
                              </w:pPr>
                              <w:r>
                                <w:rPr>
                                  <w:rFonts w:hint="eastAsia" w:ascii="Calibri" w:hAnsi="Calibri"/>
                                  <w:color w:val="000000" w:themeColor="text1"/>
                                  <w:sz w:val="21"/>
                                  <w:szCs w:val="22"/>
                                  <w14:textFill>
                                    <w14:solidFill>
                                      <w14:schemeClr w14:val="tx1"/>
                                    </w14:solidFill>
                                  </w14:textFill>
                                </w:rPr>
                                <w:t>胡杨河经济技术开发区（南区）污水处理厂</w:t>
                              </w:r>
                            </w:p>
                          </w:txbxContent>
                        </v:textbox>
                      </v:shape>
                      <v:shape id="文本框 121" o:spid="_x0000_s1026" o:spt="202" type="#_x0000_t202" style="position:absolute;left:3080385;top:1808480;height:275590;width:781685;"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wYq41QAAAAUBAAAPAAAA&#10;AAAAAAEAIAAAACIAAABkcnMvZG93bnJldi54bWxQSwECFAAUAAAACACHTuJAeCtoQRgCAABEBAAA&#10;DgAAAAAAAAABACAAAAAkAQAAZHJzL2Uyb0RvYy54bWxQSwUGAAAAAAYABgBZAQAArgUAAAAA&#10;">
                        <v:fill on="t" focussize="0,0"/>
                        <v:stroke color="#000000" joinstyle="miter"/>
                        <v:imagedata o:title=""/>
                        <o:lock v:ext="edit" aspectratio="f"/>
                        <v:textbox>
                          <w:txbxContent>
                            <w:p>
                              <w:pPr>
                                <w:ind w:firstLine="0" w:firstLineChars="0"/>
                                <w:rPr>
                                  <w:rFonts w:hint="default" w:eastAsia="宋体"/>
                                  <w:lang w:val="en-US" w:eastAsia="zh-CN"/>
                                </w:rPr>
                              </w:pPr>
                              <w:r>
                                <w:rPr>
                                  <w:rFonts w:hint="eastAsia" w:ascii="Calibri" w:hAnsi="Calibri"/>
                                  <w:sz w:val="21"/>
                                  <w:szCs w:val="22"/>
                                </w:rPr>
                                <w:t>沉淀池</w:t>
                              </w:r>
                              <w:r>
                                <w:rPr>
                                  <w:rFonts w:hint="eastAsia" w:ascii="Calibri" w:hAnsi="Calibri"/>
                                  <w:sz w:val="21"/>
                                  <w:szCs w:val="22"/>
                                  <w:lang w:val="en-US" w:eastAsia="zh-CN"/>
                                </w:rPr>
                                <w:t>1#</w:t>
                              </w:r>
                            </w:p>
                          </w:txbxContent>
                        </v:textbox>
                      </v:shape>
                      <v:line id="直接连接符 119" o:spid="_x0000_s1026" o:spt="20" style="position:absolute;left:2472690;top:3097530;flip:y;height:1905;width:937260;" filled="f" stroked="t" coordsize="21600,21600" o:gfxdata="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R+eFtQAAAAFAQAADwAAAAAAAAABACAAAAAiAAAAZHJzL2Rvd25y&#10;ZXYueG1sUEsBAhQAFAAAAAgAh07iQOuAOrICAgAA8wMAAA4AAAAAAAAAAQAgAAAAIwEAAGRycy9l&#10;Mm9Eb2MueG1sUEsFBgAAAAAGAAYAWQEAAJcFAAAAAA==&#10;">
                        <v:fill on="f" focussize="0,0"/>
                        <v:stroke color="#000000" joinstyle="round"/>
                        <v:imagedata o:title=""/>
                        <o:lock v:ext="edit" aspectratio="f"/>
                      </v:line>
                      <v:shape id="_x0000_s1026" o:spid="_x0000_s1026" o:spt="202" type="#_x0000_t202" style="position:absolute;left:2559050;top:3088640;height:292100;width:706120;" filled="f" stroked="f" coordsize="21600,21600" o:gfxdata="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iDaknWAAAABQEAAA8AAAAAAAAAAQAgAAAAIgAAAGRycy9kb3ducmV2LnhtbFBL&#10;AQIUABQAAAAIAIdO4kA6oyk0vwEAAGQDAAAOAAAAAAAAAAEAIAAAACUBAABkcnMvZTJvRG9jLnht&#10;bFBLBQYAAAAABgAGAFkBAABWBQAAAAA=&#10;">
                        <v:fill on="f" focussize="0,0"/>
                        <v:stroke on="f" weight="0.5pt"/>
                        <v:imagedata o:title=""/>
                        <o:lock v:ext="edit" aspectratio="f"/>
                        <v:textbox>
                          <w:txbxContent>
                            <w:p>
                              <w:pPr>
                                <w:ind w:firstLine="0" w:firstLineChars="0"/>
                                <w:rPr>
                                  <w:sz w:val="21"/>
                                  <w:szCs w:val="20"/>
                                </w:rPr>
                              </w:pPr>
                              <w:r>
                                <w:rPr>
                                  <w:rFonts w:hint="eastAsia"/>
                                  <w:sz w:val="21"/>
                                  <w:szCs w:val="20"/>
                                </w:rPr>
                                <w:t>回用384</w:t>
                              </w:r>
                            </w:p>
                          </w:txbxContent>
                        </v:textbox>
                      </v:shape>
                      <v:shape id="文本框 121" o:spid="_x0000_s1026" o:spt="202" type="#_x0000_t202" style="position:absolute;left:3084830;top:3394710;height:275590;width:793115;" fillcolor="#FFFFFF" filled="t" stroked="t" coordsize="21600,21600" o:gfxdata="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MGKuNUAAAAFAQAADwAA&#10;AAAAAAABACAAAAAiAAAAZHJzL2Rvd25yZXYueG1sUEsBAhQAFAAAAAgAh07iQJB78GAZAgAARAQA&#10;AA4AAAAAAAAAAQAgAAAAJAEAAGRycy9lMm9Eb2MueG1sUEsFBgAAAAAGAAYAWQEAAK8FAAAAAA==&#10;">
                        <v:fill on="t" focussize="0,0"/>
                        <v:stroke color="#000000" joinstyle="miter"/>
                        <v:imagedata o:title=""/>
                        <o:lock v:ext="edit" aspectratio="f"/>
                        <v:textbox>
                          <w:txbxContent>
                            <w:p>
                              <w:pPr>
                                <w:ind w:firstLine="0" w:firstLineChars="0"/>
                                <w:rPr>
                                  <w:rFonts w:hint="default" w:eastAsia="宋体"/>
                                  <w:lang w:val="en-US" w:eastAsia="zh-CN"/>
                                </w:rPr>
                              </w:pPr>
                              <w:r>
                                <w:rPr>
                                  <w:rFonts w:hint="eastAsia" w:ascii="Calibri" w:hAnsi="Calibri"/>
                                  <w:sz w:val="21"/>
                                  <w:szCs w:val="22"/>
                                </w:rPr>
                                <w:t>沉淀池</w:t>
                              </w:r>
                              <w:r>
                                <w:rPr>
                                  <w:rFonts w:hint="eastAsia" w:ascii="Calibri" w:hAnsi="Calibri"/>
                                  <w:sz w:val="21"/>
                                  <w:szCs w:val="22"/>
                                  <w:lang w:val="en-US" w:eastAsia="zh-CN"/>
                                </w:rPr>
                                <w:t>1#</w:t>
                              </w:r>
                            </w:p>
                            <w:p/>
                          </w:txbxContent>
                        </v:textbox>
                      </v:shape>
                      <v:line id="直接连接符 119" o:spid="_x0000_s1026" o:spt="20" style="position:absolute;left:3398520;top:3107055;flip:y;height:288925;width:3810;" filled="f" stroked="t" coordsize="21600,21600" o:gfxdata="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H54W1AAAAAUBAAAPAAAAAAAAAAEAIAAAACIAAABkcnMvZG93&#10;bnJldi54bWxQSwECFAAUAAAACACHTuJAcpMGqgQCAADzAwAADgAAAAAAAAABACAAAAAjAQAAZHJz&#10;L2Uyb0RvYy54bWxQSwUGAAAAAAYABgBZAQAAmQUAAAAA&#10;">
                        <v:fill on="f" focussize="0,0"/>
                        <v:stroke color="#000000" joinstyle="round"/>
                        <v:imagedata o:title=""/>
                        <o:lock v:ext="edit" aspectratio="f"/>
                      </v:line>
                      <v:line id="直接连接符 184" o:spid="_x0000_s1026" o:spt="20" style="position:absolute;left:2552700;top:1939290;height:3810;width:53467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dMtjWAAAABQEAAA8AAAAAAAAAAQAgAAAAIgAAAGRy&#10;cy9kb3ducmV2LnhtbFBLAQIUABQAAAAIAIdO4kBuntnbBwIAAO0DAAAOAAAAAAAAAAEAIAAAACUB&#10;AABkcnMvZTJvRG9jLnhtbFBLBQYAAAAABgAGAFkBAACeBQAAAAA=&#10;">
                        <v:fill on="f" focussize="0,0"/>
                        <v:stroke color="#000000" joinstyle="round" endarrow="block"/>
                        <v:imagedata o:title=""/>
                        <o:lock v:ext="edit" aspectratio="f"/>
                      </v:line>
                      <v:line id="直接连接符 184" o:spid="_x0000_s1026" o:spt="20" style="position:absolute;left:2560955;top:3513455;height:3810;width:53467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0y2NYAAAAFAQAADwAAAAAAAAABACAAAAAiAAAAZHJz&#10;L2Rvd25yZXYueG1sUEsBAhQAFAAAAAgAh07iQNlpb/EGAgAA7QMAAA4AAAAAAAAAAQAgAAAAJQEA&#10;AGRycy9lMm9Eb2MueG1sUEsFBgAAAAAGAAYAWQEAAJ0FAAAAAA==&#10;">
                        <v:fill on="f" focussize="0,0"/>
                        <v:stroke color="#000000" joinstyle="round" endarrow="block"/>
                        <v:imagedata o:title=""/>
                        <o:lock v:ext="edit" aspectratio="f"/>
                      </v:line>
                      <v:line id="直接连接符 184" o:spid="_x0000_s1026" o:spt="20" style="position:absolute;left:2481580;top:3094355;height:306705;width:3810;" filled="f" stroked="t" coordsize="21600,21600" o:gfxdata="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0y2NYAAAAFAQAADwAAAAAAAAABACAAAAAiAAAAZHJz&#10;L2Rvd25yZXYueG1sUEsBAhQAFAAAAAgAh07iQOUIANsGAgAA7QMAAA4AAAAAAAAAAQAgAAAAJQEA&#10;AGRycy9lMm9Eb2MueG1sUEsFBgAAAAAGAAYAWQEAAJ0FAAAAAA==&#10;">
                        <v:fill on="f" focussize="0,0"/>
                        <v:stroke color="#000000" joinstyle="round" endarrow="block"/>
                        <v:imagedata o:title=""/>
                        <o:lock v:ext="edit" aspectratio="f"/>
                      </v:line>
                      <w10:wrap type="none"/>
                      <w10:anchorlock/>
                    </v:group>
                  </w:pict>
                </mc:Fallback>
              </mc:AlternateContent>
            </w:r>
          </w:p>
          <w:p>
            <w:pPr>
              <w:spacing w:line="450" w:lineRule="exact"/>
              <w:ind w:firstLine="0" w:firstLineChars="0"/>
              <w:jc w:val="center"/>
              <w:rPr>
                <w:b/>
                <w:bCs/>
                <w:color w:val="000000" w:themeColor="text1"/>
                <w14:textFill>
                  <w14:solidFill>
                    <w14:schemeClr w14:val="tx1"/>
                  </w14:solidFill>
                </w14:textFill>
              </w:rPr>
            </w:pPr>
            <w:r>
              <w:rPr>
                <w:rStyle w:val="36"/>
                <w:b/>
                <w:bCs/>
                <w:color w:val="000000" w:themeColor="text1"/>
                <w14:textFill>
                  <w14:solidFill>
                    <w14:schemeClr w14:val="tx1"/>
                  </w14:solidFill>
                </w14:textFill>
              </w:rPr>
              <w:t>图2-1  水平衡图  单位：</w:t>
            </w:r>
            <w:r>
              <w:rPr>
                <w:b/>
                <w:bCs/>
                <w:color w:val="000000" w:themeColor="text1"/>
                <w:sz w:val="21"/>
                <w:szCs w:val="21"/>
                <w14:textFill>
                  <w14:solidFill>
                    <w14:schemeClr w14:val="tx1"/>
                  </w14:solidFill>
                </w14:textFill>
              </w:rPr>
              <w:t>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/a</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6.3供电</w:t>
            </w:r>
          </w:p>
          <w:p>
            <w:pPr>
              <w:ind w:firstLine="480"/>
              <w:rPr>
                <w:color w:val="000000" w:themeColor="text1"/>
                <w:sz w:val="21"/>
                <w:szCs w:val="22"/>
                <w14:textFill>
                  <w14:solidFill>
                    <w14:schemeClr w14:val="tx1"/>
                  </w14:solidFill>
                </w14:textFill>
              </w:rPr>
            </w:pPr>
            <w:r>
              <w:rPr>
                <w:color w:val="000000" w:themeColor="text1"/>
                <w14:textFill>
                  <w14:solidFill>
                    <w14:schemeClr w14:val="tx1"/>
                  </w14:solidFill>
                </w14:textFill>
              </w:rPr>
              <w:t>项目供电由当地电网供给。</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6.4供热</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项目冬季供暖采用电采暖。</w:t>
            </w:r>
          </w:p>
          <w:p>
            <w:pPr>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7、总投资及资金来源</w:t>
            </w:r>
          </w:p>
          <w:p>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总投资：860</w:t>
            </w:r>
            <w:r>
              <w:rPr>
                <w:bCs/>
                <w:color w:val="000000" w:themeColor="text1"/>
                <w:lang w:val="zh-CN"/>
                <w14:textFill>
                  <w14:solidFill>
                    <w14:schemeClr w14:val="tx1"/>
                  </w14:solidFill>
                </w14:textFill>
              </w:rPr>
              <w:t>万元，资金来源为企业自筹</w:t>
            </w:r>
            <w:r>
              <w:rPr>
                <w:color w:val="000000" w:themeColor="text1"/>
                <w14:textFill>
                  <w14:solidFill>
                    <w14:schemeClr w14:val="tx1"/>
                  </w14:solidFill>
                </w14:textFill>
              </w:rPr>
              <w:t>。</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8、劳动定员及工作制度</w:t>
            </w:r>
          </w:p>
          <w:p>
            <w:pPr>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劳动定员：本项目劳动定员10人。</w:t>
            </w:r>
          </w:p>
          <w:p>
            <w:pPr>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工作制度：</w:t>
            </w:r>
            <w:r>
              <w:rPr>
                <w:color w:val="000000" w:themeColor="text1"/>
                <w:szCs w:val="28"/>
                <w14:textFill>
                  <w14:solidFill>
                    <w14:schemeClr w14:val="tx1"/>
                  </w14:solidFill>
                </w14:textFill>
              </w:rPr>
              <w:t>年工作8个月，年工作240天，一日一班，每班工作8小时。</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9、平面布置</w:t>
            </w:r>
          </w:p>
          <w:p>
            <w:pPr>
              <w:adjustRightInd w:val="0"/>
              <w:snapToGrid w:val="0"/>
              <w:spacing w:line="336"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按照生产工艺流程布置，功能分区明确，交通顺畅，布置紧凑；人货流动畅通，并充分考虑到工程行业特点、安全间距、卫生防护、货物运输和防火需要，各装置区之间留有足够的安全间距，避免相互影响，其中，生产区位于项目区中部，原料堆存区位于项目区东部，项目区常年以西南风为主，生活办公区位于项目区北侧，处于侧风向，项目区及周边地势平坦，周边500m范围内无居民区，无明显环境制约因素，其平面布置基本合理，平面布置图见附图</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adjustRightInd w:val="0"/>
              <w:snapToGrid w:val="0"/>
              <w:spacing w:line="336" w:lineRule="auto"/>
              <w:ind w:firstLine="480"/>
              <w:rPr>
                <w:color w:val="000000" w:themeColor="text1"/>
                <w14:textFill>
                  <w14:solidFill>
                    <w14:schemeClr w14:val="tx1"/>
                  </w14:solidFill>
                </w14:textFill>
              </w:rPr>
            </w:pPr>
          </w:p>
          <w:p>
            <w:pPr>
              <w:adjustRightInd w:val="0"/>
              <w:snapToGrid w:val="0"/>
              <w:spacing w:line="336" w:lineRule="auto"/>
              <w:ind w:firstLine="480"/>
              <w:rPr>
                <w:color w:val="000000" w:themeColor="text1"/>
                <w14:textFill>
                  <w14:solidFill>
                    <w14:schemeClr w14:val="tx1"/>
                  </w14:solidFill>
                </w14:textFill>
              </w:rPr>
            </w:pPr>
          </w:p>
          <w:p>
            <w:pPr>
              <w:adjustRightInd w:val="0"/>
              <w:snapToGrid w:val="0"/>
              <w:spacing w:line="336" w:lineRule="auto"/>
              <w:ind w:firstLine="480"/>
              <w:rPr>
                <w:color w:val="000000" w:themeColor="text1"/>
                <w14:textFill>
                  <w14:solidFill>
                    <w14:schemeClr w14:val="tx1"/>
                  </w14:solidFill>
                </w14:textFill>
              </w:rPr>
            </w:pPr>
          </w:p>
          <w:p>
            <w:pPr>
              <w:adjustRightInd w:val="0"/>
              <w:snapToGrid w:val="0"/>
              <w:spacing w:line="336" w:lineRule="auto"/>
              <w:ind w:firstLine="480"/>
              <w:rPr>
                <w:color w:val="000000" w:themeColor="text1"/>
                <w14:textFill>
                  <w14:solidFill>
                    <w14:schemeClr w14:val="tx1"/>
                  </w14:solidFill>
                </w14:textFill>
              </w:rPr>
            </w:pPr>
          </w:p>
          <w:p>
            <w:pPr>
              <w:adjustRightInd w:val="0"/>
              <w:snapToGrid w:val="0"/>
              <w:spacing w:line="336" w:lineRule="auto"/>
              <w:ind w:firstLine="480"/>
              <w:rPr>
                <w:color w:val="000000" w:themeColor="text1"/>
                <w14:textFill>
                  <w14:solidFill>
                    <w14:schemeClr w14:val="tx1"/>
                  </w14:solidFill>
                </w14:textFill>
              </w:rPr>
            </w:pPr>
          </w:p>
          <w:p>
            <w:pPr>
              <w:pStyle w:val="46"/>
              <w:ind w:firstLine="0" w:firstLineChars="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14"/>
              <w:ind w:left="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37"/>
              <w:ind w:firstLine="480"/>
              <w:rPr>
                <w:rFonts w:hint="default" w:ascii="Times New Roman"/>
                <w:color w:val="000000" w:themeColor="text1"/>
                <w14:textFill>
                  <w14:solidFill>
                    <w14:schemeClr w14:val="tx1"/>
                  </w14:solidFill>
                </w14:textFill>
              </w:rPr>
            </w:pPr>
          </w:p>
          <w:p>
            <w:pPr>
              <w:adjustRightInd w:val="0"/>
              <w:snapToGrid w:val="0"/>
              <w:spacing w:line="336" w:lineRule="auto"/>
              <w:ind w:firstLine="0" w:firstLineChars="0"/>
              <w:rPr>
                <w:color w:val="000000" w:themeColor="text1"/>
                <w14:textFill>
                  <w14:solidFill>
                    <w14:schemeClr w14:val="tx1"/>
                  </w14:solidFill>
                </w14:textFill>
              </w:rPr>
            </w:pPr>
          </w:p>
          <w:p>
            <w:pPr>
              <w:adjustRightInd w:val="0"/>
              <w:snapToGrid w:val="0"/>
              <w:spacing w:line="336" w:lineRule="auto"/>
              <w:ind w:firstLine="48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248" w:type="pct"/>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工艺流程和产排污环节</w:t>
            </w:r>
          </w:p>
        </w:tc>
        <w:tc>
          <w:tcPr>
            <w:tcW w:w="4751" w:type="pct"/>
            <w:tcBorders>
              <w:tl2br w:val="nil"/>
              <w:tr2bl w:val="nil"/>
            </w:tcBorders>
          </w:tcPr>
          <w:p>
            <w:pPr>
              <w:numPr>
                <w:ilvl w:val="255"/>
                <w:numId w:val="0"/>
              </w:numPr>
              <w:adjustRightInd w:val="0"/>
              <w:snapToGrid w:val="0"/>
              <w:rPr>
                <w:b/>
                <w:color w:val="000000" w:themeColor="text1"/>
                <w:szCs w:val="21"/>
                <w14:textFill>
                  <w14:solidFill>
                    <w14:schemeClr w14:val="tx1"/>
                  </w14:solidFill>
                </w14:textFill>
              </w:rPr>
            </w:pPr>
            <w:r>
              <w:rPr>
                <w:b/>
                <w:bCs/>
                <w:color w:val="000000" w:themeColor="text1"/>
                <w14:textFill>
                  <w14:solidFill>
                    <w14:schemeClr w14:val="tx1"/>
                  </w14:solidFill>
                </w14:textFill>
              </w:rPr>
              <w:t>1、</w:t>
            </w:r>
            <w:r>
              <w:rPr>
                <w:b/>
                <w:color w:val="000000" w:themeColor="text1"/>
                <w:szCs w:val="21"/>
                <w14:textFill>
                  <w14:solidFill>
                    <w14:schemeClr w14:val="tx1"/>
                  </w14:solidFill>
                </w14:textFill>
              </w:rPr>
              <w:t>施工期工艺流程图及产污环节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施工期阶段主要包括场地平整、基础工程、主体工程、装修工程、公用工程、环保绿化工程以及设备安装、调试等，至竣工验收完成施工期结束。施工期工艺流程图及工艺污染环节流程见图2-2：</w:t>
            </w:r>
          </w:p>
          <w:p>
            <w:pPr>
              <w:ind w:left="0" w:leftChars="0" w:firstLine="0" w:firstLineChars="0"/>
              <w:rPr>
                <w:color w:val="000000" w:themeColor="text1"/>
                <w14:textFill>
                  <w14:solidFill>
                    <w14:schemeClr w14:val="tx1"/>
                  </w14:solidFill>
                </w14:textFill>
              </w:rPr>
            </w:pPr>
            <w:r>
              <w:rPr>
                <w:color w:val="000000" w:themeColor="text1"/>
                <w:szCs w:val="21"/>
                <w14:textFill>
                  <w14:solidFill>
                    <w14:schemeClr w14:val="tx1"/>
                  </w14:solidFill>
                </w14:textFill>
              </w:rPr>
              <w:object>
                <v:shape id="_x0000_i1025" o:spt="75" alt="" type="#_x0000_t75" style="height:156pt;width:414.75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p>
          <w:p>
            <w:pPr>
              <w:ind w:firstLine="482"/>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图2-2  </w:t>
            </w:r>
            <w:r>
              <w:rPr>
                <w:b/>
                <w:color w:val="000000" w:themeColor="text1"/>
                <w:szCs w:val="21"/>
                <w14:textFill>
                  <w14:solidFill>
                    <w14:schemeClr w14:val="tx1"/>
                  </w14:solidFill>
                </w14:textFill>
              </w:rPr>
              <w:t>施工期工艺流程及产污节点图</w:t>
            </w:r>
          </w:p>
          <w:p>
            <w:pPr>
              <w:ind w:firstLine="508" w:firstLineChars="212"/>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项目施工期间的环境影响问题主要有施工废水、废气、扬尘、施工噪声以及施工固体废弃物等。</w:t>
            </w:r>
          </w:p>
          <w:p>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①施工废水：施工场地内施工人员的生活污水及场地内少量施工废水；</w:t>
            </w:r>
          </w:p>
          <w:p>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②废气：运输车辆及施工机械排放的尾气，主要污染物是氮氧化物、一氧化碳、THC等；</w:t>
            </w:r>
          </w:p>
          <w:p>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③扬尘：施工工地内及施工场地的进出口路段，在风力作用下产生的扬尘；由于车辆的行驶，建筑材料如水泥、河砂等在运输和使用过程中产生的扬尘；施工土方装车过程所产生的扬尘；</w:t>
            </w:r>
          </w:p>
          <w:p>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④噪声：施工建筑机械、运输车辆及施工过程产生的噪声；</w:t>
            </w:r>
          </w:p>
          <w:p>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⑤固体废弃物：施工期主要有建筑垃圾及施工人员生活垃圾。</w:t>
            </w:r>
          </w:p>
          <w:p>
            <w:pPr>
              <w:numPr>
                <w:ilvl w:val="255"/>
                <w:numId w:val="0"/>
              </w:numPr>
              <w:adjustRightInd w:val="0"/>
              <w:snapToGrid w:val="0"/>
              <w:ind w:firstLine="480"/>
              <w:rPr>
                <w:b/>
                <w:bCs/>
                <w:color w:val="000000" w:themeColor="text1"/>
                <w14:textFill>
                  <w14:solidFill>
                    <w14:schemeClr w14:val="tx1"/>
                  </w14:solidFill>
                </w14:textFill>
              </w:rPr>
            </w:pPr>
          </w:p>
          <w:p>
            <w:pPr>
              <w:numPr>
                <w:ilvl w:val="255"/>
                <w:numId w:val="0"/>
              </w:numPr>
              <w:adjustRightInd w:val="0"/>
              <w:snapToGrid w:val="0"/>
              <w:ind w:firstLine="480"/>
              <w:rPr>
                <w:b/>
                <w:bCs/>
                <w:color w:val="000000" w:themeColor="text1"/>
                <w14:textFill>
                  <w14:solidFill>
                    <w14:schemeClr w14:val="tx1"/>
                  </w14:solidFill>
                </w14:textFill>
              </w:rPr>
            </w:pPr>
          </w:p>
          <w:p>
            <w:pPr>
              <w:numPr>
                <w:ilvl w:val="255"/>
                <w:numId w:val="0"/>
              </w:numPr>
              <w:adjustRightInd w:val="0"/>
              <w:snapToGrid w:val="0"/>
              <w:ind w:firstLine="480"/>
              <w:rPr>
                <w:b/>
                <w:bCs/>
                <w:color w:val="000000" w:themeColor="text1"/>
                <w14:textFill>
                  <w14:solidFill>
                    <w14:schemeClr w14:val="tx1"/>
                  </w14:solidFill>
                </w14:textFill>
              </w:rPr>
            </w:pPr>
          </w:p>
          <w:p>
            <w:pPr>
              <w:numPr>
                <w:ilvl w:val="255"/>
                <w:numId w:val="0"/>
              </w:numPr>
              <w:adjustRightInd w:val="0"/>
              <w:snapToGrid w:val="0"/>
              <w:ind w:firstLine="480"/>
              <w:rPr>
                <w:b/>
                <w:bCs/>
                <w:color w:val="000000" w:themeColor="text1"/>
                <w14:textFill>
                  <w14:solidFill>
                    <w14:schemeClr w14:val="tx1"/>
                  </w14:solidFill>
                </w14:textFill>
              </w:rPr>
            </w:pPr>
          </w:p>
          <w:p>
            <w:pPr>
              <w:numPr>
                <w:ilvl w:val="255"/>
                <w:numId w:val="0"/>
              </w:numPr>
              <w:adjustRightInd w:val="0"/>
              <w:snapToGrid w:val="0"/>
              <w:ind w:firstLine="480"/>
              <w:rPr>
                <w:b/>
                <w:bCs/>
                <w:color w:val="000000" w:themeColor="text1"/>
                <w14:textFill>
                  <w14:solidFill>
                    <w14:schemeClr w14:val="tx1"/>
                  </w14:solidFill>
                </w14:textFill>
              </w:rPr>
            </w:pPr>
          </w:p>
          <w:p>
            <w:pPr>
              <w:numPr>
                <w:ilvl w:val="255"/>
                <w:numId w:val="0"/>
              </w:numPr>
              <w:adjustRightInd w:val="0"/>
              <w:snapToGrid w:val="0"/>
              <w:ind w:firstLine="480"/>
              <w:rPr>
                <w:b/>
                <w:bCs/>
                <w:color w:val="000000" w:themeColor="text1"/>
                <w14:textFill>
                  <w14:solidFill>
                    <w14:schemeClr w14:val="tx1"/>
                  </w14:solidFill>
                </w14:textFill>
              </w:rPr>
            </w:pPr>
          </w:p>
          <w:p>
            <w:pPr>
              <w:numPr>
                <w:ilvl w:val="255"/>
                <w:numId w:val="0"/>
              </w:numPr>
              <w:adjustRightInd w:val="0"/>
              <w:snapToGrid w:val="0"/>
              <w:rPr>
                <w:b/>
                <w:color w:val="000000" w:themeColor="text1"/>
                <w:szCs w:val="21"/>
                <w14:textFill>
                  <w14:solidFill>
                    <w14:schemeClr w14:val="tx1"/>
                  </w14:solidFill>
                </w14:textFill>
              </w:rPr>
            </w:pPr>
            <w:r>
              <w:rPr>
                <w:b/>
                <w:bCs/>
                <w:color w:val="000000" w:themeColor="text1"/>
                <w14:textFill>
                  <w14:solidFill>
                    <w14:schemeClr w14:val="tx1"/>
                  </w14:solidFill>
                </w14:textFill>
              </w:rPr>
              <w:t>2、</w:t>
            </w:r>
            <w:r>
              <w:rPr>
                <w:b/>
                <w:color w:val="000000" w:themeColor="text1"/>
                <w:szCs w:val="21"/>
                <w14:textFill>
                  <w14:solidFill>
                    <w14:schemeClr w14:val="tx1"/>
                  </w14:solidFill>
                </w14:textFill>
              </w:rPr>
              <w:t>营运期工艺流程图及产污环节</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本项目主要从事混凝土搅拌生产，其工艺流程见下图。</w:t>
            </w:r>
          </w:p>
          <w:p>
            <w:pPr>
              <w:adjustRightInd w:val="0"/>
              <w:snapToGrid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7696" behindDoc="0" locked="0" layoutInCell="1" allowOverlap="1">
                  <wp:simplePos x="0" y="0"/>
                  <wp:positionH relativeFrom="column">
                    <wp:posOffset>2409190</wp:posOffset>
                  </wp:positionH>
                  <wp:positionV relativeFrom="paragraph">
                    <wp:posOffset>1704975</wp:posOffset>
                  </wp:positionV>
                  <wp:extent cx="142875" cy="228600"/>
                  <wp:effectExtent l="0" t="0" r="9525" b="0"/>
                  <wp:wrapNone/>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19"/>
                          <a:stretch>
                            <a:fillRect/>
                          </a:stretch>
                        </pic:blipFill>
                        <pic:spPr>
                          <a:xfrm>
                            <a:off x="0" y="0"/>
                            <a:ext cx="142875" cy="228600"/>
                          </a:xfrm>
                          <a:prstGeom prst="rect">
                            <a:avLst/>
                          </a:prstGeom>
                          <a:noFill/>
                          <a:ln>
                            <a:noFill/>
                          </a:ln>
                        </pic:spPr>
                      </pic:pic>
                    </a:graphicData>
                  </a:graphic>
                </wp:anchor>
              </w:drawing>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2208530</wp:posOffset>
                      </wp:positionH>
                      <wp:positionV relativeFrom="paragraph">
                        <wp:posOffset>1494155</wp:posOffset>
                      </wp:positionV>
                      <wp:extent cx="492125" cy="227330"/>
                      <wp:effectExtent l="0" t="0" r="3175" b="1270"/>
                      <wp:wrapNone/>
                      <wp:docPr id="30" name="文本框 30"/>
                      <wp:cNvGraphicFramePr/>
                      <a:graphic xmlns:a="http://schemas.openxmlformats.org/drawingml/2006/main">
                        <a:graphicData uri="http://schemas.microsoft.com/office/word/2010/wordprocessingShape">
                          <wps:wsp>
                            <wps:cNvSpPr txBox="1"/>
                            <wps:spPr>
                              <a:xfrm>
                                <a:off x="0" y="0"/>
                                <a:ext cx="492125" cy="227330"/>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spacing w:line="20" w:lineRule="atLeast"/>
                                    <w:ind w:firstLine="0" w:firstLineChars="0"/>
                                    <w:rPr>
                                      <w:sz w:val="11"/>
                                      <w:szCs w:val="11"/>
                                    </w:rPr>
                                  </w:pPr>
                                  <w:r>
                                    <w:rPr>
                                      <w:rFonts w:hint="eastAsia"/>
                                      <w:sz w:val="15"/>
                                      <w:szCs w:val="15"/>
                                    </w:rPr>
                                    <w:t>外加剂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9pt;margin-top:117.65pt;height:17.9pt;width:38.75pt;z-index:251676672;mso-width-relative:page;mso-height-relative:page;" filled="f" stroked="f" coordsize="21600,21600" o:gfxdata="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NNtF9kAAAALAQAADwAAAAAAAAABACAAAAAiAAAAZHJz&#10;L2Rvd25yZXYueG1sUEsBAhQAFAAAAAgAh07iQDxN/1g8AgAAaAQAAA4AAAAAAAAAAQAgAAAAKAEA&#10;AGRycy9lMm9Eb2MueG1sUEsFBgAAAAAGAAYAWQEAANYFAAAAAA==&#10;">
                      <v:fill on="f" focussize="0,0"/>
                      <v:stroke on="f" weight="1pt"/>
                      <v:imagedata o:title=""/>
                      <o:lock v:ext="edit" aspectratio="f"/>
                      <v:textbox>
                        <w:txbxContent>
                          <w:p>
                            <w:pPr>
                              <w:spacing w:line="20" w:lineRule="atLeast"/>
                              <w:ind w:firstLine="0" w:firstLineChars="0"/>
                              <w:rPr>
                                <w:sz w:val="11"/>
                                <w:szCs w:val="11"/>
                              </w:rPr>
                            </w:pPr>
                            <w:r>
                              <w:rPr>
                                <w:rFonts w:hint="eastAsia"/>
                                <w:sz w:val="15"/>
                                <w:szCs w:val="15"/>
                              </w:rPr>
                              <w:t>外加剂</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4987925</wp:posOffset>
                  </wp:positionH>
                  <wp:positionV relativeFrom="paragraph">
                    <wp:posOffset>1370330</wp:posOffset>
                  </wp:positionV>
                  <wp:extent cx="395605" cy="255270"/>
                  <wp:effectExtent l="0" t="0" r="4445" b="11430"/>
                  <wp:wrapNone/>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0"/>
                          <a:stretch>
                            <a:fillRect/>
                          </a:stretch>
                        </pic:blipFill>
                        <pic:spPr>
                          <a:xfrm>
                            <a:off x="0" y="0"/>
                            <a:ext cx="395605" cy="255270"/>
                          </a:xfrm>
                          <a:prstGeom prst="rect">
                            <a:avLst/>
                          </a:prstGeom>
                          <a:noFill/>
                          <a:ln>
                            <a:noFill/>
                          </a:ln>
                        </pic:spPr>
                      </pic:pic>
                    </a:graphicData>
                  </a:graphic>
                </wp:anchor>
              </w:drawing>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4572635</wp:posOffset>
                      </wp:positionH>
                      <wp:positionV relativeFrom="paragraph">
                        <wp:posOffset>1384935</wp:posOffset>
                      </wp:positionV>
                      <wp:extent cx="402590" cy="222885"/>
                      <wp:effectExtent l="6350" t="6350" r="10160" b="18415"/>
                      <wp:wrapNone/>
                      <wp:docPr id="4" name="文本框 4"/>
                      <wp:cNvGraphicFramePr/>
                      <a:graphic xmlns:a="http://schemas.openxmlformats.org/drawingml/2006/main">
                        <a:graphicData uri="http://schemas.microsoft.com/office/word/2010/wordprocessingShape">
                          <wps:wsp>
                            <wps:cNvSpPr txBox="1"/>
                            <wps:spPr>
                              <a:xfrm>
                                <a:off x="0" y="0"/>
                                <a:ext cx="402590" cy="22288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 w:lineRule="atLeast"/>
                                    <w:ind w:firstLine="0" w:firstLineChars="0"/>
                                    <w:rPr>
                                      <w:sz w:val="16"/>
                                      <w:szCs w:val="16"/>
                                    </w:rPr>
                                  </w:pPr>
                                  <w:r>
                                    <w:rPr>
                                      <w:rFonts w:hint="eastAsia"/>
                                      <w:sz w:val="16"/>
                                      <w:szCs w:val="16"/>
                                    </w:rPr>
                                    <w:t>筒仓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05pt;margin-top:109.05pt;height:17.55pt;width:31.7pt;z-index:251661312;mso-width-relative:page;mso-height-relative:page;" fillcolor="#FFFFFF [3201]" filled="t" stroked="t" coordsize="21600,21600" o:gfxdata="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CA&#10;g9wAAAALAQAADwAAAAAAAAABACAAAAAiAAAAZHJzL2Rvd25yZXYueG1sUEsBAhQAFAAAAAgAh07i&#10;QBdPXjNXAgAAtwQAAA4AAAAAAAAAAQAgAAAAKwEAAGRycy9lMm9Eb2MueG1sUEsFBgAAAAAGAAYA&#10;WQEAAPQFAAAAAA==&#10;">
                      <v:fill on="t" focussize="0,0"/>
                      <v:stroke weight="1pt" color="#000000 [3204]" joinstyle="round"/>
                      <v:imagedata o:title=""/>
                      <o:lock v:ext="edit" aspectratio="f"/>
                      <v:textbox>
                        <w:txbxContent>
                          <w:p>
                            <w:pPr>
                              <w:spacing w:line="20" w:lineRule="atLeast"/>
                              <w:ind w:firstLine="0" w:firstLineChars="0"/>
                              <w:rPr>
                                <w:sz w:val="16"/>
                                <w:szCs w:val="16"/>
                              </w:rPr>
                            </w:pPr>
                            <w:r>
                              <w:rPr>
                                <w:rFonts w:hint="eastAsia"/>
                                <w:sz w:val="16"/>
                                <w:szCs w:val="16"/>
                              </w:rPr>
                              <w:t>筒仓</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4179570</wp:posOffset>
                      </wp:positionH>
                      <wp:positionV relativeFrom="paragraph">
                        <wp:posOffset>25400</wp:posOffset>
                      </wp:positionV>
                      <wp:extent cx="401955" cy="184785"/>
                      <wp:effectExtent l="0" t="0" r="17145" b="5715"/>
                      <wp:wrapNone/>
                      <wp:docPr id="18" name="文本框 18"/>
                      <wp:cNvGraphicFramePr/>
                      <a:graphic xmlns:a="http://schemas.openxmlformats.org/drawingml/2006/main">
                        <a:graphicData uri="http://schemas.microsoft.com/office/word/2010/wordprocessingShape">
                          <wps:wsp>
                            <wps:cNvSpPr txBox="1"/>
                            <wps:spPr>
                              <a:xfrm>
                                <a:off x="0" y="0"/>
                                <a:ext cx="401955" cy="1847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1pt;margin-top:2pt;height:14.55pt;width:31.65pt;z-index:251671552;mso-width-relative:page;mso-height-relative:page;" fillcolor="#FFFFFF [3212]" filled="t" stroked="f" coordsize="21600,21600" o:gfxdata="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95l0w9UAAAAIAQAADwAAAAAA&#10;AAABACAAAAAiAAAAZHJzL2Rvd25yZXYueG1sUEsBAhQAFAAAAAgAh07iQPNLJXJPAgAAkAQAAA4A&#10;AAAAAAAAAQAgAAAAJAEAAGRycy9lMm9Eb2MueG1sUEsFBgAAAAAGAAYAWQEAAOUFAAAAAA==&#10;">
                      <v:fill on="t" focussize="0,0"/>
                      <v:stroke on="f" weight="0.5pt"/>
                      <v:imagedata o:title=""/>
                      <o:lock v:ext="edit" aspectratio="f"/>
                      <v:textbo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GN</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4589780</wp:posOffset>
                      </wp:positionH>
                      <wp:positionV relativeFrom="paragraph">
                        <wp:posOffset>858520</wp:posOffset>
                      </wp:positionV>
                      <wp:extent cx="432435" cy="227330"/>
                      <wp:effectExtent l="0" t="0" r="5715" b="1270"/>
                      <wp:wrapNone/>
                      <wp:docPr id="9" name="文本框 9"/>
                      <wp:cNvGraphicFramePr/>
                      <a:graphic xmlns:a="http://schemas.openxmlformats.org/drawingml/2006/main">
                        <a:graphicData uri="http://schemas.microsoft.com/office/word/2010/wordprocessingShape">
                          <wps:wsp>
                            <wps:cNvSpPr txBox="1"/>
                            <wps:spPr>
                              <a:xfrm>
                                <a:off x="0" y="0"/>
                                <a:ext cx="432435" cy="227330"/>
                              </a:xfrm>
                              <a:prstGeom prst="rect">
                                <a:avLst/>
                              </a:prstGeom>
                              <a:solidFill>
                                <a:schemeClr val="lt1"/>
                              </a:solidFill>
                              <a:ln w="12700">
                                <a:noFill/>
                              </a:ln>
                            </wps:spPr>
                            <wps:style>
                              <a:lnRef idx="0">
                                <a:schemeClr val="accent1"/>
                              </a:lnRef>
                              <a:fillRef idx="0">
                                <a:schemeClr val="accent1"/>
                              </a:fillRef>
                              <a:effectRef idx="0">
                                <a:schemeClr val="accent1"/>
                              </a:effectRef>
                              <a:fontRef idx="minor">
                                <a:schemeClr val="dk1"/>
                              </a:fontRef>
                            </wps:style>
                            <wps:txbx>
                              <w:txbxContent>
                                <w:p>
                                  <w:pPr>
                                    <w:spacing w:line="20" w:lineRule="atLeast"/>
                                    <w:ind w:firstLine="0" w:firstLineChars="0"/>
                                    <w:rPr>
                                      <w:sz w:val="15"/>
                                      <w:szCs w:val="15"/>
                                    </w:rPr>
                                  </w:pPr>
                                  <w:r>
                                    <w:rPr>
                                      <w:rFonts w:hint="eastAsia"/>
                                      <w:sz w:val="18"/>
                                      <w:szCs w:val="18"/>
                                    </w:rPr>
                                    <w:t>矿粉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4pt;margin-top:67.6pt;height:17.9pt;width:34.05pt;z-index:251666432;mso-width-relative:page;mso-height-relative:page;" fillcolor="#FFFFFF [3201]" filled="t" stroked="f" coordsize="21600,21600" o:gfxdata="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aZskDZAAAACwEA&#10;AA8AAAAAAAAAAQAgAAAAIgAAAGRycy9kb3ducmV2LnhtbFBLAQIUABQAAAAIAIdO4kDc8HZJUgIA&#10;AI8EAAAOAAAAAAAAAAEAIAAAACgBAABkcnMvZTJvRG9jLnhtbFBLBQYAAAAABgAGAFkBAADsBQAA&#10;AAA=&#10;">
                      <v:fill on="t" focussize="0,0"/>
                      <v:stroke on="f" weight="1pt"/>
                      <v:imagedata o:title=""/>
                      <o:lock v:ext="edit" aspectratio="f"/>
                      <v:textbox>
                        <w:txbxContent>
                          <w:p>
                            <w:pPr>
                              <w:spacing w:line="20" w:lineRule="atLeast"/>
                              <w:ind w:firstLine="0" w:firstLineChars="0"/>
                              <w:rPr>
                                <w:sz w:val="15"/>
                                <w:szCs w:val="15"/>
                              </w:rPr>
                            </w:pPr>
                            <w:r>
                              <w:rPr>
                                <w:rFonts w:hint="eastAsia"/>
                                <w:sz w:val="18"/>
                                <w:szCs w:val="18"/>
                              </w:rPr>
                              <w:t>矿粉</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3115310</wp:posOffset>
                      </wp:positionH>
                      <wp:positionV relativeFrom="paragraph">
                        <wp:posOffset>1074420</wp:posOffset>
                      </wp:positionV>
                      <wp:extent cx="401955" cy="184785"/>
                      <wp:effectExtent l="0" t="0" r="17145" b="5715"/>
                      <wp:wrapNone/>
                      <wp:docPr id="28" name="文本框 28"/>
                      <wp:cNvGraphicFramePr/>
                      <a:graphic xmlns:a="http://schemas.openxmlformats.org/drawingml/2006/main">
                        <a:graphicData uri="http://schemas.microsoft.com/office/word/2010/wordprocessingShape">
                          <wps:wsp>
                            <wps:cNvSpPr txBox="1"/>
                            <wps:spPr>
                              <a:xfrm>
                                <a:off x="0" y="0"/>
                                <a:ext cx="401955" cy="1847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3pt;margin-top:84.6pt;height:14.55pt;width:31.65pt;z-index:251674624;mso-width-relative:page;mso-height-relative:page;" fillcolor="#FFFFFF [3212]" filled="t" stroked="f" coordsize="21600,21600" o:gfxdata="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ktEP1gAAAAsBAAAPAAAA&#10;AAAAAAEAIAAAACIAAABkcnMvZG93bnJldi54bWxQSwECFAAUAAAACACHTuJADI14PlACAACQBAAA&#10;DgAAAAAAAAABACAAAAAlAQAAZHJzL2Uyb0RvYy54bWxQSwUGAAAAAAYABgBZAQAA5wUAAAAA&#10;">
                      <v:fill on="t" focussize="0,0"/>
                      <v:stroke on="f" weight="0.5pt"/>
                      <v:imagedata o:title=""/>
                      <o:lock v:ext="edit" aspectratio="f"/>
                      <v:textbo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GN</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2371725</wp:posOffset>
                      </wp:positionH>
                      <wp:positionV relativeFrom="paragraph">
                        <wp:posOffset>2793365</wp:posOffset>
                      </wp:positionV>
                      <wp:extent cx="474980" cy="184785"/>
                      <wp:effectExtent l="0" t="0" r="1270" b="5715"/>
                      <wp:wrapNone/>
                      <wp:docPr id="27" name="文本框 27"/>
                      <wp:cNvGraphicFramePr/>
                      <a:graphic xmlns:a="http://schemas.openxmlformats.org/drawingml/2006/main">
                        <a:graphicData uri="http://schemas.microsoft.com/office/word/2010/wordprocessingShape">
                          <wps:wsp>
                            <wps:cNvSpPr txBox="1"/>
                            <wps:spPr>
                              <a:xfrm>
                                <a:off x="0" y="0"/>
                                <a:ext cx="474980" cy="1847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75pt;margin-top:219.95pt;height:14.55pt;width:37.4pt;z-index:251673600;mso-width-relative:page;mso-height-relative:page;" fillcolor="#FFFFFF [3212]" filled="t" stroked="f" coordsize="21600,21600" o:gfxdata="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rUNdcAAAALAQAADwAA&#10;AAAAAAABACAAAAAiAAAAZHJzL2Rvd25yZXYueG1sUEsBAhQAFAAAAAgAh07iQBeETIhQAgAAkAQA&#10;AA4AAAAAAAAAAQAgAAAAJgEAAGRycy9lMm9Eb2MueG1sUEsFBgAAAAAGAAYAWQEAAOgFAAAAAA==&#10;">
                      <v:fill on="t" focussize="0,0"/>
                      <v:stroke on="f" weight="0.5pt"/>
                      <v:imagedata o:title=""/>
                      <o:lock v:ext="edit" aspectratio="f"/>
                      <v:textbo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GWN</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668655</wp:posOffset>
                      </wp:positionH>
                      <wp:positionV relativeFrom="paragraph">
                        <wp:posOffset>2539365</wp:posOffset>
                      </wp:positionV>
                      <wp:extent cx="549275" cy="184785"/>
                      <wp:effectExtent l="0" t="0" r="3175" b="5715"/>
                      <wp:wrapNone/>
                      <wp:docPr id="26" name="文本框 26"/>
                      <wp:cNvGraphicFramePr/>
                      <a:graphic xmlns:a="http://schemas.openxmlformats.org/drawingml/2006/main">
                        <a:graphicData uri="http://schemas.microsoft.com/office/word/2010/wordprocessingShape">
                          <wps:wsp>
                            <wps:cNvSpPr txBox="1"/>
                            <wps:spPr>
                              <a:xfrm>
                                <a:off x="0" y="0"/>
                                <a:ext cx="549275" cy="1847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GWNS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65pt;margin-top:199.95pt;height:14.55pt;width:43.25pt;z-index:251672576;mso-width-relative:page;mso-height-relative:page;" fillcolor="#FFFFFF [3212]" filled="t" stroked="f" coordsize="21600,21600" o:gfxdata="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OOlZ1QAAAAsBAAAPAAAA&#10;AAAAAAEAIAAAACIAAABkcnMvZG93bnJldi54bWxQSwECFAAUAAAACACHTuJAC4gNtlECAACQBAAA&#10;DgAAAAAAAAABACAAAAAkAQAAZHJzL2Uyb0RvYy54bWxQSwUGAAAAAAYABgBZAQAA5wUAAAAA&#10;">
                      <v:fill on="t" focussize="0,0"/>
                      <v:stroke on="f" weight="0.5pt"/>
                      <v:imagedata o:title=""/>
                      <o:lock v:ext="edit" aspectratio="f"/>
                      <v:textbo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GWNS</w:t>
                            </w:r>
                          </w:p>
                        </w:txbxContent>
                      </v:textbox>
                    </v:shape>
                  </w:pict>
                </mc:Fallback>
              </mc:AlternateContent>
            </w:r>
            <w:r>
              <w:rPr>
                <w:color w:val="000000" w:themeColor="text1"/>
                <w:szCs w:val="21"/>
                <w14:textFill>
                  <w14:solidFill>
                    <w14:schemeClr w14:val="tx1"/>
                  </w14:solidFill>
                </w14:textFill>
              </w:rPr>
              <w:object>
                <v:shape id="_x0000_i1026" o:spt="75" type="#_x0000_t75" style="height:270pt;width:433.5pt;" o:ole="t" filled="f" coordsize="21600,21600">
                  <v:path/>
                  <v:fill on="f" focussize="0,0"/>
                  <v:stroke/>
                  <v:imagedata r:id="rId22" o:title=""/>
                  <o:lock v:ext="edit" aspectratio="t"/>
                  <w10:wrap type="none"/>
                  <w10:anchorlock/>
                </v:shape>
                <o:OLEObject Type="Embed" ProgID="Visio.Drawing.11" ShapeID="_x0000_i1026" DrawAspect="Content" ObjectID="_1468075726" r:id="rId21">
                  <o:LockedField>false</o:LockedField>
                </o:OLEObject>
              </w:objec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202565</wp:posOffset>
                      </wp:positionH>
                      <wp:positionV relativeFrom="paragraph">
                        <wp:posOffset>3236595</wp:posOffset>
                      </wp:positionV>
                      <wp:extent cx="228600" cy="184785"/>
                      <wp:effectExtent l="0" t="0" r="0" b="5715"/>
                      <wp:wrapNone/>
                      <wp:docPr id="12" name="文本框 12"/>
                      <wp:cNvGraphicFramePr/>
                      <a:graphic xmlns:a="http://schemas.openxmlformats.org/drawingml/2006/main">
                        <a:graphicData uri="http://schemas.microsoft.com/office/word/2010/wordprocessingShape">
                          <wps:wsp>
                            <wps:cNvSpPr txBox="1"/>
                            <wps:spPr>
                              <a:xfrm>
                                <a:off x="0" y="0"/>
                                <a:ext cx="228600" cy="1847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254.85pt;height:14.55pt;width:18pt;z-index:251670528;mso-width-relative:page;mso-height-relative:page;" fillcolor="#FFFFFF [3212]" filled="t" stroked="f" coordsize="21600,21600" o:gfxdata="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n0w4dUAAAAJAQAADwAAAAAA&#10;AAABACAAAAAiAAAAZHJzL2Rvd25yZXYueG1sUEsBAhQAFAAAAAgAh07iQHU/2WpPAgAAkAQAAA4A&#10;AAAAAAAAAQAgAAAAJAEAAGRycy9lMm9Eb2MueG1sUEsFBgAAAAAGAAYAWQEAAOUFAAAAAA==&#10;">
                      <v:fill on="t" focussize="0,0"/>
                      <v:stroke on="f" weight="0.5pt"/>
                      <v:imagedata o:title=""/>
                      <o:lock v:ext="edit" aspectratio="f"/>
                      <v:textbo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S</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205105</wp:posOffset>
                      </wp:positionH>
                      <wp:positionV relativeFrom="paragraph">
                        <wp:posOffset>3086100</wp:posOffset>
                      </wp:positionV>
                      <wp:extent cx="228600" cy="184785"/>
                      <wp:effectExtent l="0" t="0" r="0" b="5715"/>
                      <wp:wrapNone/>
                      <wp:docPr id="5" name="文本框 5"/>
                      <wp:cNvGraphicFramePr/>
                      <a:graphic xmlns:a="http://schemas.openxmlformats.org/drawingml/2006/main">
                        <a:graphicData uri="http://schemas.microsoft.com/office/word/2010/wordprocessingShape">
                          <wps:wsp>
                            <wps:cNvSpPr txBox="1"/>
                            <wps:spPr>
                              <a:xfrm>
                                <a:off x="2110105" y="5542915"/>
                                <a:ext cx="228600" cy="1847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5pt;margin-top:243pt;height:14.55pt;width:18pt;z-index:251669504;mso-width-relative:page;mso-height-relative:page;" fillcolor="#FFFFFF [3212]" filled="t" stroked="f" coordsize="21600,21600" o:gfxdata="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oS1ctUA&#10;AAAJAQAADwAAAAAAAAABACAAAAAiAAAAZHJzL2Rvd25yZXYueG1sUEsBAhQAFAAAAAgAh07iQMPF&#10;LyxbAgAAmgQAAA4AAAAAAAAAAQAgAAAAJAEAAGRycy9lMm9Eb2MueG1sUEsFBgAAAAAGAAYAWQEA&#10;APEFAAAAAA==&#10;">
                      <v:fill on="t" focussize="0,0"/>
                      <v:stroke on="f" weight="0.5pt"/>
                      <v:imagedata o:title=""/>
                      <o:lock v:ext="edit" aspectratio="f"/>
                      <v:textbox>
                        <w:txbxContent>
                          <w:p>
                            <w:pPr>
                              <w:spacing w:line="192" w:lineRule="auto"/>
                              <w:ind w:firstLine="0" w:firstLineChars="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4753610</wp:posOffset>
                      </wp:positionH>
                      <wp:positionV relativeFrom="paragraph">
                        <wp:posOffset>2181860</wp:posOffset>
                      </wp:positionV>
                      <wp:extent cx="504825" cy="226695"/>
                      <wp:effectExtent l="0" t="0" r="9525" b="1905"/>
                      <wp:wrapNone/>
                      <wp:docPr id="2" name="文本框 2"/>
                      <wp:cNvGraphicFramePr/>
                      <a:graphic xmlns:a="http://schemas.openxmlformats.org/drawingml/2006/main">
                        <a:graphicData uri="http://schemas.microsoft.com/office/word/2010/wordprocessingShape">
                          <wps:wsp>
                            <wps:cNvSpPr txBox="1"/>
                            <wps:spPr>
                              <a:xfrm>
                                <a:off x="0" y="0"/>
                                <a:ext cx="504825" cy="226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6"/>
                                      <w:szCs w:val="16"/>
                                    </w:rPr>
                                  </w:pPr>
                                  <w:r>
                                    <w:rPr>
                                      <w:rFonts w:hint="eastAsia"/>
                                      <w:sz w:val="16"/>
                                      <w:szCs w:val="16"/>
                                    </w:rPr>
                                    <w:t>放料阀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3pt;margin-top:171.8pt;height:17.85pt;width:39.75pt;z-index:251660288;mso-width-relative:page;mso-height-relative:page;" fillcolor="#FFFFFF [3201]" filled="t" stroked="f" coordsize="21600,21600" o:gfxdata="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9bQt1wAAAAsBAAAPAAAA&#10;AAAAAAEAIAAAACIAAABkcnMvZG93bnJldi54bWxQSwECFAAUAAAACACHTuJAkqNNy08CAACOBAAA&#10;DgAAAAAAAAABACAAAAAmAQAAZHJzL2Uyb0RvYy54bWxQSwUGAAAAAAYABgBZAQAA5wUAAAAA&#10;">
                      <v:fill on="t" focussize="0,0"/>
                      <v:stroke on="f" weight="0.5pt"/>
                      <v:imagedata o:title=""/>
                      <o:lock v:ext="edit" aspectratio="f"/>
                      <v:textbox>
                        <w:txbxContent>
                          <w:p>
                            <w:pPr>
                              <w:ind w:firstLine="0" w:firstLineChars="0"/>
                              <w:rPr>
                                <w:sz w:val="16"/>
                                <w:szCs w:val="16"/>
                              </w:rPr>
                            </w:pPr>
                            <w:r>
                              <w:rPr>
                                <w:rFonts w:hint="eastAsia"/>
                                <w:sz w:val="16"/>
                                <w:szCs w:val="16"/>
                              </w:rPr>
                              <w:t>放料阀</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4797425</wp:posOffset>
                      </wp:positionH>
                      <wp:positionV relativeFrom="paragraph">
                        <wp:posOffset>1083310</wp:posOffset>
                      </wp:positionV>
                      <wp:extent cx="8255" cy="311150"/>
                      <wp:effectExtent l="31750" t="0" r="36195" b="12700"/>
                      <wp:wrapNone/>
                      <wp:docPr id="8" name="直接箭头连接符 8"/>
                      <wp:cNvGraphicFramePr/>
                      <a:graphic xmlns:a="http://schemas.openxmlformats.org/drawingml/2006/main">
                        <a:graphicData uri="http://schemas.microsoft.com/office/word/2010/wordprocessingShape">
                          <wps:wsp>
                            <wps:cNvCnPr/>
                            <wps:spPr>
                              <a:xfrm>
                                <a:off x="0" y="0"/>
                                <a:ext cx="8255" cy="31115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7.75pt;margin-top:85.3pt;height:24.5pt;width:0.65pt;z-index:251665408;mso-width-relative:page;mso-height-relative:page;" filled="f" stroked="t" coordsize="21600,21600" o:gfxdata="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7/Cn2QAAAAsB&#10;AAAPAAAAAAAAAAEAIAAAACIAAABkcnMvZG93bnJldi54bWxQSwECFAAUAAAACACHTuJABaCGdRoC&#10;AAAOBAAADgAAAAAAAAABACAAAAAoAQAAZHJzL2Uyb0RvYy54bWxQSwUGAAAAAAYABgBZAQAAtAUA&#10;AAAA&#10;">
                      <v:fill on="f" focussize="0,0"/>
                      <v:stroke weight="1pt" color="#000000 [3213]"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4832985</wp:posOffset>
                      </wp:positionH>
                      <wp:positionV relativeFrom="paragraph">
                        <wp:posOffset>2124710</wp:posOffset>
                      </wp:positionV>
                      <wp:extent cx="1905" cy="377190"/>
                      <wp:effectExtent l="37465" t="0" r="36830" b="3810"/>
                      <wp:wrapNone/>
                      <wp:docPr id="6" name="直接箭头连接符 6"/>
                      <wp:cNvGraphicFramePr/>
                      <a:graphic xmlns:a="http://schemas.openxmlformats.org/drawingml/2006/main">
                        <a:graphicData uri="http://schemas.microsoft.com/office/word/2010/wordprocessingShape">
                          <wps:wsp>
                            <wps:cNvCnPr/>
                            <wps:spPr>
                              <a:xfrm flipH="1">
                                <a:off x="0" y="0"/>
                                <a:ext cx="1905" cy="37719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80.55pt;margin-top:167.3pt;height:29.7pt;width:0.15pt;z-index:251662336;mso-width-relative:page;mso-height-relative:page;" filled="f" stroked="t" coordsize="21600,21600" o:gfxdata="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HdsMjW&#10;AAAACwEAAA8AAAAAAAAAAQAgAAAAIgAAAGRycy9kb3ducmV2LnhtbFBLAQIUABQAAAAIAIdO4kA1&#10;DS+PIgIAABgEAAAOAAAAAAAAAAEAIAAAACUBAABkcnMvZTJvRG9jLnhtbFBLBQYAAAAABgAGAFkB&#10;AAC5BQAAAAA=&#10;">
                      <v:fill on="f" focussize="0,0"/>
                      <v:stroke weight="1pt" color="#000000 [3213]"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4822190</wp:posOffset>
                      </wp:positionH>
                      <wp:positionV relativeFrom="paragraph">
                        <wp:posOffset>1617980</wp:posOffset>
                      </wp:positionV>
                      <wp:extent cx="635" cy="299720"/>
                      <wp:effectExtent l="38100" t="0" r="37465" b="5080"/>
                      <wp:wrapNone/>
                      <wp:docPr id="7" name="直接箭头连接符 7"/>
                      <wp:cNvGraphicFramePr/>
                      <a:graphic xmlns:a="http://schemas.openxmlformats.org/drawingml/2006/main">
                        <a:graphicData uri="http://schemas.microsoft.com/office/word/2010/wordprocessingShape">
                          <wps:wsp>
                            <wps:cNvCnPr/>
                            <wps:spPr>
                              <a:xfrm flipH="1">
                                <a:off x="0" y="0"/>
                                <a:ext cx="635" cy="29972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9.7pt;margin-top:127.4pt;height:23.6pt;width:0.05pt;z-index:251663360;mso-width-relative:page;mso-height-relative:page;" filled="f" stroked="t" coordsize="21600,21600" o:gfxdata="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Thy&#10;RtYAAAALAQAADwAAAAAAAAABACAAAAAiAAAAZHJzL2Rvd25yZXYueG1sUEsBAhQAFAAAAAgAh07i&#10;QJM3u9UkAgAAFwQAAA4AAAAAAAAAAQAgAAAAJQEAAGRycy9lMm9Eb2MueG1sUEsFBgAAAAAGAAYA&#10;WQEAALsFAAAAAA==&#10;">
                      <v:fill on="f" focussize="0,0"/>
                      <v:stroke weight="1pt" color="#000000 [3213]"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4631055</wp:posOffset>
                      </wp:positionH>
                      <wp:positionV relativeFrom="paragraph">
                        <wp:posOffset>1913255</wp:posOffset>
                      </wp:positionV>
                      <wp:extent cx="398145" cy="215900"/>
                      <wp:effectExtent l="6350" t="6350" r="14605" b="6350"/>
                      <wp:wrapNone/>
                      <wp:docPr id="10" name="文本框 10"/>
                      <wp:cNvGraphicFramePr/>
                      <a:graphic xmlns:a="http://schemas.openxmlformats.org/drawingml/2006/main">
                        <a:graphicData uri="http://schemas.microsoft.com/office/word/2010/wordprocessingShape">
                          <wps:wsp>
                            <wps:cNvSpPr txBox="1"/>
                            <wps:spPr>
                              <a:xfrm>
                                <a:off x="0" y="0"/>
                                <a:ext cx="398145" cy="215900"/>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 w:lineRule="atLeast"/>
                                    <w:ind w:firstLine="0" w:firstLineChars="0"/>
                                    <w:rPr>
                                      <w:sz w:val="15"/>
                                      <w:szCs w:val="15"/>
                                    </w:rPr>
                                  </w:pPr>
                                  <w:r>
                                    <w:rPr>
                                      <w:rFonts w:hint="eastAsia"/>
                                      <w:sz w:val="15"/>
                                      <w:szCs w:val="15"/>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65pt;margin-top:150.65pt;height:17pt;width:31.35pt;z-index:251664384;mso-width-relative:page;mso-height-relative:page;" fillcolor="#FFFFFF [3201]" filled="t" stroked="t" coordsize="21600,21600" o:gfxdata="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YiQD3QAAAAsBAAAPAAAAAAAAAAEAIAAAACIAAABkcnMvZG93bnJldi54bWxQSwECFAAUAAAACACH&#10;TuJAJ1H9m1gCAAC5BAAADgAAAAAAAAABACAAAAAsAQAAZHJzL2Uyb0RvYy54bWxQSwUGAAAAAAYA&#10;BgBZAQAA9gUAAAAA&#10;">
                      <v:fill on="t" focussize="0,0"/>
                      <v:stroke weight="1pt" color="#000000 [3204]" joinstyle="round"/>
                      <v:imagedata o:title=""/>
                      <o:lock v:ext="edit" aspectratio="f"/>
                      <v:textbox>
                        <w:txbxContent>
                          <w:p>
                            <w:pPr>
                              <w:spacing w:line="20" w:lineRule="atLeast"/>
                              <w:ind w:firstLine="0" w:firstLineChars="0"/>
                              <w:rPr>
                                <w:sz w:val="15"/>
                                <w:szCs w:val="15"/>
                              </w:rPr>
                            </w:pPr>
                            <w:r>
                              <w:rPr>
                                <w:rFonts w:hint="eastAsia"/>
                                <w:sz w:val="15"/>
                                <w:szCs w:val="15"/>
                              </w:rPr>
                              <w:t>计量</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4568190</wp:posOffset>
                      </wp:positionH>
                      <wp:positionV relativeFrom="paragraph">
                        <wp:posOffset>2381250</wp:posOffset>
                      </wp:positionV>
                      <wp:extent cx="471805"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471805" cy="0"/>
                              </a:xfrm>
                              <a:prstGeom prst="line">
                                <a:avLst/>
                              </a:prstGeom>
                              <a:ln w="12700" cmpd="sng">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9.7pt;margin-top:187.5pt;height:0pt;width:37.15pt;z-index:251667456;mso-width-relative:page;mso-height-relative:page;" filled="f" stroked="t" coordsize="21600,21600" o:gfxdata="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lFuO&#10;2QAAAAsBAAAPAAAAAAAAAAEAIAAAACIAAABkcnMvZG93bnJldi54bWxQSwECFAAUAAAACACHTuJA&#10;duDLEOcBAAC0AwAADgAAAAAAAAABACAAAAAoAQAAZHJzL2Uyb0RvYy54bWxQSwUGAAAAAAYABgBZ&#10;AQAAgQUAAAAA&#10;">
                      <v:fill on="f" focussize="0,0"/>
                      <v:stroke weight="1pt" color="#000000 [3213]" miterlimit="8" joinstyle="miter" dashstyle="1 1"/>
                      <v:imagedata o:title=""/>
                      <o:lock v:ext="edit" aspectratio="f"/>
                    </v:line>
                  </w:pict>
                </mc:Fallback>
              </mc:AlternateContent>
            </w:r>
          </w:p>
          <w:p>
            <w:pPr>
              <w:adjustRightInd w:val="0"/>
              <w:snapToGrid w:val="0"/>
              <w:ind w:firstLine="1928" w:firstLineChars="800"/>
              <w:jc w:val="left"/>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图2-3  项目商品混凝土生产工艺流程图</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本项目工艺混合、搅拌过程，为物理反应，无化学反应。</w:t>
            </w:r>
          </w:p>
          <w:p>
            <w:pPr>
              <w:adjustRightInd w:val="0"/>
              <w:snapToGrid w:val="0"/>
              <w:ind w:firstLine="482"/>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混凝土生产工艺简述：</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①</w:t>
            </w:r>
            <w:r>
              <w:rPr>
                <w:rFonts w:hint="eastAsia"/>
                <w:color w:val="000000" w:themeColor="text1"/>
                <w:szCs w:val="21"/>
                <w:lang w:val="en-US" w:eastAsia="zh-CN"/>
                <w14:textFill>
                  <w14:solidFill>
                    <w14:schemeClr w14:val="tx1"/>
                  </w14:solidFill>
                </w14:textFill>
              </w:rPr>
              <w:t>原料卸车、</w:t>
            </w:r>
            <w:r>
              <w:rPr>
                <w:color w:val="000000" w:themeColor="text1"/>
                <w:szCs w:val="21"/>
                <w14:textFill>
                  <w14:solidFill>
                    <w14:schemeClr w14:val="tx1"/>
                  </w14:solidFill>
                </w14:textFill>
              </w:rPr>
              <w:t>预选原材料：</w:t>
            </w:r>
            <w:r>
              <w:rPr>
                <w:rFonts w:hint="eastAsia"/>
                <w:color w:val="000000" w:themeColor="text1"/>
                <w:szCs w:val="21"/>
                <w:lang w:val="en-US" w:eastAsia="zh-CN"/>
                <w14:textFill>
                  <w14:solidFill>
                    <w14:schemeClr w14:val="tx1"/>
                  </w14:solidFill>
                </w14:textFill>
              </w:rPr>
              <w:t>外购的砂石运输进厂区，砂石卸入原料堆场；</w:t>
            </w:r>
            <w:r>
              <w:rPr>
                <w:color w:val="000000" w:themeColor="text1"/>
                <w:szCs w:val="21"/>
                <w14:textFill>
                  <w14:solidFill>
                    <w14:schemeClr w14:val="tx1"/>
                  </w14:solidFill>
                </w14:textFill>
              </w:rPr>
              <w:t>各水泥厂商提供样品，对所提供样品进行预配比试配，测定其强度等性能，选出合格且符合要求的样品，由采购组负责原料采购。本工序产生的污染物为粉尘</w:t>
            </w:r>
            <w:r>
              <w:rPr>
                <w:rFonts w:hint="eastAsia"/>
                <w:color w:val="000000" w:themeColor="text1"/>
                <w:szCs w:val="21"/>
                <w:lang w:val="en-US" w:eastAsia="zh-CN"/>
                <w14:textFill>
                  <w14:solidFill>
                    <w14:schemeClr w14:val="tx1"/>
                  </w14:solidFill>
                </w14:textFill>
              </w:rPr>
              <w:t>和噪声</w:t>
            </w:r>
            <w:r>
              <w:rPr>
                <w:color w:val="000000" w:themeColor="text1"/>
                <w:szCs w:val="21"/>
                <w14:textFill>
                  <w14:solidFill>
                    <w14:schemeClr w14:val="tx1"/>
                  </w14:solidFill>
                </w14:textFill>
              </w:rPr>
              <w:t>。</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②检验控制</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上料</w:t>
            </w:r>
            <w:r>
              <w:rPr>
                <w:color w:val="000000" w:themeColor="text1"/>
                <w:szCs w:val="21"/>
                <w14:textFill>
                  <w14:solidFill>
                    <w14:schemeClr w14:val="tx1"/>
                  </w14:solidFill>
                </w14:textFill>
              </w:rPr>
              <w:t>：对采购组采购回来的原材料再次进行质量检验，合格后，将水泥、砂石、粉煤灰加入原料储筒，外加剂进行配制后加入外加剂槽。本工序产生的污染物为粉尘</w:t>
            </w:r>
            <w:r>
              <w:rPr>
                <w:rFonts w:hint="eastAsia"/>
                <w:color w:val="000000" w:themeColor="text1"/>
                <w:szCs w:val="21"/>
                <w:lang w:val="en-US" w:eastAsia="zh-CN"/>
                <w14:textFill>
                  <w14:solidFill>
                    <w14:schemeClr w14:val="tx1"/>
                  </w14:solidFill>
                </w14:textFill>
              </w:rPr>
              <w:t>和噪声</w:t>
            </w:r>
            <w:r>
              <w:rPr>
                <w:color w:val="000000" w:themeColor="text1"/>
                <w:szCs w:val="21"/>
                <w14:textFill>
                  <w14:solidFill>
                    <w14:schemeClr w14:val="tx1"/>
                  </w14:solidFill>
                </w14:textFill>
              </w:rPr>
              <w:t>。</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③配料搅拌：由计算机进行计量配料，完成后加入搅拌机，并由水泵泵入水进行强制搅拌。本工序产生的污染物为粉尘以及噪声。</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④装入罐车：搅拌完成后，将产品装入搅拌车，并在出厂检验合格后运输交付客户。本工序产生的污染物为粉尘、噪声，运输过程将产生车辆噪声，扬尘，车辆清洗将产生车辆清洗废水。</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日常搅拌机清洗、场地冲洗将产生生产废水、噪声，冲洗废水均经沉淀池沉淀后回用。</w:t>
            </w:r>
          </w:p>
          <w:p>
            <w:pPr>
              <w:adjustRightInd w:val="0"/>
              <w:snapToGrid w:val="0"/>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生产工艺相对比较简单，所有工序均为物理过程，生产时首先将各种原料进行计量配送，然后进行重量配料，之后进行强制配料，强制配料过程采用电脑控制，从而保证混凝土的品质，之后进行计量泵送入混凝土车，最后送建筑工地。</w:t>
            </w:r>
          </w:p>
          <w:p>
            <w:pPr>
              <w:widowControl/>
              <w:numPr>
                <w:ilvl w:val="255"/>
                <w:numId w:val="0"/>
              </w:numPr>
              <w:adjustRightInd w:val="0"/>
              <w:snapToGrid w:val="0"/>
              <w:ind w:firstLine="48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本项目砂、石提升以密闭皮带输送方式完成。水泥等则以压缩空气吹入散装水泥仓筒，辅以螺旋输送机给水泥秤供料，搅拌用水采用压力供水。</w:t>
            </w:r>
          </w:p>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物料平衡</w:t>
            </w:r>
            <w:r>
              <w:rPr>
                <w:rFonts w:hint="default" w:ascii="Times New Roman" w:hAnsi="Times New Roman" w:cs="Times New Roman"/>
                <w:b/>
                <w:bCs/>
                <w:color w:val="000000" w:themeColor="text1"/>
                <w14:textFill>
                  <w14:solidFill>
                    <w14:schemeClr w14:val="tx1"/>
                  </w14:solidFill>
                </w14:textFill>
              </w:rPr>
              <w:t>。</w:t>
            </w:r>
          </w:p>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项目物料平衡表如下表。</w:t>
            </w:r>
            <w:r>
              <w:rPr>
                <w:rFonts w:hint="default" w:ascii="Times New Roman" w:hAnsi="Times New Roman" w:cs="Times New Roman"/>
                <w:color w:val="000000" w:themeColor="text1"/>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项目物料平衡一览表</w:t>
            </w:r>
          </w:p>
          <w:tbl>
            <w:tblPr>
              <w:tblStyle w:val="3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89"/>
              <w:gridCol w:w="1515"/>
              <w:gridCol w:w="1485"/>
              <w:gridCol w:w="2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vMerge w:val="restar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序号</w:t>
                  </w:r>
                </w:p>
              </w:tc>
              <w:tc>
                <w:tcPr>
                  <w:tcW w:w="3204" w:type="dxa"/>
                  <w:gridSpan w:val="2"/>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入方</w:t>
                  </w:r>
                </w:p>
              </w:tc>
              <w:tc>
                <w:tcPr>
                  <w:tcW w:w="4228" w:type="dxa"/>
                  <w:gridSpan w:val="2"/>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168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物料名称</w:t>
                  </w:r>
                </w:p>
              </w:tc>
              <w:tc>
                <w:tcPr>
                  <w:tcW w:w="1515"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年耗用量</w:t>
                  </w:r>
                </w:p>
              </w:tc>
              <w:tc>
                <w:tcPr>
                  <w:tcW w:w="1485"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物料名称</w:t>
                  </w:r>
                </w:p>
              </w:tc>
              <w:tc>
                <w:tcPr>
                  <w:tcW w:w="27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年产生量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1</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水泥</w:t>
                  </w:r>
                </w:p>
              </w:tc>
              <w:tc>
                <w:tcPr>
                  <w:tcW w:w="151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113750</w:t>
                  </w:r>
                  <w:r>
                    <w:rPr>
                      <w:rFonts w:hint="eastAsia"/>
                      <w:color w:val="000000" w:themeColor="text1"/>
                      <w:sz w:val="21"/>
                      <w:szCs w:val="21"/>
                      <w:lang w:val="en-US" w:eastAsia="zh-CN"/>
                      <w14:textFill>
                        <w14:solidFill>
                          <w14:schemeClr w14:val="tx1"/>
                        </w14:solidFill>
                      </w14:textFill>
                    </w:rPr>
                    <w:t>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商品混凝土</w:t>
                  </w: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70万m</w:t>
                  </w:r>
                  <w:r>
                    <w:rPr>
                      <w:rFonts w:hint="default" w:ascii="Times New Roman" w:hAnsi="Times New Roman" w:eastAsia="宋体" w:cs="Times New Roman"/>
                      <w:b w:val="0"/>
                      <w:color w:val="000000" w:themeColor="text1"/>
                      <w:kern w:val="2"/>
                      <w:sz w:val="21"/>
                      <w:szCs w:val="21"/>
                      <w:highlight w:val="none"/>
                      <w:vertAlign w:val="superscript"/>
                      <w:lang w:val="en-US" w:eastAsia="zh-CN" w:bidi="ar-SA"/>
                      <w14:textFill>
                        <w14:solidFill>
                          <w14:schemeClr w14:val="tx1"/>
                        </w14:solidFill>
                      </w14:textFill>
                    </w:rPr>
                    <w:t>3</w:t>
                  </w:r>
                  <w:r>
                    <w:rPr>
                      <w:rFonts w:hint="eastAsia" w:cs="Times New Roman"/>
                      <w:b w:val="0"/>
                      <w:color w:val="000000" w:themeColor="text1"/>
                      <w:kern w:val="2"/>
                      <w:sz w:val="21"/>
                      <w:szCs w:val="21"/>
                      <w:highlight w:val="none"/>
                      <w:lang w:val="en-US" w:eastAsia="zh-CN" w:bidi="ar-SA"/>
                      <w14:textFill>
                        <w14:solidFill>
                          <w14:schemeClr w14:val="tx1"/>
                        </w14:solidFill>
                      </w14:textFill>
                    </w:rPr>
                    <w:t>（约166.6万吨）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2</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碎石</w:t>
                  </w:r>
                </w:p>
              </w:tc>
              <w:tc>
                <w:tcPr>
                  <w:tcW w:w="151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752500</w:t>
                  </w:r>
                  <w:r>
                    <w:rPr>
                      <w:rFonts w:hint="eastAsia"/>
                      <w:color w:val="000000" w:themeColor="text1"/>
                      <w:sz w:val="21"/>
                      <w:szCs w:val="21"/>
                      <w:lang w:val="en-US" w:eastAsia="zh-CN"/>
                      <w14:textFill>
                        <w14:solidFill>
                          <w14:schemeClr w14:val="tx1"/>
                        </w14:solidFill>
                      </w14:textFill>
                    </w:rPr>
                    <w:t>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3</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机制砂</w:t>
                  </w:r>
                </w:p>
              </w:tc>
              <w:tc>
                <w:tcPr>
                  <w:tcW w:w="151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525000</w:t>
                  </w:r>
                  <w:r>
                    <w:rPr>
                      <w:rFonts w:hint="eastAsia"/>
                      <w:color w:val="000000" w:themeColor="text1"/>
                      <w:sz w:val="21"/>
                      <w:szCs w:val="21"/>
                      <w:lang w:val="en-US" w:eastAsia="zh-CN"/>
                      <w14:textFill>
                        <w14:solidFill>
                          <w14:schemeClr w14:val="tx1"/>
                        </w14:solidFill>
                      </w14:textFill>
                    </w:rPr>
                    <w:t>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4</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矿粉</w:t>
                  </w:r>
                </w:p>
              </w:tc>
              <w:tc>
                <w:tcPr>
                  <w:tcW w:w="151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56000</w:t>
                  </w:r>
                  <w:r>
                    <w:rPr>
                      <w:rFonts w:hint="eastAsia"/>
                      <w:color w:val="000000" w:themeColor="text1"/>
                      <w:sz w:val="21"/>
                      <w:szCs w:val="21"/>
                      <w:lang w:val="en-US" w:eastAsia="zh-CN"/>
                      <w14:textFill>
                        <w14:solidFill>
                          <w14:schemeClr w14:val="tx1"/>
                        </w14:solidFill>
                      </w14:textFill>
                    </w:rPr>
                    <w:t>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5</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粉煤灰</w:t>
                  </w:r>
                </w:p>
              </w:tc>
              <w:tc>
                <w:tcPr>
                  <w:tcW w:w="151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70000</w:t>
                  </w:r>
                  <w:r>
                    <w:rPr>
                      <w:rFonts w:hint="eastAsia"/>
                      <w:color w:val="000000" w:themeColor="text1"/>
                      <w:sz w:val="21"/>
                      <w:szCs w:val="21"/>
                      <w:lang w:val="en-US" w:eastAsia="zh-CN"/>
                      <w14:textFill>
                        <w14:solidFill>
                          <w14:schemeClr w14:val="tx1"/>
                        </w14:solidFill>
                      </w14:textFill>
                    </w:rPr>
                    <w:t>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6</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外加剂</w:t>
                  </w:r>
                </w:p>
              </w:tc>
              <w:tc>
                <w:tcPr>
                  <w:tcW w:w="151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5250</w:t>
                  </w:r>
                  <w:r>
                    <w:rPr>
                      <w:rFonts w:hint="eastAsia"/>
                      <w:color w:val="000000" w:themeColor="text1"/>
                      <w:sz w:val="21"/>
                      <w:szCs w:val="21"/>
                      <w:lang w:val="en-US" w:eastAsia="zh-CN"/>
                      <w14:textFill>
                        <w14:solidFill>
                          <w14:schemeClr w14:val="tx1"/>
                        </w14:solidFill>
                      </w14:textFill>
                    </w:rPr>
                    <w:t>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7</w:t>
                  </w:r>
                </w:p>
              </w:tc>
              <w:tc>
                <w:tcPr>
                  <w:tcW w:w="16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水</w:t>
                  </w:r>
                </w:p>
              </w:tc>
              <w:tc>
                <w:tcPr>
                  <w:tcW w:w="151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143500t</w:t>
                  </w:r>
                </w:p>
              </w:tc>
              <w:tc>
                <w:tcPr>
                  <w:tcW w:w="148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c>
                <w:tcPr>
                  <w:tcW w:w="27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558" w:type="dxa"/>
                  <w:gridSpan w:val="2"/>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合计</w:t>
                  </w:r>
                </w:p>
              </w:tc>
              <w:tc>
                <w:tcPr>
                  <w:tcW w:w="1515"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1666000t</w:t>
                  </w:r>
                </w:p>
              </w:tc>
              <w:tc>
                <w:tcPr>
                  <w:tcW w:w="1485"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t>合计</w:t>
                  </w:r>
                </w:p>
              </w:tc>
              <w:tc>
                <w:tcPr>
                  <w:tcW w:w="27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000000" w:themeColor="text1"/>
                      <w:kern w:val="2"/>
                      <w:sz w:val="21"/>
                      <w:szCs w:val="21"/>
                      <w:highlight w:val="none"/>
                      <w:lang w:val="en-US" w:eastAsia="zh-CN" w:bidi="ar-SA"/>
                      <w14:textFill>
                        <w14:solidFill>
                          <w14:schemeClr w14:val="tx1"/>
                        </w14:solidFill>
                      </w14:textFill>
                    </w:rPr>
                  </w:pPr>
                  <w:r>
                    <w:rPr>
                      <w:rFonts w:hint="eastAsia" w:cs="Times New Roman"/>
                      <w:b w:val="0"/>
                      <w:color w:val="000000" w:themeColor="text1"/>
                      <w:kern w:val="2"/>
                      <w:sz w:val="21"/>
                      <w:szCs w:val="21"/>
                      <w:highlight w:val="none"/>
                      <w:lang w:val="en-US" w:eastAsia="zh-CN" w:bidi="ar-SA"/>
                      <w14:textFill>
                        <w14:solidFill>
                          <w14:schemeClr w14:val="tx1"/>
                        </w14:solidFill>
                      </w14:textFill>
                    </w:rPr>
                    <w:t>1666000t</w:t>
                  </w:r>
                </w:p>
              </w:tc>
            </w:tr>
          </w:tbl>
          <w:p>
            <w:pPr>
              <w:widowControl/>
              <w:numPr>
                <w:ilvl w:val="255"/>
                <w:numId w:val="0"/>
              </w:numPr>
              <w:adjustRightInd w:val="0"/>
              <w:snapToGrid w:val="0"/>
              <w:ind w:firstLine="480" w:firstLineChars="200"/>
              <w:jc w:val="left"/>
              <w:rPr>
                <w:color w:val="000000" w:themeColor="text1"/>
                <w:szCs w:val="21"/>
                <w14:textFill>
                  <w14:solidFill>
                    <w14:schemeClr w14:val="tx1"/>
                  </w14:solidFill>
                </w14:textFill>
              </w:rPr>
            </w:pPr>
          </w:p>
          <w:p>
            <w:pPr>
              <w:widowControl/>
              <w:numPr>
                <w:ilvl w:val="255"/>
                <w:numId w:val="0"/>
              </w:numPr>
              <w:adjustRightInd w:val="0"/>
              <w:snapToGrid w:val="0"/>
              <w:ind w:firstLine="480" w:firstLineChars="200"/>
              <w:jc w:val="left"/>
              <w:rPr>
                <w:color w:val="000000" w:themeColor="text1"/>
                <w:szCs w:val="21"/>
                <w14:textFill>
                  <w14:solidFill>
                    <w14:schemeClr w14:val="tx1"/>
                  </w14:solidFill>
                </w14:textFill>
              </w:rPr>
            </w:pPr>
          </w:p>
          <w:p>
            <w:pPr>
              <w:widowControl/>
              <w:numPr>
                <w:ilvl w:val="255"/>
                <w:numId w:val="0"/>
              </w:numPr>
              <w:adjustRightInd w:val="0"/>
              <w:snapToGrid w:val="0"/>
              <w:ind w:firstLine="480" w:firstLineChars="200"/>
              <w:jc w:val="left"/>
              <w:rPr>
                <w:color w:val="000000" w:themeColor="text1"/>
                <w:szCs w:val="21"/>
                <w14:textFill>
                  <w14:solidFill>
                    <w14:schemeClr w14:val="tx1"/>
                  </w14:solidFill>
                </w14:textFill>
              </w:rPr>
            </w:pPr>
          </w:p>
          <w:p>
            <w:pPr>
              <w:pStyle w:val="2"/>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pStyle w:val="2"/>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pStyle w:val="2"/>
              <w:rPr>
                <w:color w:val="000000" w:themeColor="text1"/>
                <w14:textFill>
                  <w14:solidFill>
                    <w14:schemeClr w14:val="tx1"/>
                  </w14:solidFill>
                </w14:textFill>
              </w:rPr>
            </w:pPr>
          </w:p>
          <w:p>
            <w:pPr>
              <w:widowControl/>
              <w:numPr>
                <w:ilvl w:val="255"/>
                <w:numId w:val="0"/>
              </w:numPr>
              <w:adjustRightInd w:val="0"/>
              <w:snapToGrid w:val="0"/>
              <w:ind w:firstLine="480" w:firstLineChars="200"/>
              <w:jc w:val="left"/>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4" w:hRule="atLeast"/>
          <w:jc w:val="center"/>
        </w:trPr>
        <w:tc>
          <w:tcPr>
            <w:tcW w:w="248" w:type="pct"/>
            <w:tcBorders>
              <w:tl2br w:val="nil"/>
              <w:tr2bl w:val="nil"/>
            </w:tcBorders>
            <w:vAlign w:val="center"/>
          </w:tcPr>
          <w:p>
            <w:pPr>
              <w:pStyle w:val="51"/>
              <w:rPr>
                <w:bCs/>
                <w:color w:val="000000" w:themeColor="text1"/>
                <w14:textFill>
                  <w14:solidFill>
                    <w14:schemeClr w14:val="tx1"/>
                  </w14:solidFill>
                </w14:textFill>
              </w:rPr>
            </w:pPr>
          </w:p>
          <w:p>
            <w:pPr>
              <w:pStyle w:val="51"/>
              <w:rPr>
                <w:bCs/>
                <w:color w:val="000000" w:themeColor="text1"/>
                <w14:textFill>
                  <w14:solidFill>
                    <w14:schemeClr w14:val="tx1"/>
                  </w14:solidFill>
                </w14:textFill>
              </w:rPr>
            </w:pPr>
            <w:r>
              <w:rPr>
                <w:bCs/>
                <w:color w:val="000000" w:themeColor="text1"/>
                <w14:textFill>
                  <w14:solidFill>
                    <w14:schemeClr w14:val="tx1"/>
                  </w14:solidFill>
                </w14:textFill>
              </w:rPr>
              <w:t>与项目有关的原有环境污染问题</w:t>
            </w:r>
          </w:p>
          <w:p>
            <w:pPr>
              <w:pStyle w:val="51"/>
              <w:rPr>
                <w:bCs/>
                <w:color w:val="000000" w:themeColor="text1"/>
                <w14:textFill>
                  <w14:solidFill>
                    <w14:schemeClr w14:val="tx1"/>
                  </w14:solidFill>
                </w14:textFill>
              </w:rPr>
            </w:pPr>
          </w:p>
        </w:tc>
        <w:tc>
          <w:tcPr>
            <w:tcW w:w="4751" w:type="pct"/>
            <w:tcBorders>
              <w:tl2br w:val="nil"/>
              <w:tr2bl w:val="nil"/>
            </w:tcBorders>
            <w:vAlign w:val="center"/>
          </w:tcPr>
          <w:p>
            <w:pPr>
              <w:pStyle w:val="37"/>
              <w:rPr>
                <w:rFonts w:hint="eastAsia"/>
                <w:color w:val="000000" w:themeColor="text1"/>
                <w:lang w:eastAsia="zh-CN"/>
                <w14:textFill>
                  <w14:solidFill>
                    <w14:schemeClr w14:val="tx1"/>
                  </w14:solidFill>
                </w14:textFill>
              </w:rPr>
            </w:pPr>
          </w:p>
          <w:p>
            <w:pPr>
              <w:pStyle w:val="37"/>
              <w:rPr>
                <w:rFonts w:hint="eastAsia"/>
                <w:color w:val="000000" w:themeColor="text1"/>
                <w:lang w:eastAsia="zh-CN"/>
                <w14:textFill>
                  <w14:solidFill>
                    <w14:schemeClr w14:val="tx1"/>
                  </w14:solidFill>
                </w14:textFill>
              </w:rPr>
            </w:pPr>
          </w:p>
          <w:p>
            <w:pPr>
              <w:pStyle w:val="37"/>
              <w:rPr>
                <w:rFonts w:hint="eastAsia"/>
                <w:color w:val="000000" w:themeColor="text1"/>
                <w:lang w:eastAsia="zh-CN"/>
                <w14:textFill>
                  <w14:solidFill>
                    <w14:schemeClr w14:val="tx1"/>
                  </w14:solidFill>
                </w14:textFill>
              </w:rPr>
            </w:pPr>
          </w:p>
          <w:p>
            <w:pPr>
              <w:pStyle w:val="37"/>
              <w:rPr>
                <w:rFonts w:hint="eastAsia"/>
                <w:color w:val="000000" w:themeColor="text1"/>
                <w:lang w:eastAsia="zh-CN"/>
                <w14:textFill>
                  <w14:solidFill>
                    <w14:schemeClr w14:val="tx1"/>
                  </w14:solidFill>
                </w14:textFill>
              </w:rPr>
            </w:pPr>
          </w:p>
          <w:p>
            <w:pPr>
              <w:pStyle w:val="37"/>
              <w:rPr>
                <w:rFonts w:hint="eastAsia"/>
                <w:color w:val="000000" w:themeColor="text1"/>
                <w:lang w:eastAsia="zh-CN"/>
                <w14:textFill>
                  <w14:solidFill>
                    <w14:schemeClr w14:val="tx1"/>
                  </w14:solidFill>
                </w14:textFill>
              </w:rPr>
            </w:pPr>
          </w:p>
          <w:p>
            <w:pPr>
              <w:pStyle w:val="37"/>
              <w:rPr>
                <w:rFonts w:hint="eastAsia"/>
                <w:color w:val="000000" w:themeColor="text1"/>
                <w:lang w:eastAsia="zh-CN"/>
                <w14:textFill>
                  <w14:solidFill>
                    <w14:schemeClr w14:val="tx1"/>
                  </w14:solidFill>
                </w14:textFill>
              </w:rPr>
            </w:pPr>
          </w:p>
          <w:p>
            <w:pPr>
              <w:pStyle w:val="37"/>
              <w:rPr>
                <w:rFonts w:hint="eastAsia"/>
                <w:color w:val="000000" w:themeColor="text1"/>
                <w:lang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本项目位于新疆生产建设兵团第七师胡杨河经济技术开发区南园区，为新建项目，项目建设占地为三类工业用地。</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201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cs="Times New Roman"/>
                <w:color w:val="000000" w:themeColor="text1"/>
                <w:sz w:val="24"/>
                <w:szCs w:val="24"/>
                <w:lang w:val="en-US" w:eastAsia="zh-CN"/>
                <w14:textFill>
                  <w14:solidFill>
                    <w14:schemeClr w14:val="tx1"/>
                  </w14:solidFill>
                </w14:textFill>
              </w:rPr>
              <w:t>月，克拉玛依西建建材有限责任公司委托</w:t>
            </w:r>
            <w:r>
              <w:rPr>
                <w:rFonts w:hint="eastAsia" w:ascii="Times New Roman" w:hAnsi="Times New Roman" w:cs="Times New Roman"/>
                <w:color w:val="000000" w:themeColor="text1"/>
                <w:sz w:val="24"/>
                <w:szCs w:val="24"/>
                <w:lang w:val="en-US" w:eastAsia="zh-CN"/>
                <w14:textFill>
                  <w14:solidFill>
                    <w14:schemeClr w14:val="tx1"/>
                  </w14:solidFill>
                </w14:textFill>
              </w:rPr>
              <w:t>中国天辰工程有限公司</w:t>
            </w:r>
            <w:r>
              <w:rPr>
                <w:rFonts w:hint="default" w:ascii="Times New Roman" w:hAnsi="Times New Roman" w:cs="Times New Roman"/>
                <w:color w:val="000000" w:themeColor="text1"/>
                <w:sz w:val="24"/>
                <w:szCs w:val="24"/>
                <w:lang w:val="en-US" w:eastAsia="zh-CN"/>
                <w14:textFill>
                  <w14:solidFill>
                    <w14:schemeClr w14:val="tx1"/>
                  </w14:solidFill>
                </w14:textFill>
              </w:rPr>
              <w:t>编制了《克拉玛依西建建材有限责任公司</w:t>
            </w:r>
            <w:r>
              <w:rPr>
                <w:rFonts w:hint="eastAsia" w:ascii="Times New Roman" w:hAnsi="Times New Roman" w:cs="Times New Roman"/>
                <w:color w:val="000000" w:themeColor="text1"/>
                <w:sz w:val="24"/>
                <w:szCs w:val="24"/>
                <w:lang w:val="en-US" w:eastAsia="zh-CN"/>
                <w14:textFill>
                  <w14:solidFill>
                    <w14:schemeClr w14:val="tx1"/>
                  </w14:solidFill>
                </w14:textFill>
              </w:rPr>
              <w:t>年产50万立方米商品混凝土项目</w:t>
            </w:r>
            <w:r>
              <w:rPr>
                <w:rFonts w:hint="default" w:ascii="Times New Roman" w:hAnsi="Times New Roman" w:cs="Times New Roman"/>
                <w:color w:val="000000" w:themeColor="text1"/>
                <w:sz w:val="24"/>
                <w:szCs w:val="24"/>
                <w:lang w:val="en-US" w:eastAsia="zh-CN"/>
                <w14:textFill>
                  <w14:solidFill>
                    <w14:schemeClr w14:val="tx1"/>
                  </w14:solidFill>
                </w14:textFill>
              </w:rPr>
              <w:t>环境影响报告表》，</w:t>
            </w:r>
            <w:r>
              <w:rPr>
                <w:rFonts w:hint="eastAsia" w:ascii="Times New Roman" w:hAnsi="Times New Roman" w:cs="Times New Roman"/>
                <w:color w:val="000000" w:themeColor="text1"/>
                <w:sz w:val="24"/>
                <w:szCs w:val="24"/>
                <w:lang w:val="en-US" w:eastAsia="zh-CN"/>
                <w14:textFill>
                  <w14:solidFill>
                    <w14:schemeClr w14:val="tx1"/>
                  </w14:solidFill>
                </w14:textFill>
              </w:rPr>
              <w:t>农七师</w:t>
            </w:r>
            <w:r>
              <w:rPr>
                <w:rFonts w:hint="default" w:ascii="Times New Roman" w:hAnsi="Times New Roman" w:cs="Times New Roman"/>
                <w:color w:val="000000" w:themeColor="text1"/>
                <w:sz w:val="24"/>
                <w:szCs w:val="24"/>
                <w:lang w:val="en-US" w:eastAsia="zh-CN"/>
                <w14:textFill>
                  <w14:solidFill>
                    <w14:schemeClr w14:val="tx1"/>
                  </w14:solidFill>
                </w14:textFill>
              </w:rPr>
              <w:t>环保局</w:t>
            </w:r>
            <w:r>
              <w:rPr>
                <w:rFonts w:hint="eastAsia" w:ascii="Times New Roman" w:hAnsi="Times New Roman" w:cs="Times New Roman"/>
                <w:color w:val="000000" w:themeColor="text1"/>
                <w:sz w:val="24"/>
                <w:szCs w:val="24"/>
                <w:lang w:val="en-US" w:eastAsia="zh-CN"/>
                <w14:textFill>
                  <w14:solidFill>
                    <w14:schemeClr w14:val="tx1"/>
                  </w14:solidFill>
                </w14:textFill>
              </w:rPr>
              <w:t>（现第七师生态环境局）</w:t>
            </w:r>
            <w:r>
              <w:rPr>
                <w:rFonts w:hint="default" w:ascii="Times New Roman" w:hAnsi="Times New Roman" w:cs="Times New Roman"/>
                <w:color w:val="000000" w:themeColor="text1"/>
                <w:sz w:val="24"/>
                <w:szCs w:val="24"/>
                <w:lang w:val="en-US" w:eastAsia="zh-CN"/>
                <w14:textFill>
                  <w14:solidFill>
                    <w14:schemeClr w14:val="tx1"/>
                  </w14:solidFill>
                </w14:textFill>
              </w:rPr>
              <w:t>于201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25</w:t>
            </w:r>
            <w:r>
              <w:rPr>
                <w:rFonts w:hint="default" w:ascii="Times New Roman" w:hAnsi="Times New Roman" w:cs="Times New Roman"/>
                <w:color w:val="000000" w:themeColor="text1"/>
                <w:sz w:val="24"/>
                <w:szCs w:val="24"/>
                <w:lang w:val="en-US" w:eastAsia="zh-CN"/>
                <w14:textFill>
                  <w14:solidFill>
                    <w14:schemeClr w14:val="tx1"/>
                  </w14:solidFill>
                </w14:textFill>
              </w:rPr>
              <w:t>日批复了该项目，批准文号：师环</w:t>
            </w:r>
            <w:r>
              <w:rPr>
                <w:rFonts w:hint="eastAsia" w:ascii="Times New Roman" w:hAnsi="Times New Roman" w:cs="Times New Roman"/>
                <w:color w:val="000000" w:themeColor="text1"/>
                <w:sz w:val="24"/>
                <w:szCs w:val="24"/>
                <w:lang w:val="en-US" w:eastAsia="zh-CN"/>
                <w14:textFill>
                  <w14:solidFill>
                    <w14:schemeClr w14:val="tx1"/>
                  </w14:solidFill>
                </w14:textFill>
              </w:rPr>
              <w:t>发</w:t>
            </w:r>
            <w:r>
              <w:rPr>
                <w:rFonts w:hint="default" w:ascii="Times New Roman" w:hAnsi="Times New Roman" w:cs="Times New Roman"/>
                <w:color w:val="000000" w:themeColor="text1"/>
                <w:sz w:val="24"/>
                <w:szCs w:val="24"/>
                <w:lang w:val="en-US" w:eastAsia="zh-CN"/>
                <w14:textFill>
                  <w14:solidFill>
                    <w14:schemeClr w14:val="tx1"/>
                  </w14:solidFill>
                </w14:textFill>
              </w:rPr>
              <w:t>〔201</w:t>
            </w:r>
            <w:r>
              <w:rPr>
                <w:rFonts w:hint="eastAsia" w:ascii="Times New Roman" w:hAnsi="Times New Roman" w:cs="Times New Roman"/>
                <w:color w:val="000000" w:themeColor="text1"/>
                <w:sz w:val="24"/>
                <w:szCs w:val="24"/>
                <w:lang w:val="en-US" w:eastAsia="zh-CN"/>
                <w14:textFill>
                  <w14:solidFill>
                    <w14:schemeClr w14:val="tx1"/>
                  </w14:solidFill>
                </w14:textFill>
              </w:rPr>
              <w:t>2〕157</w:t>
            </w:r>
            <w:r>
              <w:rPr>
                <w:rFonts w:hint="default" w:ascii="Times New Roman" w:hAnsi="Times New Roman" w:cs="Times New Roman"/>
                <w:color w:val="000000" w:themeColor="text1"/>
                <w:sz w:val="24"/>
                <w:szCs w:val="24"/>
                <w:lang w:val="en-US" w:eastAsia="zh-CN"/>
                <w14:textFill>
                  <w14:solidFill>
                    <w14:schemeClr w14:val="tx1"/>
                  </w14:solidFill>
                </w14:textFill>
              </w:rPr>
              <w:t>号。</w:t>
            </w:r>
            <w:r>
              <w:rPr>
                <w:rFonts w:hint="eastAsia" w:ascii="Times New Roman" w:hAnsi="Times New Roman" w:cs="Times New Roman"/>
                <w:color w:val="000000" w:themeColor="text1"/>
                <w:sz w:val="24"/>
                <w:szCs w:val="24"/>
                <w:lang w:val="en-US" w:eastAsia="zh-CN"/>
                <w14:textFill>
                  <w14:solidFill>
                    <w14:schemeClr w14:val="tx1"/>
                  </w14:solidFill>
                </w14:textFill>
              </w:rPr>
              <w:t>由于因产品规模与市场需求不符合，同时资金未到位，</w:t>
            </w:r>
            <w:r>
              <w:rPr>
                <w:rFonts w:hint="default" w:ascii="Times New Roman" w:hAnsi="Times New Roman" w:cs="Times New Roman"/>
                <w:color w:val="000000" w:themeColor="text1"/>
                <w:sz w:val="24"/>
                <w:szCs w:val="24"/>
                <w:lang w:val="en-US" w:eastAsia="zh-CN"/>
                <w14:textFill>
                  <w14:solidFill>
                    <w14:schemeClr w14:val="tx1"/>
                  </w14:solidFill>
                </w14:textFill>
              </w:rPr>
              <w:t>克拉玛依西建建材有限责任公司年产50万立方米商品混凝土项目</w:t>
            </w:r>
            <w:r>
              <w:rPr>
                <w:rFonts w:hint="eastAsia" w:ascii="Times New Roman" w:hAnsi="Times New Roman" w:cs="Times New Roman"/>
                <w:color w:val="000000" w:themeColor="text1"/>
                <w:sz w:val="24"/>
                <w:szCs w:val="24"/>
                <w:lang w:val="en-US" w:eastAsia="zh-CN"/>
                <w14:textFill>
                  <w14:solidFill>
                    <w14:schemeClr w14:val="tx1"/>
                  </w14:solidFill>
                </w14:textFill>
              </w:rPr>
              <w:t>已停产，</w:t>
            </w:r>
            <w:r>
              <w:rPr>
                <w:rFonts w:hint="default" w:ascii="Times New Roman" w:hAnsi="Times New Roman" w:cs="Times New Roman"/>
                <w:color w:val="000000" w:themeColor="text1"/>
                <w:sz w:val="24"/>
                <w:szCs w:val="24"/>
                <w:lang w:val="en-US" w:eastAsia="zh-CN"/>
                <w14:textFill>
                  <w14:solidFill>
                    <w14:schemeClr w14:val="tx1"/>
                  </w14:solidFill>
                </w14:textFill>
              </w:rPr>
              <w:t>现场调查不存在与本项目有关的原有环境污染问题。</w:t>
            </w:r>
          </w:p>
          <w:p>
            <w:pPr>
              <w:pStyle w:val="37"/>
              <w:rPr>
                <w:rFonts w:hint="default" w:eastAsia="宋体"/>
                <w:color w:val="000000" w:themeColor="text1"/>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pStyle w:val="2"/>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val="0"/>
                <w:color w:val="000000" w:themeColor="text1"/>
                <w:kern w:val="2"/>
                <w:sz w:val="24"/>
                <w:szCs w:val="24"/>
                <w:lang w:val="en-US" w:eastAsia="zh-CN" w:bidi="ar"/>
                <w14:textFill>
                  <w14:solidFill>
                    <w14:schemeClr w14:val="tx1"/>
                  </w14:solidFill>
                </w14:textFill>
              </w:rPr>
            </w:pPr>
          </w:p>
          <w:p>
            <w:pPr>
              <w:ind w:left="0" w:leftChars="0" w:firstLine="0" w:firstLineChars="0"/>
              <w:rPr>
                <w:color w:val="000000" w:themeColor="text1"/>
                <w14:textFill>
                  <w14:solidFill>
                    <w14:schemeClr w14:val="tx1"/>
                  </w14:solidFill>
                </w14:textFill>
              </w:rPr>
            </w:pPr>
          </w:p>
        </w:tc>
      </w:tr>
    </w:tbl>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30"/>
        <w:tblW w:w="94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85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8" w:hRule="atLeast"/>
          <w:jc w:val="center"/>
        </w:trPr>
        <w:tc>
          <w:tcPr>
            <w:tcW w:w="933"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区域</w:t>
            </w:r>
          </w:p>
          <w:p>
            <w:pPr>
              <w:pStyle w:val="51"/>
              <w:rPr>
                <w:color w:val="000000" w:themeColor="text1"/>
                <w14:textFill>
                  <w14:solidFill>
                    <w14:schemeClr w14:val="tx1"/>
                  </w14:solidFill>
                </w14:textFill>
              </w:rPr>
            </w:pPr>
            <w:r>
              <w:rPr>
                <w:color w:val="000000" w:themeColor="text1"/>
                <w14:textFill>
                  <w14:solidFill>
                    <w14:schemeClr w14:val="tx1"/>
                  </w14:solidFill>
                </w14:textFill>
              </w:rPr>
              <w:t>环境</w:t>
            </w:r>
          </w:p>
          <w:p>
            <w:pPr>
              <w:pStyle w:val="51"/>
              <w:rPr>
                <w:color w:val="000000" w:themeColor="text1"/>
                <w14:textFill>
                  <w14:solidFill>
                    <w14:schemeClr w14:val="tx1"/>
                  </w14:solidFill>
                </w14:textFill>
              </w:rPr>
            </w:pPr>
            <w:r>
              <w:rPr>
                <w:color w:val="000000" w:themeColor="text1"/>
                <w14:textFill>
                  <w14:solidFill>
                    <w14:schemeClr w14:val="tx1"/>
                  </w14:solidFill>
                </w14:textFill>
              </w:rPr>
              <w:t>质量</w:t>
            </w:r>
          </w:p>
          <w:p>
            <w:pPr>
              <w:pStyle w:val="51"/>
              <w:rPr>
                <w:color w:val="000000" w:themeColor="text1"/>
                <w14:textFill>
                  <w14:solidFill>
                    <w14:schemeClr w14:val="tx1"/>
                  </w14:solidFill>
                </w14:textFill>
              </w:rPr>
            </w:pPr>
            <w:r>
              <w:rPr>
                <w:color w:val="000000" w:themeColor="text1"/>
                <w14:textFill>
                  <w14:solidFill>
                    <w14:schemeClr w14:val="tx1"/>
                  </w14:solidFill>
                </w14:textFill>
              </w:rPr>
              <w:t>现状</w:t>
            </w:r>
          </w:p>
        </w:tc>
        <w:tc>
          <w:tcPr>
            <w:tcW w:w="8546" w:type="dxa"/>
            <w:tcBorders>
              <w:tl2br w:val="nil"/>
              <w:tr2bl w:val="nil"/>
            </w:tcBorders>
            <w:vAlign w:val="center"/>
          </w:tcPr>
          <w:p>
            <w:pPr>
              <w:topLinePunct/>
              <w:autoSpaceDE w:val="0"/>
              <w:ind w:firstLine="0" w:firstLineChars="0"/>
              <w:rPr>
                <w:b/>
                <w:bCs/>
                <w:color w:val="000000" w:themeColor="text1"/>
                <w14:textFill>
                  <w14:solidFill>
                    <w14:schemeClr w14:val="tx1"/>
                  </w14:solidFill>
                </w14:textFill>
              </w:rPr>
            </w:pPr>
            <w:r>
              <w:rPr>
                <w:b/>
                <w:bCs/>
                <w:color w:val="000000" w:themeColor="text1"/>
                <w:lang w:bidi="ar"/>
                <w14:textFill>
                  <w14:solidFill>
                    <w14:schemeClr w14:val="tx1"/>
                  </w14:solidFill>
                </w14:textFill>
              </w:rPr>
              <w:t>1、生态环境质量现状调查</w:t>
            </w:r>
          </w:p>
          <w:p>
            <w:pPr>
              <w:autoSpaceDE w:val="0"/>
              <w:ind w:firstLine="0" w:firstLineChars="0"/>
              <w:rPr>
                <w:b/>
                <w:bCs/>
                <w:color w:val="000000" w:themeColor="text1"/>
                <w14:textFill>
                  <w14:solidFill>
                    <w14:schemeClr w14:val="tx1"/>
                  </w14:solidFill>
                </w14:textFill>
              </w:rPr>
            </w:pPr>
            <w:r>
              <w:rPr>
                <w:b/>
                <w:bCs/>
                <w:color w:val="000000" w:themeColor="text1"/>
                <w:lang w:bidi="ar"/>
                <w14:textFill>
                  <w14:solidFill>
                    <w14:schemeClr w14:val="tx1"/>
                  </w14:solidFill>
                </w14:textFill>
              </w:rPr>
              <w:t>1.1 本项目在生态功能区划中的位置</w:t>
            </w:r>
          </w:p>
          <w:p>
            <w:pPr>
              <w:pStyle w:val="60"/>
              <w:autoSpaceDE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新疆生产建设兵团生态功能区划》，胡杨河经济技术开发区属于Ⅱ兵团准噶尔盆地温带干旱荒漠与绿洲生态区-Ⅱ3.六、七、八、十二师准噶尔盆地南部灌木、半灌木荒漠、绿洲农业生态亚区-11.六、七、八师奎屯-石河子-五家渠城镇与绿洲生态功能区。</w:t>
            </w:r>
          </w:p>
          <w:p>
            <w:pPr>
              <w:ind w:firstLine="422"/>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表3-1   项目区生态功能区划</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997"/>
              <w:gridCol w:w="769"/>
              <w:gridCol w:w="1043"/>
              <w:gridCol w:w="1177"/>
              <w:gridCol w:w="1199"/>
              <w:gridCol w:w="1144"/>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57" w:type="pct"/>
                  <w:gridSpan w:val="2"/>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生态功能分区单元</w:t>
                  </w:r>
                </w:p>
              </w:tc>
              <w:tc>
                <w:tcPr>
                  <w:tcW w:w="459"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隶属</w:t>
                  </w:r>
                </w:p>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师团场</w:t>
                  </w:r>
                </w:p>
              </w:tc>
              <w:tc>
                <w:tcPr>
                  <w:tcW w:w="623"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主要生态</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服务功能</w:t>
                  </w:r>
                </w:p>
              </w:tc>
              <w:tc>
                <w:tcPr>
                  <w:tcW w:w="703"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主要生</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态环境</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问题</w:t>
                  </w:r>
                </w:p>
              </w:tc>
              <w:tc>
                <w:tcPr>
                  <w:tcW w:w="716"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主要保</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护目标</w:t>
                  </w:r>
                </w:p>
              </w:tc>
              <w:tc>
                <w:tcPr>
                  <w:tcW w:w="683"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主要保护</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措施</w:t>
                  </w:r>
                </w:p>
              </w:tc>
              <w:tc>
                <w:tcPr>
                  <w:tcW w:w="655" w:type="pct"/>
                  <w:vMerge w:val="restar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适宜</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发展方向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62"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生态</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亚区</w:t>
                  </w:r>
                </w:p>
              </w:tc>
              <w:tc>
                <w:tcPr>
                  <w:tcW w:w="5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生态</w:t>
                  </w:r>
                </w:p>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功区</w:t>
                  </w:r>
                </w:p>
              </w:tc>
              <w:tc>
                <w:tcPr>
                  <w:tcW w:w="459"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623"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703"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716"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683"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655" w:type="pct"/>
                  <w:vMerge w:val="continue"/>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.六、七、八、十二师准噶尔盆地南部灌木、半灌木荒漠、</w:t>
                  </w:r>
                  <w:r>
                    <w:rPr>
                      <w:rFonts w:ascii="Times New Roman" w:hAnsi="Times New Roman" w:eastAsia="宋体" w:cs="Times New Roman"/>
                      <w:color w:val="000000" w:themeColor="text1"/>
                      <w:sz w:val="21"/>
                      <w:szCs w:val="21"/>
                      <w:lang w:val="en-US" w:eastAsia="zh-CN"/>
                      <w14:textFill>
                        <w14:solidFill>
                          <w14:schemeClr w14:val="tx1"/>
                        </w14:solidFill>
                      </w14:textFill>
                    </w:rPr>
                    <w:t>绿洲农业生态亚区</w:t>
                  </w:r>
                </w:p>
              </w:tc>
              <w:tc>
                <w:tcPr>
                  <w:tcW w:w="594"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.六、七、八师奎屯-石河子-五家渠城镇与绿洲</w:t>
                  </w:r>
                  <w:r>
                    <w:rPr>
                      <w:rFonts w:ascii="Times New Roman" w:hAnsi="Times New Roman" w:eastAsia="宋体" w:cs="Times New Roman"/>
                      <w:color w:val="000000" w:themeColor="text1"/>
                      <w:sz w:val="21"/>
                      <w:szCs w:val="21"/>
                      <w:lang w:val="en-US" w:eastAsia="zh-CN"/>
                      <w14:textFill>
                        <w14:solidFill>
                          <w14:schemeClr w14:val="tx1"/>
                        </w14:solidFill>
                      </w14:textFill>
                    </w:rPr>
                    <w:t>生态功能区</w:t>
                  </w:r>
                </w:p>
                <w:p>
                  <w:pPr>
                    <w:spacing w:line="240" w:lineRule="auto"/>
                    <w:ind w:firstLine="0" w:firstLineChars="0"/>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p>
              </w:tc>
              <w:tc>
                <w:tcPr>
                  <w:tcW w:w="459"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七师、八师、六师西线、中线垦区。</w:t>
                  </w:r>
                </w:p>
              </w:tc>
              <w:tc>
                <w:tcPr>
                  <w:tcW w:w="62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工农畜产品生产、人居环境、荒漠化控制。</w:t>
                  </w:r>
                </w:p>
              </w:tc>
              <w:tc>
                <w:tcPr>
                  <w:tcW w:w="70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地下水超采、荒漠植被退化、河流萎缩断流、土地荒漠化与盐渍化、工业污染严重、绿洲外围受到沙漠化威胁。</w:t>
                  </w:r>
                </w:p>
              </w:tc>
              <w:tc>
                <w:tcPr>
                  <w:tcW w:w="716"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保护绿洲农田生态系统及农田土壤环境质量、保护城市环境质量、保护荒漠植被。</w:t>
                  </w:r>
                </w:p>
              </w:tc>
              <w:tc>
                <w:tcPr>
                  <w:tcW w:w="68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节水灌溉、合理控制地下水开采，各类污染物达标排放、提高城市环境质量，保护绿洲外围荒漠植被、完善防护林体系、加强农田投入品的使用管理。</w:t>
                  </w:r>
                </w:p>
              </w:tc>
              <w:tc>
                <w:tcPr>
                  <w:tcW w:w="655" w:type="pct"/>
                  <w:tcBorders>
                    <w:tl2br w:val="nil"/>
                    <w:tr2bl w:val="nil"/>
                  </w:tcBorders>
                  <w:noWrap w:val="0"/>
                  <w:vAlign w:val="center"/>
                </w:tcPr>
                <w:p>
                  <w:pPr>
                    <w:spacing w:line="240" w:lineRule="auto"/>
                    <w:ind w:firstLine="0" w:firstLineChars="0"/>
                    <w:jc w:val="center"/>
                    <w:rPr>
                      <w:rFonts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发展以棉花为主导的优质、高效、特色农业；加快高标准城镇（市）化建设；发展和做强棉纺业、塑化节水器材产业、化工业等重要工业的建设。</w:t>
                  </w:r>
                </w:p>
              </w:tc>
            </w:tr>
          </w:tbl>
          <w:p>
            <w:pPr>
              <w:autoSpaceDE w:val="0"/>
              <w:ind w:firstLine="0" w:firstLineChars="0"/>
              <w:rPr>
                <w:b/>
                <w:color w:val="000000" w:themeColor="text1"/>
                <w:lang w:bidi="ar"/>
                <w14:textFill>
                  <w14:solidFill>
                    <w14:schemeClr w14:val="tx1"/>
                  </w14:solidFill>
                </w14:textFill>
              </w:rPr>
            </w:pPr>
            <w:r>
              <w:rPr>
                <w:b/>
                <w:color w:val="000000" w:themeColor="text1"/>
                <w:lang w:bidi="ar"/>
                <w14:textFill>
                  <w14:solidFill>
                    <w14:schemeClr w14:val="tx1"/>
                  </w14:solidFill>
                </w14:textFill>
              </w:rPr>
              <w:t>1.2 植被及植物资源现状</w:t>
            </w:r>
          </w:p>
          <w:p>
            <w:pPr>
              <w:autoSpaceDE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胡杨河市经济技术开发区柳沟西路以南、西环路以东，所在地区的生态系统已经逐渐演化为人工生态系统，生态系统结构和功能比较单一，天然植被已经大多被人工植被取代，生态敏感性较低；项目所在区域物种较单一，主要为新疆常见的自然植物和常见动物，生物多样性简单，区域无国家和地方保护的动物植物。</w:t>
            </w:r>
          </w:p>
          <w:p>
            <w:pPr>
              <w:autoSpaceDE w:val="0"/>
              <w:ind w:firstLine="0" w:firstLineChars="0"/>
              <w:rPr>
                <w:b/>
                <w:color w:val="000000" w:themeColor="text1"/>
                <w:lang w:bidi="ar"/>
                <w14:textFill>
                  <w14:solidFill>
                    <w14:schemeClr w14:val="tx1"/>
                  </w14:solidFill>
                </w14:textFill>
              </w:rPr>
            </w:pPr>
            <w:r>
              <w:rPr>
                <w:b/>
                <w:color w:val="000000" w:themeColor="text1"/>
                <w:lang w:bidi="ar"/>
                <w14:textFill>
                  <w14:solidFill>
                    <w14:schemeClr w14:val="tx1"/>
                  </w14:solidFill>
                </w14:textFill>
              </w:rPr>
              <w:t>1.3 陆生动物</w:t>
            </w:r>
          </w:p>
          <w:p>
            <w:pPr>
              <w:pStyle w:val="62"/>
              <w:spacing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项目区野生动物以常见鸟类和小型哺乳类动物为主，</w:t>
            </w:r>
            <w:r>
              <w:rPr>
                <w:rFonts w:hint="eastAsia" w:ascii="Times New Roman" w:hAnsi="Times New Roman"/>
                <w:color w:val="000000" w:themeColor="text1"/>
                <w:lang w:eastAsia="zh-CN"/>
                <w14:textFill>
                  <w14:solidFill>
                    <w14:schemeClr w14:val="tx1"/>
                  </w14:solidFill>
                </w14:textFill>
              </w:rPr>
              <w:t>主要为</w:t>
            </w:r>
            <w:r>
              <w:rPr>
                <w:rFonts w:hint="eastAsia" w:ascii="宋体" w:hAnsi="宋体" w:eastAsia="宋体" w:cs="宋体"/>
                <w:color w:val="000000" w:themeColor="text1"/>
                <w:kern w:val="2"/>
                <w:sz w:val="24"/>
                <w:szCs w:val="24"/>
                <w:lang w:val="en-US" w:eastAsia="zh-CN" w:bidi="ar"/>
                <w14:textFill>
                  <w14:solidFill>
                    <w14:schemeClr w14:val="tx1"/>
                  </w14:solidFill>
                </w14:textFill>
              </w:rPr>
              <w:t>田鼠、麻雀、乌鸦等</w:t>
            </w:r>
            <w:r>
              <w:rPr>
                <w:rFonts w:hint="eastAsia" w:ascii="Times New Roman" w:hAnsi="Times New Roman"/>
                <w:color w:val="000000" w:themeColor="text1"/>
                <w:lang w:eastAsia="zh-CN"/>
                <w14:textFill>
                  <w14:solidFill>
                    <w14:schemeClr w14:val="tx1"/>
                  </w14:solidFill>
                </w14:textFill>
              </w:rPr>
              <w:t>，</w:t>
            </w:r>
            <w:r>
              <w:rPr>
                <w:rFonts w:ascii="Times New Roman" w:hAnsi="Times New Roman"/>
                <w:color w:val="000000" w:themeColor="text1"/>
                <w14:textFill>
                  <w14:solidFill>
                    <w14:schemeClr w14:val="tx1"/>
                  </w14:solidFill>
                </w14:textFill>
              </w:rPr>
              <w:t>未见国家及自治区级保护野生动物出现。</w:t>
            </w:r>
            <w:r>
              <w:rPr>
                <w:rFonts w:ascii="Times New Roman" w:hAnsi="Times New Roman"/>
                <w:color w:val="000000" w:themeColor="text1"/>
                <w:lang w:bidi="ar"/>
                <w14:textFill>
                  <w14:solidFill>
                    <w14:schemeClr w14:val="tx1"/>
                  </w14:solidFill>
                </w14:textFill>
              </w:rPr>
              <w:t xml:space="preserve">  </w:t>
            </w:r>
            <w:r>
              <w:rPr>
                <w:rFonts w:ascii="Times New Roman" w:hAnsi="Times New Roman"/>
                <w:color w:val="000000" w:themeColor="text1"/>
                <w:sz w:val="21"/>
                <w:szCs w:val="21"/>
                <w:lang w:bidi="ar"/>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p>
          <w:p>
            <w:pPr>
              <w:autoSpaceDE w:val="0"/>
              <w:ind w:firstLine="0" w:firstLineChars="0"/>
              <w:rPr>
                <w:b/>
                <w:color w:val="000000" w:themeColor="text1"/>
                <w:lang w:bidi="ar"/>
                <w14:textFill>
                  <w14:solidFill>
                    <w14:schemeClr w14:val="tx1"/>
                  </w14:solidFill>
                </w14:textFill>
              </w:rPr>
            </w:pPr>
            <w:r>
              <w:rPr>
                <w:b/>
                <w:color w:val="000000" w:themeColor="text1"/>
                <w:lang w:bidi="ar"/>
                <w14:textFill>
                  <w14:solidFill>
                    <w14:schemeClr w14:val="tx1"/>
                  </w14:solidFill>
                </w14:textFill>
              </w:rPr>
              <w:t>2、环境空气质量现状</w:t>
            </w:r>
          </w:p>
          <w:p>
            <w:pPr>
              <w:ind w:firstLine="0" w:firstLineChars="0"/>
              <w:rPr>
                <w:color w:val="000000" w:themeColor="text1"/>
                <w14:textFill>
                  <w14:solidFill>
                    <w14:schemeClr w14:val="tx1"/>
                  </w14:solidFill>
                </w14:textFill>
              </w:rPr>
            </w:pPr>
            <w:r>
              <w:rPr>
                <w:b/>
                <w:color w:val="000000" w:themeColor="text1"/>
                <w:szCs w:val="22"/>
                <w14:textFill>
                  <w14:solidFill>
                    <w14:schemeClr w14:val="tx1"/>
                  </w14:solidFill>
                </w14:textFill>
              </w:rPr>
              <w:t xml:space="preserve">2.1 </w:t>
            </w:r>
            <w:r>
              <w:rPr>
                <w:b/>
                <w:bCs/>
                <w:color w:val="000000" w:themeColor="text1"/>
                <w:kern w:val="0"/>
                <w14:textFill>
                  <w14:solidFill>
                    <w14:schemeClr w14:val="tx1"/>
                  </w14:solidFill>
                </w14:textFill>
              </w:rPr>
              <w:t>基本污染物环境质量现状评价</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大气环境》（HJ2.2-2018）规定：“城市环境空气质量达标情况评价指标为 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 和 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，六项污染物全部达标即为城市环境空气质量达标”。“对于基本污染物环境质量现状数据，项</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目所在区域达标判定，优先采用国家或地方生态环境主管部门公开发布的评价基</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准年环境质量公告或环境质量报告中的数据或结论。”</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（1）数据来源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胡杨河市无环境空气质量区控点数据，根据距离本项目最近的克拉玛依监测站（包括南林小区、长征新村、白碱滩区新站、乌尔禾商贸楼、独山子区五个站点）202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年基准年连续 1 年的监测分析数据。</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本次大气现状评价可获取的最近自动站点常规污染物大气监测数据来源于中 国 环 境 影 响 评 价 网 的 环 境 空 气 质 量 模 型 技 术 支 持 服 务 系 统（http://data.lem.org.cn/eamds/apply/tostepone.html），所使用的大气现状监测数据基本满足本项目的分析要求。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（2）评价标准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评价标准 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、PM1</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 和 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执行《环境空气质量标准》（GB3095-2012）及其修改单“生态环境部 2018 年第 29 号”中的二级标准。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（3）评价方法</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基本污染物按照《环境空气质量评价技术规范（试行）》（HJ663-2013）中各评价项目的年评价指标进行判定。年评价指标中的年均浓度和相应百分位数24h 平均或 8h 平均质量浓度满足 GB3095 中浓度限值要求的即为达标。对于超标的污染物，计算其超标倍数和超标率。</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（4）项目所在区域达标区判定</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根据中国环境影响评价网的环境空气质量模型技术支持服务系统查询，克拉玛依市属于达标区，202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年基准年（202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.1.1-202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.12.31）克拉玛依市环境空气质量见表 3-2。</w:t>
            </w:r>
          </w:p>
          <w:p>
            <w:pPr>
              <w:pStyle w:val="65"/>
              <w:snapToGrid/>
              <w:ind w:firstLine="0" w:firstLineChars="0"/>
              <w:rPr>
                <w:b/>
                <w:color w:val="000000" w:themeColor="text1"/>
                <w:kern w:val="0"/>
                <w:lang w:bidi="ar"/>
                <w14:textFill>
                  <w14:solidFill>
                    <w14:schemeClr w14:val="tx1"/>
                  </w14:solidFill>
                </w14:textFill>
              </w:rPr>
            </w:pPr>
            <w:r>
              <w:rPr>
                <w:b/>
                <w:color w:val="000000" w:themeColor="text1"/>
                <w:kern w:val="0"/>
                <w:lang w:bidi="ar"/>
                <w14:textFill>
                  <w14:solidFill>
                    <w14:schemeClr w14:val="tx1"/>
                  </w14:solidFill>
                </w14:textFill>
              </w:rPr>
              <w:t>表3-2  区域环境空气环境质量评价</w:t>
            </w:r>
          </w:p>
          <w:tbl>
            <w:tblPr>
              <w:tblStyle w:val="30"/>
              <w:tblW w:w="83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2335"/>
              <w:gridCol w:w="1160"/>
              <w:gridCol w:w="1182"/>
              <w:gridCol w:w="1160"/>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评价因子</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年评价指标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现状浓度</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标准限值</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占标率%</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6μg/m</w:t>
                  </w:r>
                  <w:r>
                    <w:rPr>
                      <w:color w:val="000000" w:themeColor="text1"/>
                      <w:sz w:val="21"/>
                      <w:szCs w:val="21"/>
                      <w:vertAlign w:val="superscript"/>
                      <w14:textFill>
                        <w14:solidFill>
                          <w14:schemeClr w14:val="tx1"/>
                        </w14:solidFill>
                      </w14:textFill>
                    </w:rPr>
                    <w:t>3</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60μg/m</w:t>
                  </w:r>
                  <w:r>
                    <w:rPr>
                      <w:color w:val="000000" w:themeColor="text1"/>
                      <w:sz w:val="21"/>
                      <w:szCs w:val="21"/>
                      <w:vertAlign w:val="superscript"/>
                      <w14:textFill>
                        <w14:solidFill>
                          <w14:schemeClr w14:val="tx1"/>
                        </w14:solidFill>
                      </w14:textFill>
                    </w:rPr>
                    <w:t>3</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μg/m</w:t>
                  </w:r>
                  <w:r>
                    <w:rPr>
                      <w:color w:val="000000" w:themeColor="text1"/>
                      <w:sz w:val="21"/>
                      <w:szCs w:val="21"/>
                      <w:vertAlign w:val="superscript"/>
                      <w14:textFill>
                        <w14:solidFill>
                          <w14:schemeClr w14:val="tx1"/>
                        </w14:solidFill>
                      </w14:textFill>
                    </w:rPr>
                    <w:t>3</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40μg/m</w:t>
                  </w:r>
                  <w:r>
                    <w:rPr>
                      <w:color w:val="000000" w:themeColor="text1"/>
                      <w:sz w:val="21"/>
                      <w:szCs w:val="21"/>
                      <w:vertAlign w:val="superscript"/>
                      <w14:textFill>
                        <w14:solidFill>
                          <w14:schemeClr w14:val="tx1"/>
                        </w14:solidFill>
                      </w14:textFill>
                    </w:rPr>
                    <w:t>3</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5.0</w:t>
                  </w:r>
                  <w:r>
                    <w:rPr>
                      <w:color w:val="000000" w:themeColor="text1"/>
                      <w:sz w:val="21"/>
                      <w:szCs w:val="21"/>
                      <w14:textFill>
                        <w14:solidFill>
                          <w14:schemeClr w14:val="tx1"/>
                        </w14:solidFill>
                      </w14:textFill>
                    </w:rPr>
                    <w:t>0</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第95百分位数日平均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4mg/m</w:t>
                  </w:r>
                  <w:r>
                    <w:rPr>
                      <w:color w:val="000000" w:themeColor="text1"/>
                      <w:sz w:val="21"/>
                      <w:szCs w:val="21"/>
                      <w:vertAlign w:val="superscript"/>
                      <w14:textFill>
                        <w14:solidFill>
                          <w14:schemeClr w14:val="tx1"/>
                        </w14:solidFill>
                      </w14:textFill>
                    </w:rPr>
                    <w:t>3</w:t>
                  </w:r>
                </w:p>
              </w:tc>
              <w:tc>
                <w:tcPr>
                  <w:tcW w:w="694" w:type="pct"/>
                  <w:tcBorders>
                    <w:tl2br w:val="nil"/>
                    <w:tr2bl w:val="nil"/>
                  </w:tcBorders>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27.50</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第90百分位数</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日最大8小时平均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r>
                    <w:rPr>
                      <w:rFonts w:hint="eastAsia"/>
                      <w:color w:val="000000" w:themeColor="text1"/>
                      <w:sz w:val="21"/>
                      <w:szCs w:val="21"/>
                      <w:lang w:val="en-US" w:eastAsia="zh-CN"/>
                      <w14:textFill>
                        <w14:solidFill>
                          <w14:schemeClr w14:val="tx1"/>
                        </w14:solidFill>
                      </w14:textFill>
                    </w:rPr>
                    <w:t>9</w:t>
                  </w:r>
                  <w:r>
                    <w:rPr>
                      <w:color w:val="000000" w:themeColor="text1"/>
                      <w:sz w:val="21"/>
                      <w:szCs w:val="21"/>
                      <w14:textFill>
                        <w14:solidFill>
                          <w14:schemeClr w14:val="tx1"/>
                        </w14:solidFill>
                      </w14:textFill>
                    </w:rPr>
                    <w:t>μg/m</w:t>
                  </w:r>
                  <w:r>
                    <w:rPr>
                      <w:color w:val="000000" w:themeColor="text1"/>
                      <w:sz w:val="21"/>
                      <w:szCs w:val="21"/>
                      <w:vertAlign w:val="superscript"/>
                      <w14:textFill>
                        <w14:solidFill>
                          <w14:schemeClr w14:val="tx1"/>
                        </w14:solidFill>
                      </w14:textFill>
                    </w:rPr>
                    <w:t>3</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160μg/m</w:t>
                  </w:r>
                  <w:r>
                    <w:rPr>
                      <w:color w:val="000000" w:themeColor="text1"/>
                      <w:sz w:val="21"/>
                      <w:szCs w:val="21"/>
                      <w:vertAlign w:val="superscript"/>
                      <w14:textFill>
                        <w14:solidFill>
                          <w14:schemeClr w14:val="tx1"/>
                        </w14:solidFill>
                      </w14:textFill>
                    </w:rPr>
                    <w:t>3</w:t>
                  </w:r>
                </w:p>
              </w:tc>
              <w:tc>
                <w:tcPr>
                  <w:tcW w:w="694" w:type="pct"/>
                  <w:tcBorders>
                    <w:tl2br w:val="nil"/>
                    <w:tr2bl w:val="nil"/>
                  </w:tcBorders>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74.38</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r>
                    <w:rPr>
                      <w:color w:val="000000" w:themeColor="text1"/>
                      <w:sz w:val="21"/>
                      <w:szCs w:val="21"/>
                      <w14:textFill>
                        <w14:solidFill>
                          <w14:schemeClr w14:val="tx1"/>
                        </w14:solidFill>
                      </w14:textFill>
                    </w:rPr>
                    <w:t>μg/m</w:t>
                  </w:r>
                  <w:r>
                    <w:rPr>
                      <w:color w:val="000000" w:themeColor="text1"/>
                      <w:sz w:val="21"/>
                      <w:szCs w:val="21"/>
                      <w:vertAlign w:val="superscript"/>
                      <w14:textFill>
                        <w14:solidFill>
                          <w14:schemeClr w14:val="tx1"/>
                        </w14:solidFill>
                      </w14:textFill>
                    </w:rPr>
                    <w:t>3</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70μg/m</w:t>
                  </w:r>
                  <w:r>
                    <w:rPr>
                      <w:color w:val="000000" w:themeColor="text1"/>
                      <w:sz w:val="21"/>
                      <w:szCs w:val="21"/>
                      <w:vertAlign w:val="superscript"/>
                      <w14:textFill>
                        <w14:solidFill>
                          <w14:schemeClr w14:val="tx1"/>
                        </w14:solidFill>
                      </w14:textFill>
                    </w:rPr>
                    <w:t>3</w:t>
                  </w:r>
                </w:p>
              </w:tc>
              <w:tc>
                <w:tcPr>
                  <w:tcW w:w="694" w:type="pct"/>
                  <w:tcBorders>
                    <w:tl2br w:val="nil"/>
                    <w:tr2bl w:val="nil"/>
                  </w:tcBorders>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68.57</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9"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p>
              </w:tc>
              <w:tc>
                <w:tcPr>
                  <w:tcW w:w="139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4"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26μg/m</w:t>
                  </w:r>
                  <w:r>
                    <w:rPr>
                      <w:color w:val="000000" w:themeColor="text1"/>
                      <w:sz w:val="21"/>
                      <w:szCs w:val="21"/>
                      <w:vertAlign w:val="superscript"/>
                      <w14:textFill>
                        <w14:solidFill>
                          <w14:schemeClr w14:val="tx1"/>
                        </w14:solidFill>
                      </w14:textFill>
                    </w:rPr>
                    <w:t>3</w:t>
                  </w:r>
                </w:p>
              </w:tc>
              <w:tc>
                <w:tcPr>
                  <w:tcW w:w="7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35μg/m</w:t>
                  </w:r>
                  <w:r>
                    <w:rPr>
                      <w:color w:val="000000" w:themeColor="text1"/>
                      <w:sz w:val="21"/>
                      <w:szCs w:val="21"/>
                      <w:vertAlign w:val="superscript"/>
                      <w14:textFill>
                        <w14:solidFill>
                          <w14:schemeClr w14:val="tx1"/>
                        </w14:solidFill>
                      </w14:textFill>
                    </w:rPr>
                    <w:t>3</w:t>
                  </w:r>
                </w:p>
              </w:tc>
              <w:tc>
                <w:tcPr>
                  <w:tcW w:w="694" w:type="pct"/>
                  <w:tcBorders>
                    <w:tl2br w:val="nil"/>
                    <w:tr2bl w:val="nil"/>
                  </w:tcBorders>
                  <w:shd w:val="clear" w:color="auto" w:fill="auto"/>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65.71</w:t>
                  </w:r>
                </w:p>
              </w:tc>
              <w:tc>
                <w:tcPr>
                  <w:tcW w:w="807" w:type="pc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pPr>
              <w:autoSpaceDE w:val="0"/>
              <w:ind w:firstLine="0" w:firstLineChars="0"/>
              <w:rPr>
                <w:color w:val="000000" w:themeColor="text1"/>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5290820" cy="828040"/>
                  <wp:effectExtent l="0" t="0" r="5080" b="1016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23"/>
                          <a:stretch>
                            <a:fillRect/>
                          </a:stretch>
                        </pic:blipFill>
                        <pic:spPr>
                          <a:xfrm>
                            <a:off x="0" y="0"/>
                            <a:ext cx="5290820" cy="828040"/>
                          </a:xfrm>
                          <a:prstGeom prst="rect">
                            <a:avLst/>
                          </a:prstGeom>
                          <a:noFill/>
                          <a:ln>
                            <a:noFill/>
                          </a:ln>
                        </pic:spPr>
                      </pic:pic>
                    </a:graphicData>
                  </a:graphic>
                </wp:inline>
              </w:drawing>
            </w:r>
          </w:p>
          <w:p>
            <w:pPr>
              <w:autoSpaceDE w:val="0"/>
              <w:ind w:firstLine="0" w:firstLineChars="0"/>
              <w:rPr>
                <w:color w:val="000000" w:themeColor="text1"/>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5309235" cy="1974215"/>
                  <wp:effectExtent l="0" t="0" r="5715" b="698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24"/>
                          <a:stretch>
                            <a:fillRect/>
                          </a:stretch>
                        </pic:blipFill>
                        <pic:spPr>
                          <a:xfrm>
                            <a:off x="0" y="0"/>
                            <a:ext cx="5309235" cy="1974215"/>
                          </a:xfrm>
                          <a:prstGeom prst="rect">
                            <a:avLst/>
                          </a:prstGeom>
                          <a:noFill/>
                          <a:ln>
                            <a:noFill/>
                          </a:ln>
                        </pic:spPr>
                      </pic:pic>
                    </a:graphicData>
                  </a:graphic>
                </wp:inline>
              </w:drawing>
            </w:r>
          </w:p>
          <w:p>
            <w:pPr>
              <w:numPr>
                <w:ilvl w:val="255"/>
                <w:numId w:val="0"/>
              </w:numPr>
              <w:autoSpaceDE w:val="0"/>
              <w:ind w:firstLine="480"/>
              <w:rPr>
                <w:b/>
                <w:bCs/>
                <w:color w:val="000000" w:themeColor="text1"/>
                <w:kern w:val="0"/>
                <w14:textFill>
                  <w14:solidFill>
                    <w14:schemeClr w14:val="tx1"/>
                  </w14:solidFill>
                </w14:textFill>
              </w:rPr>
            </w:pPr>
            <w:r>
              <w:rPr>
                <w:color w:val="000000" w:themeColor="text1"/>
                <w:lang w:bidi="ar"/>
                <w14:textFill>
                  <w14:solidFill>
                    <w14:schemeClr w14:val="tx1"/>
                  </w14:solidFill>
                </w14:textFill>
              </w:rPr>
              <w:t>根据表3-2可知，项目区域环境空气指标中SO</w:t>
            </w:r>
            <w:r>
              <w:rPr>
                <w:color w:val="000000" w:themeColor="text1"/>
                <w:vertAlign w:val="subscript"/>
                <w:lang w:bidi="ar"/>
                <w14:textFill>
                  <w14:solidFill>
                    <w14:schemeClr w14:val="tx1"/>
                  </w14:solidFill>
                </w14:textFill>
              </w:rPr>
              <w:t>2</w:t>
            </w:r>
            <w:r>
              <w:rPr>
                <w:color w:val="000000" w:themeColor="text1"/>
                <w:lang w:bidi="ar"/>
                <w14:textFill>
                  <w14:solidFill>
                    <w14:schemeClr w14:val="tx1"/>
                  </w14:solidFill>
                </w14:textFill>
              </w:rPr>
              <w:t>、NO</w:t>
            </w:r>
            <w:r>
              <w:rPr>
                <w:color w:val="000000" w:themeColor="text1"/>
                <w:vertAlign w:val="subscript"/>
                <w:lang w:bidi="ar"/>
                <w14:textFill>
                  <w14:solidFill>
                    <w14:schemeClr w14:val="tx1"/>
                  </w14:solidFill>
                </w14:textFill>
              </w:rPr>
              <w:t>2</w:t>
            </w:r>
            <w:r>
              <w:rPr>
                <w:color w:val="000000" w:themeColor="text1"/>
                <w:lang w:bidi="ar"/>
                <w14:textFill>
                  <w14:solidFill>
                    <w14:schemeClr w14:val="tx1"/>
                  </w14:solidFill>
                </w14:textFill>
              </w:rPr>
              <w:t>、CO、O</w:t>
            </w:r>
            <w:r>
              <w:rPr>
                <w:color w:val="000000" w:themeColor="text1"/>
                <w:vertAlign w:val="subscript"/>
                <w:lang w:bidi="ar"/>
                <w14:textFill>
                  <w14:solidFill>
                    <w14:schemeClr w14:val="tx1"/>
                  </w14:solidFill>
                </w14:textFill>
              </w:rPr>
              <w:t>3</w:t>
            </w:r>
            <w:r>
              <w:rPr>
                <w:color w:val="000000" w:themeColor="text1"/>
                <w:lang w:bidi="ar"/>
                <w14:textFill>
                  <w14:solidFill>
                    <w14:schemeClr w14:val="tx1"/>
                  </w14:solidFill>
                </w14:textFill>
              </w:rPr>
              <w:t>、PM</w:t>
            </w:r>
            <w:r>
              <w:rPr>
                <w:color w:val="000000" w:themeColor="text1"/>
                <w:vertAlign w:val="subscript"/>
                <w:lang w:bidi="ar"/>
                <w14:textFill>
                  <w14:solidFill>
                    <w14:schemeClr w14:val="tx1"/>
                  </w14:solidFill>
                </w14:textFill>
              </w:rPr>
              <w:t>10</w:t>
            </w:r>
            <w:r>
              <w:rPr>
                <w:color w:val="000000" w:themeColor="text1"/>
                <w:lang w:bidi="ar"/>
                <w14:textFill>
                  <w14:solidFill>
                    <w14:schemeClr w14:val="tx1"/>
                  </w14:solidFill>
                </w14:textFill>
              </w:rPr>
              <w:t>和PM</w:t>
            </w:r>
            <w:r>
              <w:rPr>
                <w:color w:val="000000" w:themeColor="text1"/>
                <w:vertAlign w:val="subscript"/>
                <w:lang w:bidi="ar"/>
                <w14:textFill>
                  <w14:solidFill>
                    <w14:schemeClr w14:val="tx1"/>
                  </w14:solidFill>
                </w14:textFill>
              </w:rPr>
              <w:t>2.5</w:t>
            </w:r>
            <w:r>
              <w:rPr>
                <w:color w:val="000000" w:themeColor="text1"/>
                <w:lang w:bidi="ar"/>
                <w14:textFill>
                  <w14:solidFill>
                    <w14:schemeClr w14:val="tx1"/>
                  </w14:solidFill>
                </w14:textFill>
              </w:rPr>
              <w:t>达到国家二级标准，由此判断区域空气质量为达标区。</w:t>
            </w:r>
          </w:p>
          <w:p>
            <w:pPr>
              <w:keepNext/>
              <w:keepLines/>
              <w:ind w:firstLine="0" w:firstLineChars="0"/>
              <w:outlineLvl w:val="2"/>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2.2 其他污染物环境质量现状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为了解项目所在地区环境空气中特征因子现状，本次引用《新疆全弘水泥制品有限公司40万m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商品混凝土搅拌站项目》的环评现状监测，监测时间为2021年3月11-18日，连续7天，监测点位于厂址东侧4.5km，监测统计结果见下表，监测点位图详见附图</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w:t>
            </w:r>
          </w:p>
          <w:p>
            <w:pPr>
              <w:autoSpaceDE w:val="0"/>
              <w:autoSpaceDN w:val="0"/>
              <w:spacing w:line="240" w:lineRule="auto"/>
              <w:ind w:firstLine="0" w:firstLineChars="0"/>
              <w:jc w:val="center"/>
              <w:rPr>
                <w:b/>
                <w:color w:val="000000" w:themeColor="text1"/>
                <w:sz w:val="21"/>
                <w:szCs w:val="21"/>
                <w:lang w:bidi="ar"/>
                <w14:textFill>
                  <w14:solidFill>
                    <w14:schemeClr w14:val="tx1"/>
                  </w14:solidFill>
                </w14:textFill>
              </w:rPr>
            </w:pPr>
          </w:p>
          <w:p>
            <w:pPr>
              <w:autoSpaceDE w:val="0"/>
              <w:autoSpaceDN w:val="0"/>
              <w:spacing w:line="240" w:lineRule="auto"/>
              <w:ind w:firstLine="0" w:firstLineChars="0"/>
              <w:jc w:val="center"/>
              <w:rPr>
                <w:b/>
                <w:color w:val="000000" w:themeColor="text1"/>
                <w:sz w:val="21"/>
                <w:szCs w:val="21"/>
                <w:lang w:bidi="ar"/>
                <w14:textFill>
                  <w14:solidFill>
                    <w14:schemeClr w14:val="tx1"/>
                  </w14:solidFill>
                </w14:textFill>
              </w:rPr>
            </w:pPr>
          </w:p>
          <w:p>
            <w:pPr>
              <w:autoSpaceDE w:val="0"/>
              <w:autoSpaceDN w:val="0"/>
              <w:spacing w:line="240" w:lineRule="auto"/>
              <w:ind w:firstLine="0" w:firstLineChars="0"/>
              <w:jc w:val="center"/>
              <w:rPr>
                <w:b/>
                <w:color w:val="000000" w:themeColor="text1"/>
                <w:sz w:val="21"/>
                <w:szCs w:val="21"/>
                <w:lang w:bidi="ar"/>
                <w14:textFill>
                  <w14:solidFill>
                    <w14:schemeClr w14:val="tx1"/>
                  </w14:solidFill>
                </w14:textFill>
              </w:rPr>
            </w:pPr>
            <w:r>
              <w:rPr>
                <w:b/>
                <w:color w:val="000000" w:themeColor="text1"/>
                <w:sz w:val="21"/>
                <w:szCs w:val="21"/>
                <w:lang w:bidi="ar"/>
                <w14:textFill>
                  <w14:solidFill>
                    <w14:schemeClr w14:val="tx1"/>
                  </w14:solidFill>
                </w14:textFill>
              </w:rPr>
              <w:t>表3-3    环境空气监测数据及评价结果</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单位：mg/m</w:t>
            </w:r>
            <w:r>
              <w:rPr>
                <w:b/>
                <w:bCs/>
                <w:color w:val="000000" w:themeColor="text1"/>
                <w:vertAlign w:val="superscript"/>
                <w14:textFill>
                  <w14:solidFill>
                    <w14:schemeClr w14:val="tx1"/>
                  </w14:solidFill>
                </w14:textFill>
              </w:rPr>
              <w:t>3</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1154"/>
              <w:gridCol w:w="842"/>
              <w:gridCol w:w="931"/>
              <w:gridCol w:w="931"/>
              <w:gridCol w:w="931"/>
              <w:gridCol w:w="931"/>
              <w:gridCol w:w="929"/>
              <w:gridCol w:w="9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59" w:type="pct"/>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7620</wp:posOffset>
                            </wp:positionV>
                            <wp:extent cx="1189355" cy="307975"/>
                            <wp:effectExtent l="1270" t="4445" r="9525" b="11430"/>
                            <wp:wrapNone/>
                            <wp:docPr id="98" name="直接连接符 98"/>
                            <wp:cNvGraphicFramePr/>
                            <a:graphic xmlns:a="http://schemas.openxmlformats.org/drawingml/2006/main">
                              <a:graphicData uri="http://schemas.microsoft.com/office/word/2010/wordprocessingShape">
                                <wps:wsp>
                                  <wps:cNvCnPr/>
                                  <wps:spPr>
                                    <a:xfrm>
                                      <a:off x="0" y="0"/>
                                      <a:ext cx="1189355" cy="3079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2pt;margin-top:0.6pt;height:24.25pt;width:93.65pt;z-index:251668480;mso-width-relative:page;mso-height-relative:page;" filled="f" stroked="t" coordsize="21600,21600" o:gfxdata="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tm81AAAAAYBAAAPAAAAAAAAAAEAIAAAACIAAABkcnMvZG93bnJldi54bWxQSwECFAAU&#10;AAAACACHTuJAGcSmaPUBAADtAwAADgAAAAAAAAABACAAAAAjAQAAZHJzL2Uyb0RvYy54bWxQSwUG&#10;AAAAAAYABgBZAQAAigUAAAAA&#10;">
                            <v:fill on="f" focussize="0,0"/>
                            <v:stroke color="#000000" joinstyle="round"/>
                            <v:imagedata o:title=""/>
                            <o:lock v:ext="edit" aspectratio="f"/>
                          </v:line>
                        </w:pict>
                      </mc:Fallback>
                    </mc:AlternateContent>
                  </w:r>
                  <w:r>
                    <w:rPr>
                      <w:color w:val="000000" w:themeColor="text1"/>
                      <w:sz w:val="21"/>
                      <w:szCs w:val="21"/>
                      <w14:textFill>
                        <w14:solidFill>
                          <w14:schemeClr w14:val="tx1"/>
                        </w14:solidFill>
                      </w14:textFill>
                    </w:rPr>
                    <w:t xml:space="preserve">        检测日期</w:t>
                  </w:r>
                </w:p>
                <w:p>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检测项目</w:t>
                  </w:r>
                </w:p>
              </w:tc>
              <w:tc>
                <w:tcPr>
                  <w:tcW w:w="50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03.11</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03.12</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03.13</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03.14</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03.15</w:t>
                  </w:r>
                </w:p>
              </w:tc>
              <w:tc>
                <w:tcPr>
                  <w:tcW w:w="555"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03.16</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2021.</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70" w:type="pct"/>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6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采样地点1#</w:t>
                  </w:r>
                </w:p>
              </w:tc>
              <w:tc>
                <w:tcPr>
                  <w:tcW w:w="50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0.110</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0.101</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0.123</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0.150</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0.088</w:t>
                  </w:r>
                </w:p>
              </w:tc>
              <w:tc>
                <w:tcPr>
                  <w:tcW w:w="555"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0.113</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70"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8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采样地点2#</w:t>
                  </w:r>
                </w:p>
              </w:tc>
              <w:tc>
                <w:tcPr>
                  <w:tcW w:w="50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0.158</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0.199</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0.240</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0.264</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0.239</w:t>
                  </w:r>
                </w:p>
              </w:tc>
              <w:tc>
                <w:tcPr>
                  <w:tcW w:w="555"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0.228</w:t>
                  </w:r>
                </w:p>
              </w:tc>
              <w:tc>
                <w:tcPr>
                  <w:tcW w:w="55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0.180</w:t>
                  </w:r>
                </w:p>
              </w:tc>
            </w:tr>
          </w:tbl>
          <w:p>
            <w:pPr>
              <w:tabs>
                <w:tab w:val="left" w:pos="8648"/>
              </w:tabs>
              <w:ind w:firstLine="480"/>
              <w:rPr>
                <w:color w:val="000000" w:themeColor="text1"/>
                <w14:textFill>
                  <w14:solidFill>
                    <w14:schemeClr w14:val="tx1"/>
                  </w14:solidFill>
                </w14:textFill>
              </w:rPr>
            </w:pPr>
            <w:r>
              <w:rPr>
                <w:color w:val="000000" w:themeColor="text1"/>
                <w14:textFill>
                  <w14:solidFill>
                    <w14:schemeClr w14:val="tx1"/>
                  </w14:solidFill>
                </w14:textFill>
              </w:rPr>
              <w:t>由上述监测结果可知，</w:t>
            </w:r>
            <w:r>
              <w:rPr>
                <w:color w:val="000000" w:themeColor="text1"/>
                <w:kern w:val="0"/>
                <w:lang w:bidi="ar"/>
                <w14:textFill>
                  <w14:solidFill>
                    <w14:schemeClr w14:val="tx1"/>
                  </w14:solidFill>
                </w14:textFill>
              </w:rPr>
              <w:t>项目评价区的</w:t>
            </w:r>
            <w:r>
              <w:rPr>
                <w:bCs/>
                <w:color w:val="000000" w:themeColor="text1"/>
                <w:kern w:val="0"/>
                <w:lang w:bidi="ar"/>
                <w14:textFill>
                  <w14:solidFill>
                    <w14:schemeClr w14:val="tx1"/>
                  </w14:solidFill>
                </w14:textFill>
              </w:rPr>
              <w:t>TSP</w:t>
            </w:r>
            <w:r>
              <w:rPr>
                <w:color w:val="000000" w:themeColor="text1"/>
                <w:kern w:val="0"/>
                <w:lang w:bidi="ar"/>
                <w14:textFill>
                  <w14:solidFill>
                    <w14:schemeClr w14:val="tx1"/>
                  </w14:solidFill>
                </w14:textFill>
              </w:rPr>
              <w:t>指标符合《环境空气质量标准》（GB3095-2012）二级标准的要求。</w:t>
            </w:r>
          </w:p>
          <w:p>
            <w:pPr>
              <w:tabs>
                <w:tab w:val="left" w:pos="720"/>
              </w:tabs>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3、地表水环境质量现状与评价</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根据《建设项目环境影响报告表编制技术指南 （污染影响类）（试行）》地表水环境质量现状“引用与建设项目距离近的有效数据，包括近3年的规划环境影响评价的监测数据，所在流域控制单元内国家、地方控制断面监测数据，生态环境主管部门发布的水环境质量数据或地表水达标情况的结论”要求。项目周围3km范围内无地表水体分布，故本次环评不开展地表水环境质量调查工作。</w:t>
            </w:r>
          </w:p>
          <w:p>
            <w:pPr>
              <w:tabs>
                <w:tab w:val="left" w:pos="720"/>
              </w:tabs>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4、地下水、土壤环境质量现状与评价</w:t>
            </w:r>
          </w:p>
          <w:p>
            <w:pPr>
              <w:pStyle w:val="37"/>
              <w:ind w:firstLine="480"/>
              <w:rPr>
                <w:rFonts w:hint="default" w:ascii="Times New Roman"/>
                <w:color w:val="000000" w:themeColor="text1"/>
                <w:kern w:val="2"/>
                <w14:textFill>
                  <w14:solidFill>
                    <w14:schemeClr w14:val="tx1"/>
                  </w14:solidFill>
                </w14:textFill>
              </w:rPr>
            </w:pPr>
            <w:r>
              <w:rPr>
                <w:rFonts w:hint="default" w:ascii="Times New Roman"/>
                <w:color w:val="000000" w:themeColor="text1"/>
                <w:kern w:val="2"/>
                <w14:textFill>
                  <w14:solidFill>
                    <w14:schemeClr w14:val="tx1"/>
                  </w14:solidFill>
                </w14:textFill>
              </w:rPr>
              <w:t xml:space="preserve">根据《建设项目环境影响报告表编制技术指南（污染影响类）（试行）》 地下水、土壤环境原则上不开展环境质量现状调查。建设项目存在土壤、地下水环境污染途径的，应结合污染源、保护目标分布情况开展现状调查以留作背景值。 </w:t>
            </w:r>
          </w:p>
          <w:p>
            <w:pPr>
              <w:pStyle w:val="37"/>
              <w:ind w:firstLine="480"/>
              <w:rPr>
                <w:rFonts w:hint="default" w:ascii="Times New Roman"/>
                <w:color w:val="000000" w:themeColor="text1"/>
                <w:kern w:val="2"/>
                <w14:textFill>
                  <w14:solidFill>
                    <w14:schemeClr w14:val="tx1"/>
                  </w14:solidFill>
                </w14:textFill>
              </w:rPr>
            </w:pPr>
            <w:r>
              <w:rPr>
                <w:rFonts w:hint="default" w:ascii="Times New Roman"/>
                <w:color w:val="000000" w:themeColor="text1"/>
                <w14:textFill>
                  <w14:solidFill>
                    <w14:schemeClr w14:val="tx1"/>
                  </w14:solidFill>
                </w14:textFill>
              </w:rPr>
              <w:t>本项目为商砼站项目，不</w:t>
            </w:r>
            <w:r>
              <w:rPr>
                <w:rFonts w:hint="default" w:ascii="Times New Roman"/>
                <w:color w:val="000000" w:themeColor="text1"/>
                <w:kern w:val="2"/>
                <w14:textFill>
                  <w14:solidFill>
                    <w14:schemeClr w14:val="tx1"/>
                  </w14:solidFill>
                </w14:textFill>
              </w:rPr>
              <w:t>存在土壤、地下水环境污染途径，故不进行土壤环境质量现状调查与评价。</w:t>
            </w:r>
          </w:p>
          <w:p>
            <w:pPr>
              <w:keepNext/>
              <w:keepLines/>
              <w:ind w:firstLine="0" w:firstLineChars="0"/>
              <w:outlineLvl w:val="1"/>
              <w:rPr>
                <w:b/>
                <w:bCs/>
                <w:color w:val="000000" w:themeColor="text1"/>
                <w14:textFill>
                  <w14:solidFill>
                    <w14:schemeClr w14:val="tx1"/>
                  </w14:solidFill>
                </w14:textFill>
              </w:rPr>
            </w:pPr>
            <w:r>
              <w:rPr>
                <w:b/>
                <w:bCs/>
                <w:color w:val="000000" w:themeColor="text1"/>
                <w14:textFill>
                  <w14:solidFill>
                    <w14:schemeClr w14:val="tx1"/>
                  </w14:solidFill>
                </w14:textFill>
              </w:rPr>
              <w:t>5、声环境质量现状</w:t>
            </w:r>
          </w:p>
          <w:p>
            <w:pPr>
              <w:keepNext/>
              <w:keepLines/>
              <w:ind w:firstLine="480"/>
              <w:outlineLvl w:val="1"/>
              <w:rPr>
                <w:color w:val="000000" w:themeColor="text1"/>
                <w14:textFill>
                  <w14:solidFill>
                    <w14:schemeClr w14:val="tx1"/>
                  </w14:solidFill>
                </w14:textFill>
              </w:rPr>
            </w:pPr>
            <w:r>
              <w:rPr>
                <w:color w:val="000000" w:themeColor="text1"/>
                <w14:textFill>
                  <w14:solidFill>
                    <w14:schemeClr w14:val="tx1"/>
                  </w14:solidFill>
                </w14:textFill>
              </w:rPr>
              <w:t>项目区周边50m范围内无人群，不存在声环境保护目标，无需开展声环境质量现状评价。</w:t>
            </w:r>
          </w:p>
          <w:p>
            <w:pPr>
              <w:keepNext/>
              <w:keepLines/>
              <w:ind w:firstLine="480"/>
              <w:outlineLvl w:val="1"/>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933" w:type="dxa"/>
            <w:tcBorders>
              <w:tl2br w:val="nil"/>
              <w:tr2bl w:val="nil"/>
            </w:tcBorders>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环境</w:t>
            </w:r>
          </w:p>
          <w:p>
            <w:pPr>
              <w:pStyle w:val="51"/>
              <w:rPr>
                <w:color w:val="000000" w:themeColor="text1"/>
                <w14:textFill>
                  <w14:solidFill>
                    <w14:schemeClr w14:val="tx1"/>
                  </w14:solidFill>
                </w14:textFill>
              </w:rPr>
            </w:pPr>
            <w:r>
              <w:rPr>
                <w:color w:val="000000" w:themeColor="text1"/>
                <w14:textFill>
                  <w14:solidFill>
                    <w14:schemeClr w14:val="tx1"/>
                  </w14:solidFill>
                </w14:textFill>
              </w:rPr>
              <w:t>保护</w:t>
            </w:r>
          </w:p>
          <w:p>
            <w:pPr>
              <w:pStyle w:val="51"/>
              <w:rPr>
                <w:color w:val="000000" w:themeColor="text1"/>
                <w14:textFill>
                  <w14:solidFill>
                    <w14:schemeClr w14:val="tx1"/>
                  </w14:solidFill>
                </w14:textFill>
              </w:rPr>
            </w:pPr>
            <w:r>
              <w:rPr>
                <w:color w:val="000000" w:themeColor="text1"/>
                <w14:textFill>
                  <w14:solidFill>
                    <w14:schemeClr w14:val="tx1"/>
                  </w14:solidFill>
                </w14:textFill>
              </w:rPr>
              <w:t>目标</w:t>
            </w:r>
          </w:p>
        </w:tc>
        <w:tc>
          <w:tcPr>
            <w:tcW w:w="8546" w:type="dxa"/>
            <w:tcBorders>
              <w:tl2br w:val="nil"/>
              <w:tr2bl w:val="nil"/>
            </w:tcBorders>
            <w:vAlign w:val="center"/>
          </w:tcPr>
          <w:p>
            <w:pPr>
              <w:pStyle w:val="61"/>
              <w:ind w:firstLine="0" w:firstLineChars="0"/>
              <w:jc w:val="both"/>
              <w:rPr>
                <w:color w:val="000000" w:themeColor="text1"/>
                <w:sz w:val="24"/>
                <w14:textFill>
                  <w14:solidFill>
                    <w14:schemeClr w14:val="tx1"/>
                  </w14:solidFill>
                </w14:textFill>
              </w:rPr>
            </w:pPr>
          </w:p>
          <w:p>
            <w:pPr>
              <w:autoSpaceDE w:val="0"/>
              <w:ind w:firstLine="0" w:firstLineChars="0"/>
              <w:rPr>
                <w:color w:val="000000" w:themeColor="text1"/>
                <w14:textFill>
                  <w14:solidFill>
                    <w14:schemeClr w14:val="tx1"/>
                  </w14:solidFill>
                </w14:textFill>
              </w:rPr>
            </w:pPr>
          </w:p>
          <w:p>
            <w:pPr>
              <w:pStyle w:val="61"/>
              <w:ind w:firstLine="0" w:firstLineChars="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1、大气环境</w:t>
            </w:r>
          </w:p>
          <w:p>
            <w:pPr>
              <w:autoSpaceDE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本项目厂界外500米范围内无自然保护区、风景名胜区、居住区、文化区和农村地区中人群较集中的区域等保护目标。</w:t>
            </w:r>
          </w:p>
          <w:p>
            <w:pPr>
              <w:pStyle w:val="61"/>
              <w:ind w:firstLine="0" w:firstLineChars="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2、声环境</w:t>
            </w:r>
          </w:p>
          <w:p>
            <w:pPr>
              <w:tabs>
                <w:tab w:val="left" w:pos="5252"/>
              </w:tabs>
              <w:ind w:firstLine="482" w:firstLineChars="0"/>
              <w:rPr>
                <w:color w:val="000000" w:themeColor="text1"/>
                <w14:textFill>
                  <w14:solidFill>
                    <w14:schemeClr w14:val="tx1"/>
                  </w14:solidFill>
                </w14:textFill>
              </w:rPr>
            </w:pPr>
            <w:r>
              <w:rPr>
                <w:color w:val="000000" w:themeColor="text1"/>
                <w14:textFill>
                  <w14:solidFill>
                    <w14:schemeClr w14:val="tx1"/>
                  </w14:solidFill>
                </w14:textFill>
              </w:rPr>
              <w:t>项目区厂界外50米范围内无声环境保护目标。</w:t>
            </w:r>
          </w:p>
          <w:p>
            <w:pPr>
              <w:pStyle w:val="61"/>
              <w:ind w:firstLine="0" w:firstLineChars="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3、地下水环境</w:t>
            </w:r>
          </w:p>
          <w:p>
            <w:pPr>
              <w:tabs>
                <w:tab w:val="left" w:pos="5252"/>
              </w:tabs>
              <w:ind w:firstLine="482" w:firstLineChars="0"/>
              <w:rPr>
                <w:color w:val="000000" w:themeColor="text1"/>
                <w14:textFill>
                  <w14:solidFill>
                    <w14:schemeClr w14:val="tx1"/>
                  </w14:solidFill>
                </w14:textFill>
              </w:rPr>
            </w:pPr>
            <w:r>
              <w:rPr>
                <w:color w:val="000000" w:themeColor="text1"/>
                <w14:textFill>
                  <w14:solidFill>
                    <w14:schemeClr w14:val="tx1"/>
                  </w14:solidFill>
                </w14:textFill>
              </w:rPr>
              <w:t>项目区厂界外500米范围内无地下水集中式饮用水水源和热水、矿泉水、温泉等特殊地下水资源。</w:t>
            </w:r>
          </w:p>
          <w:p>
            <w:pPr>
              <w:pStyle w:val="61"/>
              <w:ind w:firstLine="0" w:firstLineChars="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4、生态环境</w:t>
            </w:r>
          </w:p>
          <w:p>
            <w:pPr>
              <w:tabs>
                <w:tab w:val="left" w:pos="5252"/>
              </w:tabs>
              <w:ind w:firstLine="482" w:firstLineChars="0"/>
              <w:rPr>
                <w:color w:val="000000" w:themeColor="text1"/>
                <w14:textFill>
                  <w14:solidFill>
                    <w14:schemeClr w14:val="tx1"/>
                  </w14:solidFill>
                </w14:textFill>
              </w:rPr>
            </w:pPr>
            <w:r>
              <w:rPr>
                <w:color w:val="000000" w:themeColor="text1"/>
                <w14:textFill>
                  <w14:solidFill>
                    <w14:schemeClr w14:val="tx1"/>
                  </w14:solidFill>
                </w14:textFill>
              </w:rPr>
              <w:t>项目区及周边无生态环境保护目标。</w:t>
            </w:r>
          </w:p>
          <w:p>
            <w:pPr>
              <w:pStyle w:val="51"/>
              <w:jc w:val="both"/>
              <w:rPr>
                <w:color w:val="000000" w:themeColor="text1"/>
                <w14:textFill>
                  <w14:solidFill>
                    <w14:schemeClr w14:val="tx1"/>
                  </w14:solidFill>
                </w14:textFill>
              </w:rPr>
            </w:pPr>
          </w:p>
          <w:p>
            <w:pPr>
              <w:pStyle w:val="51"/>
              <w:jc w:val="both"/>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933" w:type="dxa"/>
            <w:tcBorders>
              <w:tl2br w:val="nil"/>
              <w:tr2bl w:val="nil"/>
            </w:tcBorders>
            <w:tcMar>
              <w:left w:w="28" w:type="dxa"/>
              <w:right w:w="28"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污染</w:t>
            </w:r>
          </w:p>
          <w:p>
            <w:pPr>
              <w:pStyle w:val="51"/>
              <w:rPr>
                <w:color w:val="000000" w:themeColor="text1"/>
                <w14:textFill>
                  <w14:solidFill>
                    <w14:schemeClr w14:val="tx1"/>
                  </w14:solidFill>
                </w14:textFill>
              </w:rPr>
            </w:pPr>
            <w:r>
              <w:rPr>
                <w:color w:val="000000" w:themeColor="text1"/>
                <w14:textFill>
                  <w14:solidFill>
                    <w14:schemeClr w14:val="tx1"/>
                  </w14:solidFill>
                </w14:textFill>
              </w:rPr>
              <w:t>物排</w:t>
            </w:r>
          </w:p>
          <w:p>
            <w:pPr>
              <w:pStyle w:val="51"/>
              <w:rPr>
                <w:color w:val="000000" w:themeColor="text1"/>
                <w14:textFill>
                  <w14:solidFill>
                    <w14:schemeClr w14:val="tx1"/>
                  </w14:solidFill>
                </w14:textFill>
              </w:rPr>
            </w:pPr>
            <w:r>
              <w:rPr>
                <w:color w:val="000000" w:themeColor="text1"/>
                <w14:textFill>
                  <w14:solidFill>
                    <w14:schemeClr w14:val="tx1"/>
                  </w14:solidFill>
                </w14:textFill>
              </w:rPr>
              <w:t>放控</w:t>
            </w:r>
          </w:p>
          <w:p>
            <w:pPr>
              <w:pStyle w:val="51"/>
              <w:rPr>
                <w:color w:val="000000" w:themeColor="text1"/>
                <w14:textFill>
                  <w14:solidFill>
                    <w14:schemeClr w14:val="tx1"/>
                  </w14:solidFill>
                </w14:textFill>
              </w:rPr>
            </w:pPr>
            <w:r>
              <w:rPr>
                <w:color w:val="000000" w:themeColor="text1"/>
                <w14:textFill>
                  <w14:solidFill>
                    <w14:schemeClr w14:val="tx1"/>
                  </w14:solidFill>
                </w14:textFill>
              </w:rPr>
              <w:t>制标</w:t>
            </w:r>
          </w:p>
          <w:p>
            <w:pPr>
              <w:pStyle w:val="51"/>
              <w:rPr>
                <w:color w:val="000000" w:themeColor="text1"/>
                <w14:textFill>
                  <w14:solidFill>
                    <w14:schemeClr w14:val="tx1"/>
                  </w14:solidFill>
                </w14:textFill>
              </w:rPr>
            </w:pPr>
            <w:r>
              <w:rPr>
                <w:color w:val="000000" w:themeColor="text1"/>
                <w14:textFill>
                  <w14:solidFill>
                    <w14:schemeClr w14:val="tx1"/>
                  </w14:solidFill>
                </w14:textFill>
              </w:rPr>
              <w:t>准</w:t>
            </w:r>
          </w:p>
        </w:tc>
        <w:tc>
          <w:tcPr>
            <w:tcW w:w="8546" w:type="dxa"/>
            <w:tcBorders>
              <w:tl2br w:val="nil"/>
              <w:tr2bl w:val="nil"/>
            </w:tcBorders>
            <w:vAlign w:val="center"/>
          </w:tcPr>
          <w:p>
            <w:pPr>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t>1、大气污染物排放标准</w:t>
            </w:r>
          </w:p>
          <w:p>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（1）废气</w:t>
            </w:r>
          </w:p>
          <w:p>
            <w:pPr>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 xml:space="preserve"> 项目废气执行《水泥工业大气污染物排放标准》（GB4915-2013）中表</w:t>
            </w:r>
            <w:r>
              <w:rPr>
                <w:rFonts w:hint="eastAsia"/>
                <w:color w:val="000000" w:themeColor="text1"/>
                <w:lang w:val="en-US" w:eastAsia="zh-CN" w:bidi="ar"/>
                <w14:textFill>
                  <w14:solidFill>
                    <w14:schemeClr w14:val="tx1"/>
                  </w14:solidFill>
                </w14:textFill>
              </w:rPr>
              <w:t>2</w:t>
            </w:r>
            <w:r>
              <w:rPr>
                <w:color w:val="000000" w:themeColor="text1"/>
                <w:lang w:bidi="ar"/>
                <w14:textFill>
                  <w14:solidFill>
                    <w14:schemeClr w14:val="tx1"/>
                  </w14:solidFill>
                </w14:textFill>
              </w:rPr>
              <w:t>和表3中相关标准；</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表3-4    水泥工业大气污染物排放标准中表</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标准     单位：mg/m</w:t>
            </w:r>
            <w:r>
              <w:rPr>
                <w:b/>
                <w:bCs/>
                <w:color w:val="000000" w:themeColor="text1"/>
                <w:sz w:val="21"/>
                <w:szCs w:val="21"/>
                <w:vertAlign w:val="superscript"/>
                <w14:textFill>
                  <w14:solidFill>
                    <w14:schemeClr w14:val="tx1"/>
                  </w14:solidFill>
                </w14:textFill>
              </w:rPr>
              <w:t>3</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44"/>
              <w:gridCol w:w="3026"/>
              <w:gridCol w:w="2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8" w:type="pct"/>
                  <w:tcBorders>
                    <w:tl2br w:val="nil"/>
                    <w:tr2bl w:val="nil"/>
                  </w:tcBorders>
                  <w:vAlign w:val="center"/>
                </w:tcPr>
                <w:p>
                  <w:pPr>
                    <w:widowControl/>
                    <w:spacing w:line="20" w:lineRule="atLeast"/>
                    <w:ind w:firstLine="0" w:firstLineChars="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生产过程</w:t>
                  </w:r>
                </w:p>
              </w:tc>
              <w:tc>
                <w:tcPr>
                  <w:tcW w:w="1808" w:type="pct"/>
                  <w:tcBorders>
                    <w:tl2br w:val="nil"/>
                    <w:tr2bl w:val="nil"/>
                  </w:tcBorders>
                  <w:vAlign w:val="center"/>
                </w:tcPr>
                <w:p>
                  <w:pPr>
                    <w:widowControl/>
                    <w:spacing w:line="20" w:lineRule="atLeast"/>
                    <w:ind w:firstLine="0" w:firstLineChars="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生产设备</w:t>
                  </w:r>
                </w:p>
              </w:tc>
              <w:tc>
                <w:tcPr>
                  <w:tcW w:w="1253" w:type="pct"/>
                  <w:tcBorders>
                    <w:tl2br w:val="nil"/>
                    <w:tr2bl w:val="nil"/>
                  </w:tcBorders>
                  <w:vAlign w:val="center"/>
                </w:tcPr>
                <w:p>
                  <w:pPr>
                    <w:widowControl/>
                    <w:spacing w:line="20" w:lineRule="atLeast"/>
                    <w:ind w:firstLine="0" w:firstLineChars="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938" w:type="pct"/>
                  <w:tcBorders>
                    <w:tl2br w:val="nil"/>
                    <w:tr2bl w:val="nil"/>
                  </w:tcBorders>
                  <w:vAlign w:val="center"/>
                </w:tcPr>
                <w:p>
                  <w:pPr>
                    <w:widowControl/>
                    <w:spacing w:line="20" w:lineRule="atLeast"/>
                    <w:ind w:firstLine="0" w:firstLineChars="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散装水泥中转站及水泥制品生产</w:t>
                  </w:r>
                </w:p>
              </w:tc>
              <w:tc>
                <w:tcPr>
                  <w:tcW w:w="1808" w:type="pct"/>
                  <w:tcBorders>
                    <w:tl2br w:val="nil"/>
                    <w:tr2bl w:val="nil"/>
                  </w:tcBorders>
                  <w:vAlign w:val="center"/>
                </w:tcPr>
                <w:p>
                  <w:pPr>
                    <w:widowControl/>
                    <w:spacing w:line="20" w:lineRule="atLeast"/>
                    <w:ind w:firstLine="0" w:firstLineChars="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水泥仓及其他通风生产设备</w:t>
                  </w:r>
                </w:p>
              </w:tc>
              <w:tc>
                <w:tcPr>
                  <w:tcW w:w="1253" w:type="pct"/>
                  <w:tcBorders>
                    <w:tl2br w:val="nil"/>
                    <w:tr2bl w:val="nil"/>
                  </w:tcBorders>
                  <w:vAlign w:val="center"/>
                </w:tcPr>
                <w:p>
                  <w:pPr>
                    <w:widowControl/>
                    <w:spacing w:line="20" w:lineRule="atLeast"/>
                    <w:ind w:firstLine="0" w:firstLineChars="0"/>
                    <w:jc w:val="center"/>
                    <w:rPr>
                      <w:color w:val="000000" w:themeColor="text1"/>
                      <w:sz w:val="21"/>
                      <w:szCs w:val="21"/>
                      <w:lang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1</w:t>
                  </w:r>
                  <w:r>
                    <w:rPr>
                      <w:color w:val="000000" w:themeColor="text1"/>
                      <w:sz w:val="21"/>
                      <w:szCs w:val="21"/>
                      <w:lang w:bidi="ar"/>
                      <w14:textFill>
                        <w14:solidFill>
                          <w14:schemeClr w14:val="tx1"/>
                        </w14:solidFill>
                      </w14:textFill>
                    </w:rPr>
                    <w:t>0</w:t>
                  </w:r>
                </w:p>
              </w:tc>
            </w:tr>
          </w:tbl>
          <w:p>
            <w:pPr>
              <w:spacing w:line="240" w:lineRule="auto"/>
              <w:ind w:firstLine="422"/>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表3-5    </w:t>
            </w:r>
            <w:r>
              <w:rPr>
                <w:b/>
                <w:bCs/>
                <w:color w:val="000000" w:themeColor="text1"/>
                <w:sz w:val="21"/>
                <w:szCs w:val="21"/>
                <w14:textFill>
                  <w14:solidFill>
                    <w14:schemeClr w14:val="tx1"/>
                  </w14:solidFill>
                </w14:textFill>
              </w:rPr>
              <w:t>水泥工业大气污染物排放标准中表3标准     单位：mg/m</w:t>
            </w:r>
            <w:r>
              <w:rPr>
                <w:b/>
                <w:bCs/>
                <w:color w:val="000000" w:themeColor="text1"/>
                <w:sz w:val="21"/>
                <w:szCs w:val="21"/>
                <w:vertAlign w:val="superscript"/>
                <w14:textFill>
                  <w14:solidFill>
                    <w14:schemeClr w14:val="tx1"/>
                  </w14:solidFill>
                </w14:textFill>
              </w:rPr>
              <w:t>3</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7"/>
              <w:gridCol w:w="5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9" w:type="pct"/>
                  <w:tcBorders>
                    <w:tl2br w:val="nil"/>
                    <w:tr2bl w:val="nil"/>
                  </w:tcBorders>
                  <w:vAlign w:val="center"/>
                </w:tcPr>
                <w:p>
                  <w:pPr>
                    <w:spacing w:line="32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w:t>
                  </w:r>
                </w:p>
              </w:tc>
              <w:tc>
                <w:tcPr>
                  <w:tcW w:w="3370" w:type="pct"/>
                  <w:tcBorders>
                    <w:tl2br w:val="nil"/>
                    <w:tr2bl w:val="nil"/>
                  </w:tcBorders>
                  <w:vAlign w:val="center"/>
                </w:tcPr>
                <w:p>
                  <w:pPr>
                    <w:spacing w:line="32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无组织浓度监控限值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9" w:type="pct"/>
                  <w:tcBorders>
                    <w:tl2br w:val="nil"/>
                    <w:tr2bl w:val="nil"/>
                  </w:tcBorders>
                  <w:vAlign w:val="center"/>
                </w:tcPr>
                <w:p>
                  <w:pPr>
                    <w:spacing w:line="32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颗粒物</w:t>
                  </w:r>
                </w:p>
              </w:tc>
              <w:tc>
                <w:tcPr>
                  <w:tcW w:w="3370" w:type="pct"/>
                  <w:tcBorders>
                    <w:tl2br w:val="nil"/>
                    <w:tr2bl w:val="nil"/>
                  </w:tcBorders>
                  <w:vAlign w:val="center"/>
                </w:tcPr>
                <w:p>
                  <w:pPr>
                    <w:spacing w:line="320" w:lineRule="exact"/>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周界外最高浓度点：0.5mg/m</w:t>
                  </w:r>
                  <w:r>
                    <w:rPr>
                      <w:bCs/>
                      <w:color w:val="000000" w:themeColor="text1"/>
                      <w:sz w:val="21"/>
                      <w:szCs w:val="21"/>
                      <w:vertAlign w:val="superscript"/>
                      <w14:textFill>
                        <w14:solidFill>
                          <w14:schemeClr w14:val="tx1"/>
                        </w14:solidFill>
                      </w14:textFill>
                    </w:rPr>
                    <w:t>3</w:t>
                  </w:r>
                </w:p>
              </w:tc>
            </w:tr>
          </w:tbl>
          <w:p>
            <w:pPr>
              <w:ind w:firstLine="480"/>
              <w:rPr>
                <w:color w:val="000000" w:themeColor="text1"/>
                <w:lang w:bidi="ar"/>
                <w14:textFill>
                  <w14:solidFill>
                    <w14:schemeClr w14:val="tx1"/>
                  </w14:solidFill>
                </w14:textFill>
              </w:rPr>
            </w:pPr>
            <w:r>
              <w:rPr>
                <w:rFonts w:hint="eastAsia"/>
                <w:b/>
                <w:bCs/>
                <w:color w:val="000000" w:themeColor="text1"/>
                <w:lang w:eastAsia="zh-CN" w:bidi="ar"/>
                <w14:textFill>
                  <w14:solidFill>
                    <w14:schemeClr w14:val="tx1"/>
                  </w14:solidFill>
                </w14:textFill>
              </w:rPr>
              <w:t>控制措施：</w:t>
            </w:r>
            <w:r>
              <w:rPr>
                <w:rFonts w:hint="eastAsia"/>
                <w:color w:val="000000" w:themeColor="text1"/>
                <w:lang w:bidi="ar"/>
                <w14:textFill>
                  <w14:solidFill>
                    <w14:schemeClr w14:val="tx1"/>
                  </w14:solidFill>
                </w14:textFill>
              </w:rPr>
              <w:t>水泥工业企业的物料处理、输送、装卸、储存过程应当封闭，对块石、粘湿物料、浆料以及车船装卸料过程也可采取其它有效抑尘措施，控制颗粒物无组织排放。</w:t>
            </w:r>
          </w:p>
          <w:p>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（2）食堂油烟</w:t>
            </w:r>
          </w:p>
          <w:p>
            <w:pPr>
              <w:ind w:firstLine="480"/>
              <w:rPr>
                <w:rFonts w:hint="eastAsia" w:eastAsia="宋体"/>
                <w:color w:val="000000" w:themeColor="text1"/>
                <w:lang w:eastAsia="zh-CN"/>
                <w14:textFill>
                  <w14:solidFill>
                    <w14:schemeClr w14:val="tx1"/>
                  </w14:solidFill>
                </w14:textFill>
              </w:rPr>
            </w:pPr>
            <w:r>
              <w:rPr>
                <w:color w:val="000000" w:themeColor="text1"/>
                <w:lang w:bidi="ar"/>
                <w14:textFill>
                  <w14:solidFill>
                    <w14:schemeClr w14:val="tx1"/>
                  </w14:solidFill>
                </w14:textFill>
              </w:rPr>
              <w:t>餐饮油烟执行《饮食业油烟排放标准》（GB18483-2001）最高允许排放浓度2.0mg/m</w:t>
            </w:r>
            <w:r>
              <w:rPr>
                <w:color w:val="000000" w:themeColor="text1"/>
                <w:vertAlign w:val="superscript"/>
                <w:lang w:bidi="ar"/>
                <w14:textFill>
                  <w14:solidFill>
                    <w14:schemeClr w14:val="tx1"/>
                  </w14:solidFill>
                </w14:textFill>
              </w:rPr>
              <w:t>3</w:t>
            </w:r>
            <w:r>
              <w:rPr>
                <w:color w:val="000000" w:themeColor="text1"/>
                <w:lang w:bidi="ar"/>
                <w14:textFill>
                  <w14:solidFill>
                    <w14:schemeClr w14:val="tx1"/>
                  </w14:solidFill>
                </w14:textFill>
              </w:rPr>
              <w:t>。</w:t>
            </w:r>
            <w:r>
              <w:rPr>
                <w:rFonts w:hint="eastAsia"/>
                <w:color w:val="000000" w:themeColor="text1"/>
                <w:lang w:eastAsia="zh-CN" w:bidi="ar"/>
                <w14:textFill>
                  <w14:solidFill>
                    <w14:schemeClr w14:val="tx1"/>
                  </w14:solidFill>
                </w14:textFill>
              </w:rPr>
              <w:t>（最低去除效率</w:t>
            </w:r>
            <w:r>
              <w:rPr>
                <w:rFonts w:hint="eastAsia"/>
                <w:color w:val="000000" w:themeColor="text1"/>
                <w:lang w:val="en-US" w:eastAsia="zh-CN" w:bidi="ar"/>
                <w14:textFill>
                  <w14:solidFill>
                    <w14:schemeClr w14:val="tx1"/>
                  </w14:solidFill>
                </w14:textFill>
              </w:rPr>
              <w:t>75%</w:t>
            </w:r>
            <w:r>
              <w:rPr>
                <w:rFonts w:hint="eastAsia"/>
                <w:color w:val="000000" w:themeColor="text1"/>
                <w:lang w:eastAsia="zh-CN" w:bidi="ar"/>
                <w14:textFill>
                  <w14:solidFill>
                    <w14:schemeClr w14:val="tx1"/>
                  </w14:solidFill>
                </w14:textFill>
              </w:rPr>
              <w:t>）</w:t>
            </w:r>
          </w:p>
          <w:p>
            <w:pPr>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t>2、水污染物排放标准</w:t>
            </w:r>
          </w:p>
          <w:p>
            <w:pPr>
              <w:tabs>
                <w:tab w:val="left" w:pos="597"/>
                <w:tab w:val="left" w:pos="2970"/>
              </w:tabs>
              <w:ind w:firstLine="480"/>
              <w:rPr>
                <w:color w:val="000000" w:themeColor="text1"/>
                <w14:textFill>
                  <w14:solidFill>
                    <w14:schemeClr w14:val="tx1"/>
                  </w14:solidFill>
                </w14:textFill>
              </w:rPr>
            </w:pPr>
            <w:r>
              <w:rPr>
                <w:color w:val="000000" w:themeColor="text1"/>
                <w14:textFill>
                  <w14:solidFill>
                    <w14:schemeClr w14:val="tx1"/>
                  </w14:solidFill>
                </w14:textFill>
              </w:rPr>
              <w:t>生活污水排放执行《污水综合排放标准》（GB8978-1996）表4中的三级排放标准。</w:t>
            </w:r>
          </w:p>
          <w:p>
            <w:pPr>
              <w:tabs>
                <w:tab w:val="left" w:pos="924"/>
                <w:tab w:val="center" w:pos="4197"/>
              </w:tabs>
              <w:spacing w:line="240" w:lineRule="auto"/>
              <w:ind w:firstLine="1265" w:firstLineChars="6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表3-6   《污水综合排放标准》（GB8978-1996）三级排放标准</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0"/>
              <w:gridCol w:w="2787"/>
              <w:gridCol w:w="2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665"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三级标准（mg/L）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665"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665"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665"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665"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665"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动植物油</w:t>
                  </w:r>
                </w:p>
              </w:tc>
              <w:tc>
                <w:tcPr>
                  <w:tcW w:w="1667" w:type="pct"/>
                  <w:tcBorders>
                    <w:tl2br w:val="nil"/>
                    <w:tr2bl w:val="nil"/>
                  </w:tcBorders>
                  <w:shd w:val="clear" w:color="auto" w:fill="auto"/>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r>
          </w:tbl>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3、噪声排放标准</w:t>
            </w:r>
          </w:p>
          <w:p>
            <w:pPr>
              <w:widowControl/>
              <w:snapToGrid w:val="0"/>
              <w:spacing w:line="5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厂界噪声执行《工业企业厂界环境噪声排放标准》（GB12348-2008）中的3类区标准。</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表3-7  工业企业厂界环境噪声排放限值   单位：dB（A）</w:t>
            </w:r>
          </w:p>
          <w:tbl>
            <w:tblPr>
              <w:tblStyle w:val="30"/>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2382"/>
              <w:gridCol w:w="23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50" w:type="pct"/>
                  <w:vMerge w:val="restart"/>
                  <w:tcBorders>
                    <w:top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厂界外声环境功能区类别</w:t>
                  </w:r>
                </w:p>
              </w:tc>
              <w:tc>
                <w:tcPr>
                  <w:tcW w:w="2849" w:type="pct"/>
                  <w:gridSpan w:val="2"/>
                  <w:tcBorders>
                    <w:top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50" w:type="pct"/>
                  <w:vMerge w:val="continue"/>
                  <w:tcBorders>
                    <w:bottom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423" w:type="pct"/>
                  <w:tcBorders>
                    <w:bottom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昼间</w:t>
                  </w:r>
                </w:p>
              </w:tc>
              <w:tc>
                <w:tcPr>
                  <w:tcW w:w="1425" w:type="pct"/>
                  <w:tcBorders>
                    <w:bottom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150" w:type="pct"/>
                  <w:tcBorders>
                    <w:top w:val="single" w:color="auto" w:sz="12" w:space="0"/>
                    <w:bottom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423" w:type="pct"/>
                  <w:tcBorders>
                    <w:top w:val="single" w:color="auto" w:sz="12" w:space="0"/>
                    <w:bottom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w:t>
                  </w:r>
                </w:p>
              </w:tc>
              <w:tc>
                <w:tcPr>
                  <w:tcW w:w="1425" w:type="pct"/>
                  <w:tcBorders>
                    <w:top w:val="single" w:color="auto" w:sz="12" w:space="0"/>
                    <w:bottom w:val="single" w:color="auto" w:sz="12"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w:t>
                  </w:r>
                </w:p>
              </w:tc>
            </w:tr>
          </w:tbl>
          <w:p>
            <w:pPr>
              <w:ind w:firstLine="0" w:firstLineChars="0"/>
              <w:jc w:val="left"/>
              <w:rPr>
                <w:color w:val="000000" w:themeColor="text1"/>
                <w14:textFill>
                  <w14:solidFill>
                    <w14:schemeClr w14:val="tx1"/>
                  </w14:solidFill>
                </w14:textFill>
              </w:rPr>
            </w:pPr>
            <w:r>
              <w:rPr>
                <w:b/>
                <w:bCs/>
                <w:color w:val="000000" w:themeColor="text1"/>
                <w14:textFill>
                  <w14:solidFill>
                    <w14:schemeClr w14:val="tx1"/>
                  </w14:solidFill>
                </w14:textFill>
              </w:rPr>
              <w:t>4、固废排放执行标准</w:t>
            </w:r>
          </w:p>
          <w:p>
            <w:pPr>
              <w:widowControl/>
              <w:snapToGrid w:val="0"/>
              <w:spacing w:line="5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一般固废执行《一般工业固体废物贮存和填埋污染控制标准》（GB18599-2020）中的相关标准；危险废物执行《危险废物贮存污染控制标准》（GB18597-20</w:t>
            </w:r>
            <w:r>
              <w:rPr>
                <w:rFonts w:hint="eastAsia"/>
                <w:color w:val="000000" w:themeColor="text1"/>
                <w:lang w:val="en-US" w:eastAsia="zh-CN"/>
                <w14:textFill>
                  <w14:solidFill>
                    <w14:schemeClr w14:val="tx1"/>
                  </w14:solidFill>
                </w14:textFill>
              </w:rPr>
              <w:t>23</w:t>
            </w: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 w:type="dxa"/>
            <w:tcBorders>
              <w:tl2br w:val="nil"/>
              <w:tr2bl w:val="nil"/>
            </w:tcBorders>
            <w:vAlign w:val="center"/>
          </w:tcPr>
          <w:p>
            <w:pPr>
              <w:pStyle w:val="51"/>
              <w:jc w:val="both"/>
              <w:rPr>
                <w:color w:val="000000" w:themeColor="text1"/>
                <w14:textFill>
                  <w14:solidFill>
                    <w14:schemeClr w14:val="tx1"/>
                  </w14:solidFill>
                </w14:textFill>
              </w:rPr>
            </w:pPr>
          </w:p>
          <w:p>
            <w:pPr>
              <w:pStyle w:val="51"/>
              <w:rPr>
                <w:color w:val="000000" w:themeColor="text1"/>
                <w14:textFill>
                  <w14:solidFill>
                    <w14:schemeClr w14:val="tx1"/>
                  </w14:solidFill>
                </w14:textFill>
              </w:rPr>
            </w:pPr>
            <w:r>
              <w:rPr>
                <w:color w:val="000000" w:themeColor="text1"/>
                <w14:textFill>
                  <w14:solidFill>
                    <w14:schemeClr w14:val="tx1"/>
                  </w14:solidFill>
                </w14:textFill>
              </w:rPr>
              <w:t>总量控制指标</w:t>
            </w:r>
          </w:p>
          <w:p>
            <w:pPr>
              <w:pStyle w:val="51"/>
              <w:jc w:val="both"/>
              <w:rPr>
                <w:color w:val="000000" w:themeColor="text1"/>
                <w14:textFill>
                  <w14:solidFill>
                    <w14:schemeClr w14:val="tx1"/>
                  </w14:solidFill>
                </w14:textFill>
              </w:rPr>
            </w:pPr>
          </w:p>
        </w:tc>
        <w:tc>
          <w:tcPr>
            <w:tcW w:w="8546" w:type="dxa"/>
            <w:tcBorders>
              <w:tl2br w:val="nil"/>
              <w:tr2bl w:val="nil"/>
            </w:tcBorders>
            <w:vAlign w:val="center"/>
          </w:tcPr>
          <w:p>
            <w:pPr>
              <w:spacing w:line="240" w:lineRule="auto"/>
              <w:ind w:firstLine="480"/>
              <w:jc w:val="center"/>
              <w:rPr>
                <w:color w:val="000000" w:themeColor="text1"/>
                <w14:textFill>
                  <w14:solidFill>
                    <w14:schemeClr w14:val="tx1"/>
                  </w14:solidFill>
                </w14:textFill>
              </w:rPr>
            </w:pPr>
          </w:p>
          <w:p>
            <w:pPr>
              <w:pStyle w:val="63"/>
              <w:spacing w:line="360" w:lineRule="auto"/>
              <w:ind w:firstLine="480"/>
              <w:rPr>
                <w:color w:val="000000" w:themeColor="text1"/>
                <w14:textFill>
                  <w14:solidFill>
                    <w14:schemeClr w14:val="tx1"/>
                  </w14:solidFill>
                </w14:textFill>
              </w:rPr>
            </w:pPr>
            <w:r>
              <w:rPr>
                <w:color w:val="000000" w:themeColor="text1"/>
                <w:spacing w:val="0"/>
                <w:sz w:val="24"/>
                <w14:textFill>
                  <w14:solidFill>
                    <w14:schemeClr w14:val="tx1"/>
                  </w14:solidFill>
                </w14:textFill>
              </w:rPr>
              <w:t>结合本项目所在区域的环境特征及本项目排污情况，本项目不设污染物排放总量控制标值。</w:t>
            </w:r>
          </w:p>
        </w:tc>
      </w:tr>
    </w:tbl>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30"/>
        <w:tblW w:w="93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8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tcBorders>
              <w:tl2br w:val="nil"/>
              <w:tr2bl w:val="nil"/>
            </w:tcBorders>
            <w:tcMar>
              <w:left w:w="28" w:type="dxa"/>
              <w:right w:w="28"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施工</w:t>
            </w:r>
          </w:p>
          <w:p>
            <w:pPr>
              <w:pStyle w:val="51"/>
              <w:rPr>
                <w:color w:val="000000" w:themeColor="text1"/>
                <w14:textFill>
                  <w14:solidFill>
                    <w14:schemeClr w14:val="tx1"/>
                  </w14:solidFill>
                </w14:textFill>
              </w:rPr>
            </w:pPr>
            <w:r>
              <w:rPr>
                <w:color w:val="000000" w:themeColor="text1"/>
                <w14:textFill>
                  <w14:solidFill>
                    <w14:schemeClr w14:val="tx1"/>
                  </w14:solidFill>
                </w14:textFill>
              </w:rPr>
              <w:t>期环</w:t>
            </w:r>
          </w:p>
          <w:p>
            <w:pPr>
              <w:pStyle w:val="51"/>
              <w:rPr>
                <w:color w:val="000000" w:themeColor="text1"/>
                <w14:textFill>
                  <w14:solidFill>
                    <w14:schemeClr w14:val="tx1"/>
                  </w14:solidFill>
                </w14:textFill>
              </w:rPr>
            </w:pPr>
            <w:r>
              <w:rPr>
                <w:color w:val="000000" w:themeColor="text1"/>
                <w14:textFill>
                  <w14:solidFill>
                    <w14:schemeClr w14:val="tx1"/>
                  </w14:solidFill>
                </w14:textFill>
              </w:rPr>
              <w:t>境保</w:t>
            </w:r>
          </w:p>
          <w:p>
            <w:pPr>
              <w:pStyle w:val="51"/>
              <w:rPr>
                <w:color w:val="000000" w:themeColor="text1"/>
                <w14:textFill>
                  <w14:solidFill>
                    <w14:schemeClr w14:val="tx1"/>
                  </w14:solidFill>
                </w14:textFill>
              </w:rPr>
            </w:pPr>
            <w:r>
              <w:rPr>
                <w:color w:val="000000" w:themeColor="text1"/>
                <w14:textFill>
                  <w14:solidFill>
                    <w14:schemeClr w14:val="tx1"/>
                  </w14:solidFill>
                </w14:textFill>
              </w:rPr>
              <w:t>护措</w:t>
            </w:r>
          </w:p>
          <w:p>
            <w:pPr>
              <w:pStyle w:val="51"/>
              <w:rPr>
                <w:color w:val="000000" w:themeColor="text1"/>
                <w14:textFill>
                  <w14:solidFill>
                    <w14:schemeClr w14:val="tx1"/>
                  </w14:solidFill>
                </w14:textFill>
              </w:rPr>
            </w:pPr>
            <w:r>
              <w:rPr>
                <w:color w:val="000000" w:themeColor="text1"/>
                <w14:textFill>
                  <w14:solidFill>
                    <w14:schemeClr w14:val="tx1"/>
                  </w14:solidFill>
                </w14:textFill>
              </w:rPr>
              <w:t>施</w:t>
            </w:r>
          </w:p>
        </w:tc>
        <w:tc>
          <w:tcPr>
            <w:tcW w:w="8689" w:type="dxa"/>
            <w:tcBorders>
              <w:tl2br w:val="nil"/>
              <w:tr2bl w:val="nil"/>
            </w:tcBorders>
            <w:vAlign w:val="center"/>
          </w:tcPr>
          <w:p>
            <w:pPr>
              <w:adjustRightInd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1、施工废气防治措施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了减小项目施工期对周围环境的大气环境的影响，项目区运输道路及施工材料堆放场所要采取一定的措施进行处理。根据《中华人民共和国大气污染防治法》（2015.8.29）等相关法律规章制度相关规定，要求建设方和施工方严格扬尘防治措施及施工扬尘监管，具体如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施工期间施工区进行定期洒水降尘，粉尘含水率越高，扬尘量越小，扬尘造成的TSP污染距离亦可控制在施工区域外20~50m范围内。如遇到刮风天气，可适当增加洒水次数并加快施工进度。遇到大风天气（4级以上大风），停止道路施工。</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（2）装修产生的垃圾及时清运，临时堆放要在当地住建部门指定地点。</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选择道路铺设、装修材料堆放、转运的场地时，避开施工人员流动较为集中的场地；运输时尽量避免敞开式运输，运送建材的车辆保持完好，不得超载和装载过满运输，控制车速，减小道路施工扬尘，另外，施工期间注意车辆维修保养，以减少汽车尾气和扬尘对附近区域环境的影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（4）施工场地设专职人员负责扬尘控制措施的实施和监督。由专人负责逸散材料、垃圾等覆盖、洒水作业等，并记录扬尘控制措施的实施情况。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（5）施工单位应根据《建设工程施工现场管理规定》的规定设置现场平面图、工程概况牌、安全生产牌、消防保卫牌、文明施工牌、环境保护牌、管理人员名单及监督电话等。</w:t>
            </w:r>
          </w:p>
          <w:p>
            <w:pPr>
              <w:adjustRightInd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2、施工废水防治措施</w:t>
            </w:r>
          </w:p>
          <w:p>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施工期废水主要为施工废水和施工人员的生活污水。</w:t>
            </w:r>
          </w:p>
          <w:p>
            <w:pPr>
              <w:overflowPunct w:val="0"/>
              <w:adjustRightInd w:val="0"/>
              <w:snapToGrid w:val="0"/>
              <w:ind w:firstLine="480"/>
              <w:rPr>
                <w:bCs/>
                <w:color w:val="000000" w:themeColor="text1"/>
                <w:kern w:val="0"/>
                <w14:textFill>
                  <w14:solidFill>
                    <w14:schemeClr w14:val="tx1"/>
                  </w14:solidFill>
                </w14:textFill>
              </w:rPr>
            </w:pPr>
            <w:r>
              <w:rPr>
                <w:color w:val="000000" w:themeColor="text1"/>
                <w14:textFill>
                  <w14:solidFill>
                    <w14:schemeClr w14:val="tx1"/>
                  </w14:solidFill>
                </w14:textFill>
              </w:rPr>
              <w:t>建筑施工废水主要来自于施工过程中设备清洗水及混凝土、养护等施工工序排水，多为无机废水，除悬浮物含量较高外，不含其它有害物质。建设单位拟在施工场地设沉砂池，将场地施工废水收集沉淀处理后用于泼洒地面降尘，施工机械不在施工场地进行冲洗；施工人员</w:t>
            </w:r>
            <w:r>
              <w:rPr>
                <w:color w:val="000000" w:themeColor="text1"/>
                <w:kern w:val="0"/>
                <w14:textFill>
                  <w14:solidFill>
                    <w14:schemeClr w14:val="tx1"/>
                  </w14:solidFill>
                </w14:textFill>
              </w:rPr>
              <w:t>生活废水排入污水管网，最终进入</w:t>
            </w:r>
            <w:r>
              <w:rPr>
                <w:rFonts w:hint="eastAsia"/>
                <w:color w:val="000000" w:themeColor="text1"/>
                <w:kern w:val="0"/>
                <w14:textFill>
                  <w14:solidFill>
                    <w14:schemeClr w14:val="tx1"/>
                  </w14:solidFill>
                </w14:textFill>
              </w:rPr>
              <w:t>胡杨河经济技术开发区（南区）污水处理厂</w:t>
            </w:r>
            <w:r>
              <w:rPr>
                <w:color w:val="000000" w:themeColor="text1"/>
                <w:kern w:val="0"/>
                <w14:textFill>
                  <w14:solidFill>
                    <w14:schemeClr w14:val="tx1"/>
                  </w14:solidFill>
                </w14:textFill>
              </w:rPr>
              <w:t>处理</w:t>
            </w:r>
            <w:r>
              <w:rPr>
                <w:color w:val="000000" w:themeColor="text1"/>
                <w:kern w:val="0"/>
                <w:szCs w:val="22"/>
                <w14:textFill>
                  <w14:solidFill>
                    <w14:schemeClr w14:val="tx1"/>
                  </w14:solidFill>
                </w14:textFill>
              </w:rPr>
              <w:t>。</w:t>
            </w:r>
          </w:p>
          <w:p>
            <w:pPr>
              <w:adjustRightInd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3、施工噪声防治措施</w:t>
            </w:r>
          </w:p>
          <w:p>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本项目施工期噪声源主要为挖掘机、装载机及运输车辆产生的噪声。</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合理安排好施工时间，尽量缩短施工期。严格控制和管理产生噪声的设备的使用时间，尽可能避免在同一区段安排大量强噪声设备同时施工。</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对本项目的施工进行合理布局，尽量选用低噪声的机械设备。</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设备选型时，在满足施工需要的前提下，尽可能选取噪声低、振动小、能耗小的先进设备，并避免长时间使用高噪声设备，加强施工机械的维护保养，高噪声设备应修建临时隔声棚，并加装减振垫等；加强对现场工作人员进行培训，严格按操作规范使用各类机械设备。</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施工现场合理布局，以避免局部声级过高，尽可能将施工阶段的噪声影响减至最小。</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对运输车辆造成的交通噪声影响要加强管理，运输车辆尽量采用较低声级的喇叭。</w:t>
            </w:r>
          </w:p>
          <w:p>
            <w:pPr>
              <w:adjustRightInd w:val="0"/>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4、施工固体废物防治措施</w:t>
            </w:r>
          </w:p>
          <w:p>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本项目施工过程中主要产生废弃土（石）方、施工完成后剩余的少量建筑材料以及生活垃圾。</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建筑垃圾：施工期间有部分施工垃圾应分类收集，集中处理，回收利用，以实现固体废料的“减量化、资源化、无害化”。</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生活垃圾：施工人员的生活垃圾应集中收集，不允许随地乱抛，影响环境卫生，或混入建筑垃圾。生活垃圾应纳入城市生活垃圾收运处理系统。</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车辆运输散体物料和废弃物时，必须密闭、包扎、覆盖，不得沿途漏撒；运载土方的车辆必须在规定的时间内，按指定路段行驶。</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施工期应尽量集中并避开雨期，边弃土边压实，弃土完毕后应尽快复垦利用。</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施工单位应该在施工前5日向渣土管理部门申报建筑垃圾、工程渣土处置计划，如实填报建筑垃圾和渣土的种类、数量、运输路线及处置场地等事项，并与渣土管理部门签订环境卫生责任书。</w:t>
            </w:r>
          </w:p>
          <w:p>
            <w:pPr>
              <w:adjustRightInd w:val="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施工部门应当持渣土管理部门核发的处置证明，向运输单位办理建筑垃圾、工程渣土托运手续。运输车辆在运输工程弃土、建筑垃圾时应随车携带处置证明，接收渣土管理部门的检查，运输路线应按渣土管理部门会同公安、交通管理部门规定的线路运输。</w:t>
            </w:r>
          </w:p>
          <w:p>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在工程完工后，应当立即将工地的剩余建筑垃圾、工程渣土处置干净，不得占用道路来堆放建筑垃圾和工程渣土。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00000" w:themeColor="text1"/>
                <w:sz w:val="24"/>
                <w:szCs w:val="22"/>
                <w:lang w:val="en-US" w:eastAsia="zh-CN"/>
                <w14:textFill>
                  <w14:solidFill>
                    <w14:schemeClr w14:val="tx1"/>
                  </w14:solidFill>
                </w14:textFill>
              </w:rPr>
            </w:pPr>
            <w:r>
              <w:rPr>
                <w:rFonts w:hint="default" w:ascii="Times New Roman" w:hAnsi="Times New Roman" w:cs="Times New Roman"/>
                <w:b/>
                <w:bCs/>
                <w:color w:val="000000" w:themeColor="text1"/>
                <w:sz w:val="24"/>
                <w:szCs w:val="22"/>
                <w:lang w:val="en-US" w:eastAsia="zh-CN"/>
                <w14:textFill>
                  <w14:solidFill>
                    <w14:schemeClr w14:val="tx1"/>
                  </w14:solidFill>
                </w14:textFill>
              </w:rPr>
              <w:t>5、生态环境</w:t>
            </w:r>
            <w:r>
              <w:rPr>
                <w:rFonts w:hint="eastAsia" w:ascii="Times New Roman" w:hAnsi="Times New Roman" w:cs="Times New Roman"/>
                <w:b/>
                <w:bCs/>
                <w:color w:val="000000" w:themeColor="text1"/>
                <w:sz w:val="24"/>
                <w:szCs w:val="22"/>
                <w:lang w:val="en-US" w:eastAsia="zh-CN"/>
                <w14:textFill>
                  <w14:solidFill>
                    <w14:schemeClr w14:val="tx1"/>
                  </w14:solidFill>
                </w14:textFill>
              </w:rPr>
              <w:t>防治措施</w:t>
            </w:r>
          </w:p>
          <w:p>
            <w:pPr>
              <w:adjustRightInd w:val="0"/>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施工期由于材料运输、机械碾压及施工人员践踏，使施工作业区周围土地的部分</w:t>
            </w:r>
            <w:r>
              <w:rPr>
                <w:rFonts w:hint="default" w:ascii="Times New Roman" w:hAnsi="Times New Roman" w:eastAsia="宋体" w:cs="Times New Roman"/>
                <w:color w:val="000000" w:themeColor="text1"/>
                <w14:textFill>
                  <w14:solidFill>
                    <w14:schemeClr w14:val="tx1"/>
                  </w14:solidFill>
                </w14:textFill>
              </w:rPr>
              <w:t>植被被破坏</w:t>
            </w:r>
            <w:r>
              <w:rPr>
                <w:rFonts w:hint="eastAsia" w:ascii="Times New Roman" w:hAnsi="Times New Roman" w:eastAsia="宋体" w:cs="Times New Roman"/>
                <w:color w:val="000000" w:themeColor="text1"/>
                <w:lang w:eastAsia="zh-CN"/>
                <w14:textFill>
                  <w14:solidFill>
                    <w14:schemeClr w14:val="tx1"/>
                  </w14:solidFill>
                </w14:textFill>
              </w:rPr>
              <w:t>，施工基础开挖、回填以及施工机械运输碾压对作业区原有地表土壤及周边植被的扰动，致使地表松动，导致风蚀，易引起水土流失。</w:t>
            </w:r>
          </w:p>
          <w:p>
            <w:pPr>
              <w:adjustRightInd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为减少项目施工对生态环境的影响，建议采取如下措施：</w:t>
            </w:r>
          </w:p>
          <w:p>
            <w:pPr>
              <w:adjustRightInd w:val="0"/>
              <w:ind w:firstLine="48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（1）明确施工用地范围，禁止施工人员、车辆进入非施工占地区域</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w:t>
            </w:r>
          </w:p>
          <w:p>
            <w:pPr>
              <w:adjustRightInd w:val="0"/>
              <w:ind w:left="0" w:leftChars="0" w:firstLine="0" w:firstLineChars="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（2）约束施工人员非法猎捕当地野生动物，禁止施工人员捕食鸟类、兽类；</w:t>
            </w:r>
          </w:p>
          <w:p>
            <w:pPr>
              <w:adjustRightInd w:val="0"/>
              <w:ind w:left="0" w:leftChars="0" w:firstLine="0" w:firstLineChars="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（3）加强对施工人员的环保教育；</w:t>
            </w:r>
          </w:p>
          <w:p>
            <w:pPr>
              <w:adjustRightInd w:val="0"/>
              <w:ind w:left="0" w:leftChars="0" w:firstLine="480" w:firstLineChars="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（4）施工结束后对</w:t>
            </w:r>
            <w:r>
              <w:rPr>
                <w:rFonts w:hint="eastAsia" w:ascii="Times New Roman" w:hAnsi="Times New Roman" w:eastAsia="宋体" w:cs="Times New Roman"/>
                <w:color w:val="000000" w:themeColor="text1"/>
                <w:lang w:val="en-US" w:eastAsia="zh-CN"/>
                <w14:textFill>
                  <w14:solidFill>
                    <w14:schemeClr w14:val="tx1"/>
                  </w14:solidFill>
                </w14:textFill>
              </w:rPr>
              <w:t>项目区及周边</w:t>
            </w:r>
            <w:r>
              <w:rPr>
                <w:rFonts w:hint="eastAsia" w:ascii="Times New Roman" w:hAnsi="Times New Roman" w:eastAsia="宋体" w:cs="Times New Roman"/>
                <w:color w:val="000000" w:themeColor="text1"/>
                <w14:textFill>
                  <w14:solidFill>
                    <w14:schemeClr w14:val="tx1"/>
                  </w14:solidFill>
                </w14:textFill>
              </w:rPr>
              <w:t>扰动地面采取场地平整措施。</w:t>
            </w:r>
          </w:p>
          <w:p>
            <w:pPr>
              <w:autoSpaceDE w:val="0"/>
              <w:ind w:firstLine="0" w:firstLineChars="0"/>
              <w:textAlignment w:val="baseline"/>
              <w:rPr>
                <w:rFonts w:hint="eastAsia" w:eastAsia="宋体"/>
                <w:b/>
                <w:color w:val="000000" w:themeColor="text1"/>
                <w:kern w:val="0"/>
                <w:lang w:val="en-US" w:eastAsia="zh-CN"/>
                <w14:textFill>
                  <w14:solidFill>
                    <w14:schemeClr w14:val="tx1"/>
                  </w14:solidFill>
                </w14:textFill>
              </w:rPr>
            </w:pPr>
            <w:r>
              <w:rPr>
                <w:b/>
                <w:color w:val="000000" w:themeColor="text1"/>
                <w:kern w:val="0"/>
                <w:lang w:bidi="ar"/>
                <w14:textFill>
                  <w14:solidFill>
                    <w14:schemeClr w14:val="tx1"/>
                  </w14:solidFill>
                </w14:textFill>
              </w:rPr>
              <w:t>6、防沙治沙</w:t>
            </w:r>
            <w:r>
              <w:rPr>
                <w:rFonts w:hint="eastAsia"/>
                <w:b/>
                <w:color w:val="000000" w:themeColor="text1"/>
                <w:kern w:val="0"/>
                <w:lang w:val="en-US" w:eastAsia="zh-CN" w:bidi="ar"/>
                <w14:textFill>
                  <w14:solidFill>
                    <w14:schemeClr w14:val="tx1"/>
                  </w14:solidFill>
                </w14:textFill>
              </w:rPr>
              <w:t>措施</w:t>
            </w:r>
          </w:p>
          <w:p>
            <w:pPr>
              <w:adjustRightInd w:val="0"/>
              <w:ind w:left="0" w:leftChars="0" w:firstLine="480" w:firstLineChars="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在施工过程中，不得随意碾压项目区内其他防风固沙植被，加强水土保持工作，减少水土流失，渣土堆场采用围挡及防尘网；施工过程中，尽可能在植被覆盖度高的地段采取人工开挖，局部降低作业带宽度，减少对植被的破坏；植被覆盖度高的区域，采取分层开挖、分层回填措施，避免破坏区域土壤肥力；施工结束后，及时采取播撒草籽等措施，恢复原地貌；工程措施、植被措施及其他措施要求在项目建设投入运行之前完成，严禁防沙</w:t>
            </w:r>
            <w:r>
              <w:rPr>
                <w:rFonts w:hint="eastAsia" w:ascii="Times New Roman" w:hAnsi="Times New Roman" w:eastAsia="宋体" w:cs="Times New Roman"/>
                <w:color w:val="000000" w:themeColor="text1"/>
                <w:lang w:eastAsia="zh-CN"/>
                <w14:textFill>
                  <w14:solidFill>
                    <w14:schemeClr w14:val="tx1"/>
                  </w14:solidFill>
                </w14:textFill>
              </w:rPr>
              <w:t>治沙措施未完成即投入运行。</w:t>
            </w:r>
          </w:p>
          <w:p>
            <w:pPr>
              <w:adjustRightInd w:val="0"/>
              <w:ind w:left="0" w:leftChars="0" w:firstLine="480" w:firstLineChars="0"/>
              <w:rPr>
                <w:rFonts w:hint="eastAsia" w:ascii="Times New Roman" w:hAnsi="Times New Roman" w:eastAsia="宋体" w:cs="Times New Roman"/>
                <w:color w:val="000000" w:themeColor="text1"/>
                <w:lang w:eastAsia="zh-CN"/>
                <w14:textFill>
                  <w14:solidFill>
                    <w14:schemeClr w14:val="tx1"/>
                  </w14:solidFill>
                </w14:textFill>
              </w:rPr>
            </w:pPr>
          </w:p>
          <w:p>
            <w:pPr>
              <w:adjustRightInd w:val="0"/>
              <w:ind w:left="0" w:leftChars="0" w:firstLine="480" w:firstLineChars="0"/>
              <w:rPr>
                <w:rFonts w:hint="eastAsia" w:ascii="Times New Roman" w:hAnsi="Times New Roman" w:eastAsia="宋体" w:cs="Times New Roman"/>
                <w:color w:val="000000" w:themeColor="text1"/>
                <w:lang w:eastAsia="zh-CN"/>
                <w14:textFill>
                  <w14:solidFill>
                    <w14:schemeClr w14:val="tx1"/>
                  </w14:solidFill>
                </w14:textFill>
              </w:rPr>
            </w:pPr>
          </w:p>
          <w:p>
            <w:pPr>
              <w:adjustRightInd w:val="0"/>
              <w:ind w:left="0" w:leftChars="0" w:firstLine="480" w:firstLineChars="0"/>
              <w:rPr>
                <w:rFonts w:hint="eastAsia" w:ascii="Times New Roman" w:hAnsi="Times New Roman" w:eastAsia="宋体" w:cs="Times New Roman"/>
                <w:color w:val="000000" w:themeColor="text1"/>
                <w:lang w:eastAsia="zh-CN"/>
                <w14:textFill>
                  <w14:solidFill>
                    <w14:schemeClr w14:val="tx1"/>
                  </w14:solidFill>
                </w14:textFill>
              </w:rPr>
            </w:pPr>
          </w:p>
          <w:p>
            <w:pPr>
              <w:adjustRightInd w:val="0"/>
              <w:ind w:left="0" w:leftChars="0" w:firstLine="480" w:firstLineChars="0"/>
              <w:rPr>
                <w:rFonts w:hint="eastAsia" w:ascii="Times New Roman" w:hAnsi="Times New Roman" w:eastAsia="宋体" w:cs="Times New Roman"/>
                <w:color w:val="000000" w:themeColor="text1"/>
                <w:lang w:eastAsia="zh-CN"/>
                <w14:textFill>
                  <w14:solidFill>
                    <w14:schemeClr w14:val="tx1"/>
                  </w14:solidFill>
                </w14:textFill>
              </w:rPr>
            </w:pPr>
          </w:p>
          <w:p>
            <w:pPr>
              <w:adjustRightInd w:val="0"/>
              <w:ind w:left="0" w:leftChars="0" w:firstLine="480" w:firstLineChars="0"/>
              <w:rPr>
                <w:rFonts w:hint="eastAsia" w:ascii="Times New Roman" w:hAnsi="Times New Roman" w:eastAsia="宋体" w:cs="Times New Roman"/>
                <w:color w:val="000000" w:themeColor="text1"/>
                <w:lang w:eastAsia="zh-CN"/>
                <w14:textFill>
                  <w14:solidFill>
                    <w14:schemeClr w14:val="tx1"/>
                  </w14:solidFill>
                </w14:textFill>
              </w:rPr>
            </w:pPr>
          </w:p>
          <w:p>
            <w:pPr>
              <w:adjustRightInd w:val="0"/>
              <w:ind w:left="0" w:leftChars="0" w:firstLine="480" w:firstLineChars="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tcBorders>
              <w:tl2br w:val="nil"/>
              <w:tr2bl w:val="nil"/>
            </w:tcBorders>
            <w:tcMar>
              <w:left w:w="28" w:type="dxa"/>
              <w:right w:w="28" w:type="dxa"/>
            </w:tcMar>
            <w:vAlign w:val="center"/>
          </w:tcPr>
          <w:p>
            <w:pPr>
              <w:pStyle w:val="51"/>
              <w:rPr>
                <w:color w:val="000000" w:themeColor="text1"/>
                <w14:textFill>
                  <w14:solidFill>
                    <w14:schemeClr w14:val="tx1"/>
                  </w14:solidFill>
                </w14:textFill>
              </w:rPr>
            </w:pPr>
            <w:r>
              <w:rPr>
                <w:color w:val="000000" w:themeColor="text1"/>
                <w14:textFill>
                  <w14:solidFill>
                    <w14:schemeClr w14:val="tx1"/>
                  </w14:solidFill>
                </w14:textFill>
              </w:rPr>
              <w:t>运营</w:t>
            </w:r>
          </w:p>
          <w:p>
            <w:pPr>
              <w:pStyle w:val="51"/>
              <w:rPr>
                <w:color w:val="000000" w:themeColor="text1"/>
                <w14:textFill>
                  <w14:solidFill>
                    <w14:schemeClr w14:val="tx1"/>
                  </w14:solidFill>
                </w14:textFill>
              </w:rPr>
            </w:pPr>
            <w:r>
              <w:rPr>
                <w:color w:val="000000" w:themeColor="text1"/>
                <w14:textFill>
                  <w14:solidFill>
                    <w14:schemeClr w14:val="tx1"/>
                  </w14:solidFill>
                </w14:textFill>
              </w:rPr>
              <w:t>期环</w:t>
            </w:r>
          </w:p>
          <w:p>
            <w:pPr>
              <w:pStyle w:val="51"/>
              <w:rPr>
                <w:color w:val="000000" w:themeColor="text1"/>
                <w14:textFill>
                  <w14:solidFill>
                    <w14:schemeClr w14:val="tx1"/>
                  </w14:solidFill>
                </w14:textFill>
              </w:rPr>
            </w:pPr>
            <w:r>
              <w:rPr>
                <w:color w:val="000000" w:themeColor="text1"/>
                <w14:textFill>
                  <w14:solidFill>
                    <w14:schemeClr w14:val="tx1"/>
                  </w14:solidFill>
                </w14:textFill>
              </w:rPr>
              <w:t>境影</w:t>
            </w:r>
          </w:p>
          <w:p>
            <w:pPr>
              <w:pStyle w:val="51"/>
              <w:rPr>
                <w:color w:val="000000" w:themeColor="text1"/>
                <w14:textFill>
                  <w14:solidFill>
                    <w14:schemeClr w14:val="tx1"/>
                  </w14:solidFill>
                </w14:textFill>
              </w:rPr>
            </w:pPr>
            <w:r>
              <w:rPr>
                <w:color w:val="000000" w:themeColor="text1"/>
                <w14:textFill>
                  <w14:solidFill>
                    <w14:schemeClr w14:val="tx1"/>
                  </w14:solidFill>
                </w14:textFill>
              </w:rPr>
              <w:t>响和</w:t>
            </w:r>
          </w:p>
          <w:p>
            <w:pPr>
              <w:pStyle w:val="51"/>
              <w:rPr>
                <w:color w:val="000000" w:themeColor="text1"/>
                <w14:textFill>
                  <w14:solidFill>
                    <w14:schemeClr w14:val="tx1"/>
                  </w14:solidFill>
                </w14:textFill>
              </w:rPr>
            </w:pPr>
            <w:r>
              <w:rPr>
                <w:color w:val="000000" w:themeColor="text1"/>
                <w14:textFill>
                  <w14:solidFill>
                    <w14:schemeClr w14:val="tx1"/>
                  </w14:solidFill>
                </w14:textFill>
              </w:rPr>
              <w:t>保护</w:t>
            </w:r>
          </w:p>
          <w:p>
            <w:pPr>
              <w:pStyle w:val="51"/>
              <w:rPr>
                <w:color w:val="000000" w:themeColor="text1"/>
                <w14:textFill>
                  <w14:solidFill>
                    <w14:schemeClr w14:val="tx1"/>
                  </w14:solidFill>
                </w14:textFill>
              </w:rPr>
            </w:pPr>
            <w:r>
              <w:rPr>
                <w:color w:val="000000" w:themeColor="text1"/>
                <w14:textFill>
                  <w14:solidFill>
                    <w14:schemeClr w14:val="tx1"/>
                  </w14:solidFill>
                </w14:textFill>
              </w:rPr>
              <w:t>措施</w:t>
            </w:r>
          </w:p>
        </w:tc>
        <w:tc>
          <w:tcPr>
            <w:tcW w:w="8689" w:type="dxa"/>
            <w:tcBorders>
              <w:tl2br w:val="nil"/>
              <w:tr2bl w:val="nil"/>
            </w:tcBorders>
            <w:vAlign w:val="center"/>
          </w:tcPr>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w:t>
            </w:r>
            <w:r>
              <w:rPr>
                <w:b/>
                <w:bCs/>
                <w:color w:val="000000" w:themeColor="text1"/>
                <w:kern w:val="0"/>
                <w14:textFill>
                  <w14:solidFill>
                    <w14:schemeClr w14:val="tx1"/>
                  </w14:solidFill>
                </w14:textFill>
              </w:rPr>
              <w:t>大气环境影响及保护措施</w:t>
            </w:r>
          </w:p>
          <w:p>
            <w:pPr>
              <w:widowControl/>
              <w:ind w:firstLine="0" w:firstLineChars="0"/>
              <w:rPr>
                <w:color w:val="000000" w:themeColor="text1"/>
                <w14:textFill>
                  <w14:solidFill>
                    <w14:schemeClr w14:val="tx1"/>
                  </w14:solidFill>
                </w14:textFill>
              </w:rPr>
            </w:pPr>
            <w:r>
              <w:rPr>
                <w:b/>
                <w:bCs/>
                <w:color w:val="000000" w:themeColor="text1"/>
                <w14:textFill>
                  <w14:solidFill>
                    <w14:schemeClr w14:val="tx1"/>
                  </w14:solidFill>
                </w14:textFill>
              </w:rPr>
              <w:t>1.1污染源分析及措施可行性</w:t>
            </w:r>
          </w:p>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本项目大气污染物主要为运输道路扬尘、堆场颗粒物、仓筒粉尘、搅拌粉尘及食堂油烟。</w:t>
            </w:r>
          </w:p>
          <w:p>
            <w:pPr>
              <w:pStyle w:val="60"/>
              <w:adjustRightInd/>
              <w:snapToGrid/>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w:t>
            </w:r>
            <w:r>
              <w:rPr>
                <w:bCs/>
                <w:color w:val="000000" w:themeColor="text1"/>
                <w:kern w:val="0"/>
                <w:szCs w:val="22"/>
                <w14:textFill>
                  <w14:solidFill>
                    <w14:schemeClr w14:val="tx1"/>
                  </w14:solidFill>
                </w14:textFill>
              </w:rPr>
              <w:t>道路运输扬尘</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工程外购原材料水泥、石子和砂子等均采用汽车运输。汽车运输时由于碾压卷带产生的扬尘对道路两侧一定范围内会造成污染。扬尘量的大小与车流量、道路状况、气候条件、汽车行驶速度等均有关系。本项目道路运输扬尘采用上海港环境保护中心和武汉水运工程学院提出的经验公式进行估算。具体公式为：</w:t>
            </w:r>
          </w:p>
          <w:p>
            <w:pPr>
              <w:overflowPunct w:val="0"/>
              <w:ind w:firstLine="1920" w:firstLineChars="80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object>
                <v:shape id="_x0000_i1027" o:spt="75" type="#_x0000_t75" style="height:29.55pt;width:219pt;" o:ole="t" filled="f" coordsize="21600,21600">
                  <v:path/>
                  <v:fill on="f" focussize="0,0"/>
                  <v:stroke/>
                  <v:imagedata r:id="rId26" o:title=""/>
                  <o:lock v:ext="edit" aspectratio="t"/>
                  <w10:wrap type="none"/>
                  <w10:anchorlock/>
                </v:shape>
                <o:OLEObject Type="Embed" ProgID="Equation.3" ShapeID="_x0000_i1027" DrawAspect="Content" ObjectID="_1468075727" r:id="rId25">
                  <o:LockedField>false</o:LockedField>
                </o:OLEObject>
              </w:object>
            </w:r>
          </w:p>
          <w:p>
            <w:pPr>
              <w:overflowPunct w:val="0"/>
              <w:ind w:firstLine="960" w:firstLineChars="40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式中：Q—汽车行驶的起尘量（kg/辆）；</w:t>
            </w:r>
          </w:p>
          <w:p>
            <w:pPr>
              <w:overflowPunct w:val="0"/>
              <w:ind w:firstLine="1680" w:firstLineChars="70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V—汽车行驶速度（km/h），本项目取20km/h；</w:t>
            </w:r>
          </w:p>
          <w:p>
            <w:pPr>
              <w:overflowPunct w:val="0"/>
              <w:ind w:firstLine="1680" w:firstLineChars="70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M—汽车载重量（t），本项目取20t；</w:t>
            </w:r>
          </w:p>
          <w:p>
            <w:pPr>
              <w:overflowPunct w:val="0"/>
              <w:ind w:firstLine="1680" w:firstLineChars="70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P—道路表面物料量（kg/m</w:t>
            </w:r>
            <w:r>
              <w:rPr>
                <w:bCs/>
                <w:color w:val="000000" w:themeColor="text1"/>
                <w:kern w:val="0"/>
                <w:szCs w:val="22"/>
                <w:vertAlign w:val="superscript"/>
                <w14:textFill>
                  <w14:solidFill>
                    <w14:schemeClr w14:val="tx1"/>
                  </w14:solidFill>
                </w14:textFill>
              </w:rPr>
              <w:t>2</w:t>
            </w:r>
            <w:r>
              <w:rPr>
                <w:bCs/>
                <w:color w:val="000000" w:themeColor="text1"/>
                <w:kern w:val="0"/>
                <w:szCs w:val="22"/>
                <w14:textFill>
                  <w14:solidFill>
                    <w14:schemeClr w14:val="tx1"/>
                  </w14:solidFill>
                </w14:textFill>
              </w:rPr>
              <w:t>），本项目取0.1kg/m</w:t>
            </w:r>
            <w:r>
              <w:rPr>
                <w:bCs/>
                <w:color w:val="000000" w:themeColor="text1"/>
                <w:kern w:val="0"/>
                <w:szCs w:val="22"/>
                <w:vertAlign w:val="superscript"/>
                <w14:textFill>
                  <w14:solidFill>
                    <w14:schemeClr w14:val="tx1"/>
                  </w14:solidFill>
                </w14:textFill>
              </w:rPr>
              <w:t>2</w:t>
            </w:r>
            <w:r>
              <w:rPr>
                <w:bCs/>
                <w:color w:val="000000" w:themeColor="text1"/>
                <w:kern w:val="0"/>
                <w:szCs w:val="22"/>
                <w14:textFill>
                  <w14:solidFill>
                    <w14:schemeClr w14:val="tx1"/>
                  </w14:solidFill>
                </w14:textFill>
              </w:rPr>
              <w:t>；</w:t>
            </w:r>
          </w:p>
          <w:p>
            <w:pPr>
              <w:overflowPunct w:val="0"/>
              <w:ind w:firstLine="1680" w:firstLineChars="70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L—道路长度（km），本项目取0.1km。</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通过计算，本项目道路运输扬尘产生量为0.018kg/辆。</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本项目物料运输量为1522500t/a，每辆汽车的载重量为20t，年运输次数为76125次，因此本项目道路运输扬尘产生量约为1.37t/a，0.714kg/h。</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降低道路扬尘最好的办法就是定期对路面进行洒水，经查阅相关资料，运输道路采取了地面硬化措施，并定时洒水降尘，运输扬尘产生量可减少90%左右。因此，本项目通过定期对运输道路采取洒水降尘措施后，道路运输扬尘排放量约为0.137t/a，0.071kg/h。</w:t>
            </w:r>
          </w:p>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（2）仓筒粉尘</w:t>
            </w:r>
          </w:p>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本项目水泥、矿粉及粉煤灰均采用粉料筒仓储存，厂区总共有</w:t>
            </w:r>
            <w:r>
              <w:rPr>
                <w:color w:val="000000" w:themeColor="text1"/>
                <w14:textFill>
                  <w14:solidFill>
                    <w14:schemeClr w14:val="tx1"/>
                  </w14:solidFill>
                </w14:textFill>
              </w:rPr>
              <w:t>8</w:t>
            </w:r>
            <w:r>
              <w:rPr>
                <w:bCs/>
                <w:color w:val="000000" w:themeColor="text1"/>
                <w:kern w:val="0"/>
                <w:szCs w:val="22"/>
                <w14:textFill>
                  <w14:solidFill>
                    <w14:schemeClr w14:val="tx1"/>
                  </w14:solidFill>
                </w14:textFill>
              </w:rPr>
              <w:t xml:space="preserve">个筒仓，分别为4个水泥仓筒，2个粉煤灰筒仓，2个矿粉筒仓。 </w:t>
            </w:r>
          </w:p>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项目水泥、矿粉和粉煤灰运输车通过气动压力方式将粉料压入粉料仓内，在水泥、矿粉和粉煤灰的罐装过程中，由于通过管道进入筒仓时进料口在筒仓下方，罐装车通过压力将水泥、矿粉和粉煤灰压入筒仓，此时粉尘经滤筒式除尘器处理后会随着筒仓里面的空气从筒仓顶部的排气孔排出。</w:t>
            </w:r>
          </w:p>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根据《排放源统计调查产排污核算方法和系数手册》（生态环境部公告2021年 第24号）中“3021 水泥制品制造（含 3022 砼结构构件制造、3029 其他水泥类似制品制造）行业系数手册”行业系数表可知，物料输送储存工序废气量产污系数为22.0标立方米/吨-产品，颗粒物产污系数为0.12千克/吨-产品。</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表4-1  3021水泥制品制造（含3022砼结构构件、3029其他水泥类似制品制造）</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行业（续1）表</w:t>
            </w:r>
          </w:p>
          <w:tbl>
            <w:tblPr>
              <w:tblStyle w:val="30"/>
              <w:tblW w:w="85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2"/>
              <w:gridCol w:w="615"/>
              <w:gridCol w:w="828"/>
              <w:gridCol w:w="917"/>
              <w:gridCol w:w="1205"/>
              <w:gridCol w:w="801"/>
              <w:gridCol w:w="1188"/>
              <w:gridCol w:w="858"/>
              <w:gridCol w:w="576"/>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62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工段名称</w:t>
                  </w:r>
                </w:p>
              </w:tc>
              <w:tc>
                <w:tcPr>
                  <w:tcW w:w="61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产品名称</w:t>
                  </w:r>
                </w:p>
              </w:tc>
              <w:tc>
                <w:tcPr>
                  <w:tcW w:w="82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原料名称</w:t>
                  </w:r>
                </w:p>
              </w:tc>
              <w:tc>
                <w:tcPr>
                  <w:tcW w:w="91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工艺名称</w:t>
                  </w:r>
                </w:p>
              </w:tc>
              <w:tc>
                <w:tcPr>
                  <w:tcW w:w="120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规模等级</w:t>
                  </w:r>
                </w:p>
              </w:tc>
              <w:tc>
                <w:tcPr>
                  <w:tcW w:w="80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指标</w:t>
                  </w:r>
                </w:p>
              </w:tc>
              <w:tc>
                <w:tcPr>
                  <w:tcW w:w="118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单位</w:t>
                  </w:r>
                </w:p>
              </w:tc>
              <w:tc>
                <w:tcPr>
                  <w:tcW w:w="85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产污</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系数</w:t>
                  </w:r>
                </w:p>
              </w:tc>
              <w:tc>
                <w:tcPr>
                  <w:tcW w:w="57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末端治理</w:t>
                  </w:r>
                </w:p>
              </w:tc>
              <w:tc>
                <w:tcPr>
                  <w:tcW w:w="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去除效率（%）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622" w:type="dxa"/>
                  <w:vMerge w:val="restart"/>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物料</w:t>
                  </w:r>
                  <w:r>
                    <w:rPr>
                      <w:rFonts w:hint="eastAsia"/>
                      <w:color w:val="000000" w:themeColor="text1"/>
                      <w:sz w:val="21"/>
                      <w:szCs w:val="21"/>
                      <w:lang w:val="en-US" w:eastAsia="zh-CN"/>
                      <w14:textFill>
                        <w14:solidFill>
                          <w14:schemeClr w14:val="tx1"/>
                        </w14:solidFill>
                      </w14:textFill>
                    </w:rPr>
                    <w:t>输送</w:t>
                  </w:r>
                </w:p>
              </w:tc>
              <w:tc>
                <w:tcPr>
                  <w:tcW w:w="615" w:type="dxa"/>
                  <w:vMerge w:val="restart"/>
                  <w:tcBorders>
                    <w:tl2br w:val="nil"/>
                    <w:tr2bl w:val="nil"/>
                  </w:tcBorders>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混凝土制品</w:t>
                  </w:r>
                </w:p>
              </w:tc>
              <w:tc>
                <w:tcPr>
                  <w:tcW w:w="828" w:type="dxa"/>
                  <w:vMerge w:val="restart"/>
                  <w:tcBorders>
                    <w:tl2br w:val="nil"/>
                    <w:tr2bl w:val="nil"/>
                  </w:tcBorders>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水泥、砂子、石子</w:t>
                  </w:r>
                  <w:r>
                    <w:rPr>
                      <w:rFonts w:hint="eastAsia"/>
                      <w:color w:val="000000" w:themeColor="text1"/>
                      <w:sz w:val="21"/>
                      <w:szCs w:val="21"/>
                      <w:lang w:val="en-US" w:eastAsia="zh-CN"/>
                      <w14:textFill>
                        <w14:solidFill>
                          <w14:schemeClr w14:val="tx1"/>
                        </w14:solidFill>
                      </w14:textFill>
                    </w:rPr>
                    <w:t>等</w:t>
                  </w:r>
                </w:p>
              </w:tc>
              <w:tc>
                <w:tcPr>
                  <w:tcW w:w="917" w:type="dxa"/>
                  <w:vMerge w:val="restart"/>
                  <w:tcBorders>
                    <w:tl2br w:val="nil"/>
                    <w:tr2bl w:val="nil"/>
                  </w:tcBorders>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物料</w:t>
                  </w:r>
                  <w:r>
                    <w:rPr>
                      <w:rFonts w:hint="eastAsia"/>
                      <w:color w:val="000000" w:themeColor="text1"/>
                      <w:sz w:val="21"/>
                      <w:szCs w:val="21"/>
                      <w:lang w:val="en-US" w:eastAsia="zh-CN"/>
                      <w14:textFill>
                        <w14:solidFill>
                          <w14:schemeClr w14:val="tx1"/>
                        </w14:solidFill>
                      </w14:textFill>
                    </w:rPr>
                    <w:t>输送储存</w:t>
                  </w:r>
                </w:p>
              </w:tc>
              <w:tc>
                <w:tcPr>
                  <w:tcW w:w="1205"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所有规模</w:t>
                  </w:r>
                </w:p>
              </w:tc>
              <w:tc>
                <w:tcPr>
                  <w:tcW w:w="80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废气量</w:t>
                  </w:r>
                </w:p>
              </w:tc>
              <w:tc>
                <w:tcPr>
                  <w:tcW w:w="118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标立方米/</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吨-产品</w:t>
                  </w:r>
                </w:p>
              </w:tc>
              <w:tc>
                <w:tcPr>
                  <w:tcW w:w="858"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2</w:t>
                  </w:r>
                </w:p>
              </w:tc>
              <w:tc>
                <w:tcPr>
                  <w:tcW w:w="57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62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15"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28"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17"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205"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0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18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kg/吨-产品</w:t>
                  </w:r>
                </w:p>
              </w:tc>
              <w:tc>
                <w:tcPr>
                  <w:tcW w:w="858"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0.1</w:t>
                  </w:r>
                  <w:r>
                    <w:rPr>
                      <w:rFonts w:hint="eastAsia"/>
                      <w:color w:val="000000" w:themeColor="text1"/>
                      <w:sz w:val="21"/>
                      <w:szCs w:val="21"/>
                      <w:lang w:val="en-US" w:eastAsia="zh-CN"/>
                      <w14:textFill>
                        <w14:solidFill>
                          <w14:schemeClr w14:val="tx1"/>
                        </w14:solidFill>
                      </w14:textFill>
                    </w:rPr>
                    <w:t>2</w:t>
                  </w:r>
                </w:p>
              </w:tc>
              <w:tc>
                <w:tcPr>
                  <w:tcW w:w="57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袋式除尘</w:t>
                  </w:r>
                </w:p>
              </w:tc>
              <w:tc>
                <w:tcPr>
                  <w:tcW w:w="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99.7</w:t>
                  </w:r>
                </w:p>
              </w:tc>
            </w:tr>
          </w:tbl>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w:t>
            </w:r>
            <w:r>
              <w:rPr>
                <w:color w:val="000000" w:themeColor="text1"/>
                <w:kern w:val="0"/>
                <w14:textFill>
                  <w14:solidFill>
                    <w14:schemeClr w14:val="tx1"/>
                  </w14:solidFill>
                </w14:textFill>
              </w:rPr>
              <w:t>年产70万m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的混凝土（166.6万吨）</w:t>
            </w:r>
            <w:r>
              <w:rPr>
                <w:bCs/>
                <w:color w:val="000000" w:themeColor="text1"/>
                <w:kern w:val="0"/>
                <w:szCs w:val="22"/>
                <w14:textFill>
                  <w14:solidFill>
                    <w14:schemeClr w14:val="tx1"/>
                  </w14:solidFill>
                </w14:textFill>
              </w:rPr>
              <w:t>，则粉料筒仓粉尘产生量约为199.92t/a，104.13kg/h。</w:t>
            </w:r>
            <w:r>
              <w:rPr>
                <w:snapToGrid w:val="0"/>
                <w:color w:val="000000" w:themeColor="text1"/>
                <w14:textFill>
                  <w14:solidFill>
                    <w14:schemeClr w14:val="tx1"/>
                  </w14:solidFill>
                </w14:textFill>
              </w:rPr>
              <w:t>本项目每个筒仓自带1套</w:t>
            </w:r>
            <w:r>
              <w:rPr>
                <w:color w:val="000000" w:themeColor="text1"/>
                <w:kern w:val="0"/>
                <w:lang w:bidi="ar"/>
                <w14:textFill>
                  <w14:solidFill>
                    <w14:schemeClr w14:val="tx1"/>
                  </w14:solidFill>
                </w14:textFill>
              </w:rPr>
              <w:t>滤筒式</w:t>
            </w:r>
            <w:r>
              <w:rPr>
                <w:snapToGrid w:val="0"/>
                <w:color w:val="000000" w:themeColor="text1"/>
                <w14:textFill>
                  <w14:solidFill>
                    <w14:schemeClr w14:val="tx1"/>
                  </w14:solidFill>
                </w14:textFill>
              </w:rPr>
              <w:t>除尘器（共8套，除尘效率为99.7%，每个仓顶除尘器风量为4000m</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/h），粉尘经各自顶部布袋除尘处理后经15m高排气筒（DA001</w:t>
            </w:r>
            <w:r>
              <w:rPr>
                <w:rFonts w:hint="eastAsia"/>
                <w:snapToGrid w:val="0"/>
                <w:color w:val="000000" w:themeColor="text1"/>
                <w:lang w:val="en-US" w:eastAsia="zh-CN"/>
                <w14:textFill>
                  <w14:solidFill>
                    <w14:schemeClr w14:val="tx1"/>
                  </w14:solidFill>
                </w14:textFill>
              </w:rPr>
              <w:t>~DA008</w:t>
            </w:r>
            <w:r>
              <w:rPr>
                <w:snapToGrid w:val="0"/>
                <w:color w:val="000000" w:themeColor="text1"/>
                <w14:textFill>
                  <w14:solidFill>
                    <w14:schemeClr w14:val="tx1"/>
                  </w14:solidFill>
                </w14:textFill>
              </w:rPr>
              <w:t>）排放。最终，本项目筒仓粉尘有组织排放量为0.6t/a，0.313kg/h，排放浓度为9.77mg/m</w:t>
            </w:r>
            <w:r>
              <w:rPr>
                <w:snapToGrid w:val="0"/>
                <w:color w:val="000000" w:themeColor="text1"/>
                <w:vertAlign w:val="superscript"/>
                <w14:textFill>
                  <w14:solidFill>
                    <w14:schemeClr w14:val="tx1"/>
                  </w14:solidFill>
                </w14:textFill>
              </w:rPr>
              <w:t>3</w:t>
            </w:r>
            <w:r>
              <w:rPr>
                <w:rFonts w:hint="eastAsia"/>
                <w:snapToGrid w:val="0"/>
                <w:color w:val="000000" w:themeColor="text1"/>
                <w:lang w:eastAsia="zh-CN"/>
                <w14:textFill>
                  <w14:solidFill>
                    <w14:schemeClr w14:val="tx1"/>
                  </w14:solidFill>
                </w14:textFill>
              </w:rPr>
              <w:t>。（</w:t>
            </w:r>
            <w:r>
              <w:rPr>
                <w:rFonts w:hint="eastAsia"/>
                <w:snapToGrid w:val="0"/>
                <w:color w:val="000000" w:themeColor="text1"/>
                <w:lang w:val="en-US" w:eastAsia="zh-CN"/>
                <w14:textFill>
                  <w14:solidFill>
                    <w14:schemeClr w14:val="tx1"/>
                  </w14:solidFill>
                </w14:textFill>
              </w:rPr>
              <w:t>平均水平：每个</w:t>
            </w:r>
            <w:r>
              <w:rPr>
                <w:snapToGrid w:val="0"/>
                <w:color w:val="000000" w:themeColor="text1"/>
                <w14:textFill>
                  <w14:solidFill>
                    <w14:schemeClr w14:val="tx1"/>
                  </w14:solidFill>
                </w14:textFill>
              </w:rPr>
              <w:t>筒仓粉尘有组织排放量为0.</w:t>
            </w:r>
            <w:r>
              <w:rPr>
                <w:rFonts w:hint="eastAsia"/>
                <w:snapToGrid w:val="0"/>
                <w:color w:val="000000" w:themeColor="text1"/>
                <w:lang w:val="en-US" w:eastAsia="zh-CN"/>
                <w14:textFill>
                  <w14:solidFill>
                    <w14:schemeClr w14:val="tx1"/>
                  </w14:solidFill>
                </w14:textFill>
              </w:rPr>
              <w:t>075</w:t>
            </w:r>
            <w:r>
              <w:rPr>
                <w:snapToGrid w:val="0"/>
                <w:color w:val="000000" w:themeColor="text1"/>
                <w14:textFill>
                  <w14:solidFill>
                    <w14:schemeClr w14:val="tx1"/>
                  </w14:solidFill>
                </w14:textFill>
              </w:rPr>
              <w:t>t/a，0.</w:t>
            </w:r>
            <w:r>
              <w:rPr>
                <w:rFonts w:hint="eastAsia"/>
                <w:snapToGrid w:val="0"/>
                <w:color w:val="000000" w:themeColor="text1"/>
                <w:lang w:val="en-US" w:eastAsia="zh-CN"/>
                <w14:textFill>
                  <w14:solidFill>
                    <w14:schemeClr w14:val="tx1"/>
                  </w14:solidFill>
                </w14:textFill>
              </w:rPr>
              <w:t>039</w:t>
            </w:r>
            <w:r>
              <w:rPr>
                <w:snapToGrid w:val="0"/>
                <w:color w:val="000000" w:themeColor="text1"/>
                <w14:textFill>
                  <w14:solidFill>
                    <w14:schemeClr w14:val="tx1"/>
                  </w14:solidFill>
                </w14:textFill>
              </w:rPr>
              <w:t>kg/h，排放浓度为</w:t>
            </w:r>
            <w:r>
              <w:rPr>
                <w:rFonts w:hint="eastAsia"/>
                <w:snapToGrid w:val="0"/>
                <w:color w:val="000000" w:themeColor="text1"/>
                <w:lang w:val="en-US" w:eastAsia="zh-CN"/>
                <w14:textFill>
                  <w14:solidFill>
                    <w14:schemeClr w14:val="tx1"/>
                  </w14:solidFill>
                </w14:textFill>
              </w:rPr>
              <w:t>1.22</w:t>
            </w:r>
            <w:r>
              <w:rPr>
                <w:snapToGrid w:val="0"/>
                <w:color w:val="000000" w:themeColor="text1"/>
                <w14:textFill>
                  <w14:solidFill>
                    <w14:schemeClr w14:val="tx1"/>
                  </w14:solidFill>
                </w14:textFill>
              </w:rPr>
              <w:t>mg/m</w:t>
            </w:r>
            <w:r>
              <w:rPr>
                <w:snapToGrid w:val="0"/>
                <w:color w:val="000000" w:themeColor="text1"/>
                <w:vertAlign w:val="superscript"/>
                <w14:textFill>
                  <w14:solidFill>
                    <w14:schemeClr w14:val="tx1"/>
                  </w14:solidFill>
                </w14:textFill>
              </w:rPr>
              <w:t>3</w:t>
            </w:r>
            <w:r>
              <w:rPr>
                <w:rFonts w:hint="eastAsia"/>
                <w:snapToGrid w:val="0"/>
                <w:color w:val="000000" w:themeColor="text1"/>
                <w:lang w:eastAsia="zh-CN"/>
                <w14:textFill>
                  <w14:solidFill>
                    <w14:schemeClr w14:val="tx1"/>
                  </w14:solidFill>
                </w14:textFill>
              </w:rPr>
              <w:t>）</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（3）堆存颗粒物</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根据《排放源统计调查产排污核算方法和系数手册》（生态环节部公告2021年 第24号）中“附表2 工业源固体物料堆场颗粒物核算系数手册”，工业企业固体物料堆存颗粒物包括装卸场尘和风蚀扬尘，颗粒物产生量核算公式如下：</w:t>
            </w:r>
          </w:p>
          <w:p>
            <w:pPr>
              <w:pStyle w:val="37"/>
              <w:ind w:firstLine="0" w:firstLineChars="0"/>
              <w:jc w:val="center"/>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drawing>
                <wp:inline distT="0" distB="0" distL="114300" distR="114300">
                  <wp:extent cx="5303520" cy="605790"/>
                  <wp:effectExtent l="0" t="0" r="11430" b="381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303520" cy="605790"/>
                          </a:xfrm>
                          <a:prstGeom prst="rect">
                            <a:avLst/>
                          </a:prstGeom>
                          <a:noFill/>
                          <a:ln>
                            <a:noFill/>
                          </a:ln>
                        </pic:spPr>
                      </pic:pic>
                    </a:graphicData>
                  </a:graphic>
                </wp:inline>
              </w:drawing>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式中：式中：P指颗粒物产生量（单位：吨）；</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ZCy指装卸扬尘产生量（单位：吨）；</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FCy指风蚀扬尘产生量（单位：吨）； </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Nc指年物料运载车次（单位：车），（取76125次） ；</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D 指单车平均运载量（单位：吨/车），（取20t）； </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(a/b)指装卸扬尘概化系数（单位：千克/吨），a指各省风速概化系数，取0.0011；</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b 指物料含水率概化系数，取0.0084；</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Ef指堆场风蚀扬尘概化系数，取0；</w:t>
            </w:r>
          </w:p>
          <w:p>
            <w:pPr>
              <w:overflowPunct w:val="0"/>
              <w:ind w:firstLine="480"/>
              <w:rPr>
                <w:color w:val="000000" w:themeColor="text1"/>
                <w14:textFill>
                  <w14:solidFill>
                    <w14:schemeClr w14:val="tx1"/>
                  </w14:solidFill>
                </w14:textFill>
              </w:rPr>
            </w:pPr>
            <w:r>
              <w:rPr>
                <w:color w:val="000000" w:themeColor="text1"/>
                <w14:textFill>
                  <w14:solidFill>
                    <w14:schemeClr w14:val="tx1"/>
                  </w14:solidFill>
                </w14:textFill>
              </w:rPr>
              <w:t>S 指堆场占地面积（单位：平方米），取600m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通过计算，本项目堆存颗粒物产生量为199.38t/a</w:t>
            </w:r>
            <w:r>
              <w:rPr>
                <w:snapToGrid w:val="0"/>
                <w:color w:val="000000" w:themeColor="text1"/>
                <w14:textFill>
                  <w14:solidFill>
                    <w14:schemeClr w14:val="tx1"/>
                  </w14:solidFill>
                </w14:textFill>
              </w:rPr>
              <w:t>，103.84kg/h</w:t>
            </w:r>
            <w:r>
              <w:rPr>
                <w:bCs/>
                <w:color w:val="000000" w:themeColor="text1"/>
                <w:kern w:val="0"/>
                <w:szCs w:val="22"/>
                <w14:textFill>
                  <w14:solidFill>
                    <w14:schemeClr w14:val="tx1"/>
                  </w14:solidFill>
                </w14:textFill>
              </w:rPr>
              <w:t>，本项目原料堆场位于厂区东侧，占地面积600m</w:t>
            </w:r>
            <w:r>
              <w:rPr>
                <w:bCs/>
                <w:color w:val="000000" w:themeColor="text1"/>
                <w:kern w:val="0"/>
                <w:szCs w:val="22"/>
                <w:vertAlign w:val="superscript"/>
                <w14:textFill>
                  <w14:solidFill>
                    <w14:schemeClr w14:val="tx1"/>
                  </w14:solidFill>
                </w14:textFill>
              </w:rPr>
              <w:t>2</w:t>
            </w:r>
            <w:r>
              <w:rPr>
                <w:bCs/>
                <w:color w:val="000000" w:themeColor="text1"/>
                <w:kern w:val="0"/>
                <w:szCs w:val="22"/>
                <w14:textFill>
                  <w14:solidFill>
                    <w14:schemeClr w14:val="tx1"/>
                  </w14:solidFill>
                </w14:textFill>
              </w:rPr>
              <w:t>，将通过采取洒水降尘、编织覆盖、半封闭式等措施</w:t>
            </w:r>
            <w:r>
              <w:rPr>
                <w:rFonts w:hint="eastAsia"/>
                <w:bCs/>
                <w:color w:val="000000" w:themeColor="text1"/>
                <w:kern w:val="0"/>
                <w:szCs w:val="22"/>
                <w:lang w:eastAsia="zh-CN"/>
                <w14:textFill>
                  <w14:solidFill>
                    <w14:schemeClr w14:val="tx1"/>
                  </w14:solidFill>
                </w14:textFill>
              </w:rPr>
              <w:t>（</w:t>
            </w:r>
            <w:r>
              <w:rPr>
                <w:rFonts w:hint="eastAsia"/>
                <w:bCs/>
                <w:color w:val="000000" w:themeColor="text1"/>
                <w:kern w:val="0"/>
                <w:szCs w:val="22"/>
                <w:lang w:val="en-US" w:eastAsia="zh-CN"/>
                <w14:textFill>
                  <w14:solidFill>
                    <w14:schemeClr w14:val="tx1"/>
                  </w14:solidFill>
                </w14:textFill>
              </w:rPr>
              <w:t>根据“附表2 工业源固体物料堆场颗粒物核算系数手册”中附录4和5，洒水控制粉尘效率为74%，编织覆盖的粉尘控制效率为86%，半敞开式粉尘控制效率为60%，经计算后，综合除尘效率取98.54%</w:t>
            </w:r>
            <w:r>
              <w:rPr>
                <w:rFonts w:hint="eastAsia"/>
                <w:bCs/>
                <w:color w:val="000000" w:themeColor="text1"/>
                <w:kern w:val="0"/>
                <w:szCs w:val="22"/>
                <w:lang w:eastAsia="zh-CN"/>
                <w14:textFill>
                  <w14:solidFill>
                    <w14:schemeClr w14:val="tx1"/>
                  </w14:solidFill>
                </w14:textFill>
              </w:rPr>
              <w:t>）</w:t>
            </w:r>
            <w:r>
              <w:rPr>
                <w:bCs/>
                <w:color w:val="000000" w:themeColor="text1"/>
                <w:kern w:val="0"/>
                <w:szCs w:val="22"/>
                <w14:textFill>
                  <w14:solidFill>
                    <w14:schemeClr w14:val="tx1"/>
                  </w14:solidFill>
                </w14:textFill>
              </w:rPr>
              <w:t>，有效控制粉尘污染，扬尘产生量可减少98.54%左右，因此，采取降尘措施后，堆存颗粒物排放量约为2.911t/a</w:t>
            </w:r>
            <w:r>
              <w:rPr>
                <w:snapToGrid w:val="0"/>
                <w:color w:val="000000" w:themeColor="text1"/>
                <w14:textFill>
                  <w14:solidFill>
                    <w14:schemeClr w14:val="tx1"/>
                  </w14:solidFill>
                </w14:textFill>
              </w:rPr>
              <w:t>，1.516kg/h。</w:t>
            </w:r>
          </w:p>
          <w:p>
            <w:pPr>
              <w:ind w:firstLine="480"/>
              <w:rPr>
                <w:color w:val="000000" w:themeColor="text1"/>
                <w14:textFill>
                  <w14:solidFill>
                    <w14:schemeClr w14:val="tx1"/>
                  </w14:solidFill>
                </w14:textFill>
              </w:rPr>
            </w:pPr>
            <w:r>
              <w:rPr>
                <w:bCs/>
                <w:color w:val="000000" w:themeColor="text1"/>
                <w:kern w:val="0"/>
                <w:szCs w:val="22"/>
                <w14:textFill>
                  <w14:solidFill>
                    <w14:schemeClr w14:val="tx1"/>
                  </w14:solidFill>
                </w14:textFill>
              </w:rPr>
              <w:t>（4）搅拌粉尘</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根据《排放源统计调查产排污核算方法和系数手册》（生态环境部公告2021年 第24号）“3021水泥制品制造（含3022砼结构构件制造、3029其他水泥类似制品制造）行业系数手册”，本项目年产70万m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的混凝土（166.6万吨），</w:t>
            </w:r>
            <w:r>
              <w:rPr>
                <w:color w:val="000000" w:themeColor="text1"/>
                <w:kern w:val="0"/>
                <w14:textFill>
                  <w14:solidFill>
                    <w14:schemeClr w14:val="tx1"/>
                  </w14:solidFill>
                </w14:textFill>
              </w:rPr>
              <w:t>执行3021水泥制品制造（含3022砼结构构件、3029其他水泥类似制品制造）行业（续1）中物料搅拌产污系数，废气量</w:t>
            </w:r>
            <w:r>
              <w:rPr>
                <w:color w:val="000000" w:themeColor="text1"/>
                <w14:textFill>
                  <w14:solidFill>
                    <w14:schemeClr w14:val="tx1"/>
                  </w14:solidFill>
                </w14:textFill>
              </w:rPr>
              <w:t>和颗粒物产污系数分别取25标立方米/吨-产品和0.13千克/吨-产品。</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 xml:space="preserve">  3021水泥制品制造（含3022砼结构构件、3029其他水泥类似制品制造）</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行业（续1）表</w:t>
            </w:r>
          </w:p>
          <w:tbl>
            <w:tblPr>
              <w:tblStyle w:val="30"/>
              <w:tblW w:w="85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2"/>
              <w:gridCol w:w="615"/>
              <w:gridCol w:w="828"/>
              <w:gridCol w:w="917"/>
              <w:gridCol w:w="1205"/>
              <w:gridCol w:w="801"/>
              <w:gridCol w:w="1188"/>
              <w:gridCol w:w="858"/>
              <w:gridCol w:w="576"/>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62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工段名称</w:t>
                  </w:r>
                </w:p>
              </w:tc>
              <w:tc>
                <w:tcPr>
                  <w:tcW w:w="61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产品名称</w:t>
                  </w:r>
                </w:p>
              </w:tc>
              <w:tc>
                <w:tcPr>
                  <w:tcW w:w="82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原料名称</w:t>
                  </w:r>
                </w:p>
              </w:tc>
              <w:tc>
                <w:tcPr>
                  <w:tcW w:w="91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工艺名称</w:t>
                  </w:r>
                </w:p>
              </w:tc>
              <w:tc>
                <w:tcPr>
                  <w:tcW w:w="120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规模等级</w:t>
                  </w:r>
                </w:p>
              </w:tc>
              <w:tc>
                <w:tcPr>
                  <w:tcW w:w="80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指标</w:t>
                  </w:r>
                </w:p>
              </w:tc>
              <w:tc>
                <w:tcPr>
                  <w:tcW w:w="118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单位</w:t>
                  </w:r>
                </w:p>
              </w:tc>
              <w:tc>
                <w:tcPr>
                  <w:tcW w:w="85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产污</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系数</w:t>
                  </w:r>
                </w:p>
              </w:tc>
              <w:tc>
                <w:tcPr>
                  <w:tcW w:w="57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末端治理</w:t>
                  </w:r>
                </w:p>
              </w:tc>
              <w:tc>
                <w:tcPr>
                  <w:tcW w:w="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去除效率（%）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62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物料搅拌</w:t>
                  </w:r>
                </w:p>
              </w:tc>
              <w:tc>
                <w:tcPr>
                  <w:tcW w:w="615"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混凝土制品</w:t>
                  </w:r>
                </w:p>
              </w:tc>
              <w:tc>
                <w:tcPr>
                  <w:tcW w:w="828"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水泥、砂子、石子等</w:t>
                  </w:r>
                </w:p>
              </w:tc>
              <w:tc>
                <w:tcPr>
                  <w:tcW w:w="917"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物料混合搅拌</w:t>
                  </w:r>
                </w:p>
              </w:tc>
              <w:tc>
                <w:tcPr>
                  <w:tcW w:w="1205"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所有规模</w:t>
                  </w:r>
                </w:p>
              </w:tc>
              <w:tc>
                <w:tcPr>
                  <w:tcW w:w="80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废气量</w:t>
                  </w:r>
                </w:p>
              </w:tc>
              <w:tc>
                <w:tcPr>
                  <w:tcW w:w="118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标立方米/</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吨-产品</w:t>
                  </w:r>
                </w:p>
              </w:tc>
              <w:tc>
                <w:tcPr>
                  <w:tcW w:w="85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57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62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615"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28"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17"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205"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0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18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kg/吨-产品</w:t>
                  </w:r>
                </w:p>
              </w:tc>
              <w:tc>
                <w:tcPr>
                  <w:tcW w:w="858"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0.13</w:t>
                  </w:r>
                </w:p>
              </w:tc>
              <w:tc>
                <w:tcPr>
                  <w:tcW w:w="57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袋式除尘</w:t>
                  </w:r>
                </w:p>
              </w:tc>
              <w:tc>
                <w:tcPr>
                  <w:tcW w:w="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99.7</w:t>
                  </w:r>
                </w:p>
              </w:tc>
            </w:tr>
          </w:tbl>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 xml:space="preserve">   本项目搅拌废气产生情况</w:t>
            </w:r>
          </w:p>
          <w:tbl>
            <w:tblPr>
              <w:tblStyle w:val="31"/>
              <w:tblW w:w="4992"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573"/>
              <w:gridCol w:w="2206"/>
              <w:gridCol w:w="1693"/>
              <w:gridCol w:w="1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工段名称</w:t>
                  </w:r>
                </w:p>
              </w:tc>
              <w:tc>
                <w:tcPr>
                  <w:tcW w:w="92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污染物名称</w:t>
                  </w:r>
                </w:p>
              </w:tc>
              <w:tc>
                <w:tcPr>
                  <w:tcW w:w="1303"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产污系数</w:t>
                  </w:r>
                </w:p>
              </w:tc>
              <w:tc>
                <w:tcPr>
                  <w:tcW w:w="10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w:t>
                  </w:r>
                </w:p>
              </w:tc>
              <w:tc>
                <w:tcPr>
                  <w:tcW w:w="1001"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64" w:type="pct"/>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物料搅拌</w:t>
                  </w:r>
                </w:p>
              </w:tc>
              <w:tc>
                <w:tcPr>
                  <w:tcW w:w="92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废气量</w:t>
                  </w:r>
                </w:p>
              </w:tc>
              <w:tc>
                <w:tcPr>
                  <w:tcW w:w="1303" w:type="pct"/>
                  <w:tcBorders>
                    <w:tl2br w:val="nil"/>
                    <w:tr2bl w:val="nil"/>
                  </w:tcBorders>
                  <w:vAlign w:val="center"/>
                </w:tcPr>
                <w:p>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25标立方米/吨-产品</w:t>
                  </w:r>
                </w:p>
              </w:tc>
              <w:tc>
                <w:tcPr>
                  <w:tcW w:w="10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4165万m</w:t>
                  </w:r>
                  <w:r>
                    <w:rPr>
                      <w:color w:val="000000" w:themeColor="text1"/>
                      <w:sz w:val="21"/>
                      <w:szCs w:val="21"/>
                      <w:vertAlign w:val="superscript"/>
                      <w14:textFill>
                        <w14:solidFill>
                          <w14:schemeClr w14:val="tx1"/>
                        </w14:solidFill>
                      </w14:textFill>
                    </w:rPr>
                    <w:t>3</w:t>
                  </w:r>
                </w:p>
              </w:tc>
              <w:tc>
                <w:tcPr>
                  <w:tcW w:w="1001"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64" w:type="pct"/>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29"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303" w:type="pct"/>
                  <w:tcBorders>
                    <w:tl2br w:val="nil"/>
                    <w:tr2bl w:val="nil"/>
                  </w:tcBorders>
                  <w:vAlign w:val="center"/>
                </w:tcPr>
                <w:p>
                  <w:pPr>
                    <w:tabs>
                      <w:tab w:val="left" w:pos="209"/>
                      <w:tab w:val="center" w:pos="1039"/>
                    </w:tabs>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t>0.13</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t>kg/吨-产品</w:t>
                  </w:r>
                </w:p>
              </w:tc>
              <w:tc>
                <w:tcPr>
                  <w:tcW w:w="10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216.58t/a</w:t>
                  </w:r>
                </w:p>
              </w:tc>
              <w:tc>
                <w:tcPr>
                  <w:tcW w:w="1001"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112.8kg/h</w:t>
                  </w:r>
                </w:p>
              </w:tc>
            </w:tr>
          </w:tbl>
          <w:p>
            <w:pPr>
              <w:ind w:firstLine="480"/>
              <w:rPr>
                <w:b/>
                <w:bCs/>
                <w:color w:val="000000" w:themeColor="text1"/>
                <w:sz w:val="21"/>
                <w:szCs w:val="21"/>
                <w14:textFill>
                  <w14:solidFill>
                    <w14:schemeClr w14:val="tx1"/>
                  </w14:solidFill>
                </w14:textFill>
              </w:rPr>
            </w:pPr>
            <w:r>
              <w:rPr>
                <w:color w:val="000000" w:themeColor="text1"/>
                <w14:textFill>
                  <w14:solidFill>
                    <w14:schemeClr w14:val="tx1"/>
                  </w14:solidFill>
                </w14:textFill>
              </w:rPr>
              <w:t>本项目搅拌楼设置1套脉冲布袋除尘器（除尘效率99.7%），经处理后的粉尘通过除尘器经15m排气筒（DA00</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）高空排放，则本项目搅拌废气排放情况如下：</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4</w:t>
            </w:r>
            <w:r>
              <w:rPr>
                <w:b/>
                <w:bCs/>
                <w:color w:val="000000" w:themeColor="text1"/>
                <w:sz w:val="21"/>
                <w:szCs w:val="21"/>
                <w14:textFill>
                  <w14:solidFill>
                    <w14:schemeClr w14:val="tx1"/>
                  </w14:solidFill>
                </w14:textFill>
              </w:rPr>
              <w:t xml:space="preserve">  本项目搅拌废气排放情况</w:t>
            </w:r>
          </w:p>
          <w:tbl>
            <w:tblPr>
              <w:tblStyle w:val="31"/>
              <w:tblW w:w="849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34"/>
              <w:gridCol w:w="926"/>
              <w:gridCol w:w="1017"/>
              <w:gridCol w:w="1120"/>
              <w:gridCol w:w="1012"/>
              <w:gridCol w:w="834"/>
              <w:gridCol w:w="977"/>
              <w:gridCol w:w="1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6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工段</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8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9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101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产生速率</w:t>
                  </w:r>
                  <w:r>
                    <w:rPr>
                      <w:color w:val="000000" w:themeColor="text1"/>
                      <w:kern w:val="0"/>
                      <w:sz w:val="21"/>
                      <w:szCs w:val="21"/>
                      <w14:textFill>
                        <w14:solidFill>
                          <w14:schemeClr w14:val="tx1"/>
                        </w14:solidFill>
                      </w14:textFill>
                    </w:rPr>
                    <w:t>（kg/h）</w:t>
                  </w:r>
                </w:p>
              </w:tc>
              <w:tc>
                <w:tcPr>
                  <w:tcW w:w="1120"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产生浓度</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01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处理效率（%）</w:t>
                  </w:r>
                </w:p>
              </w:tc>
              <w:tc>
                <w:tcPr>
                  <w:tcW w:w="8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排放量</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97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排放速率</w:t>
                  </w:r>
                  <w:r>
                    <w:rPr>
                      <w:color w:val="000000" w:themeColor="text1"/>
                      <w:kern w:val="0"/>
                      <w:sz w:val="21"/>
                      <w:szCs w:val="21"/>
                      <w14:textFill>
                        <w14:solidFill>
                          <w14:schemeClr w14:val="tx1"/>
                        </w14:solidFill>
                      </w14:textFill>
                    </w:rPr>
                    <w:t>（kg/h）</w:t>
                  </w:r>
                </w:p>
              </w:tc>
              <w:tc>
                <w:tcPr>
                  <w:tcW w:w="110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排放浓度</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66"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物料</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w:t>
                  </w:r>
                </w:p>
              </w:tc>
              <w:tc>
                <w:tcPr>
                  <w:tcW w:w="8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废气量</w:t>
                  </w:r>
                </w:p>
              </w:tc>
              <w:tc>
                <w:tcPr>
                  <w:tcW w:w="9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4165万m</w:t>
                  </w:r>
                  <w:r>
                    <w:rPr>
                      <w:color w:val="000000" w:themeColor="text1"/>
                      <w:sz w:val="21"/>
                      <w:szCs w:val="21"/>
                      <w:vertAlign w:val="superscript"/>
                      <w14:textFill>
                        <w14:solidFill>
                          <w14:schemeClr w14:val="tx1"/>
                        </w14:solidFill>
                      </w14:textFill>
                    </w:rPr>
                    <w:t>3</w:t>
                  </w:r>
                </w:p>
              </w:tc>
              <w:tc>
                <w:tcPr>
                  <w:tcW w:w="101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20"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1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8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4165万m</w:t>
                  </w:r>
                  <w:r>
                    <w:rPr>
                      <w:color w:val="000000" w:themeColor="text1"/>
                      <w:sz w:val="21"/>
                      <w:szCs w:val="21"/>
                      <w:vertAlign w:val="superscript"/>
                      <w14:textFill>
                        <w14:solidFill>
                          <w14:schemeClr w14:val="tx1"/>
                        </w14:solidFill>
                      </w14:textFill>
                    </w:rPr>
                    <w:t>3</w:t>
                  </w:r>
                </w:p>
              </w:tc>
              <w:tc>
                <w:tcPr>
                  <w:tcW w:w="97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0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66"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9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216.58</w:t>
                  </w:r>
                </w:p>
              </w:tc>
              <w:tc>
                <w:tcPr>
                  <w:tcW w:w="101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112.8</w:t>
                  </w:r>
                </w:p>
              </w:tc>
              <w:tc>
                <w:tcPr>
                  <w:tcW w:w="1120"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5200</w:t>
                  </w:r>
                </w:p>
              </w:tc>
              <w:tc>
                <w:tcPr>
                  <w:tcW w:w="101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99.7</w:t>
                  </w:r>
                </w:p>
              </w:tc>
              <w:tc>
                <w:tcPr>
                  <w:tcW w:w="8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0.65</w:t>
                  </w:r>
                </w:p>
              </w:tc>
              <w:tc>
                <w:tcPr>
                  <w:tcW w:w="977"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0.34</w:t>
                  </w:r>
                </w:p>
              </w:tc>
              <w:tc>
                <w:tcPr>
                  <w:tcW w:w="110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15.6</w:t>
                  </w:r>
                </w:p>
              </w:tc>
            </w:tr>
          </w:tbl>
          <w:p>
            <w:pPr>
              <w:ind w:firstLine="480"/>
              <w:rPr>
                <w:color w:val="000000" w:themeColor="text1"/>
                <w14:textFill>
                  <w14:solidFill>
                    <w14:schemeClr w14:val="tx1"/>
                  </w14:solidFill>
                </w14:textFill>
              </w:rPr>
            </w:pPr>
            <w:r>
              <w:rPr>
                <w:color w:val="000000" w:themeColor="text1"/>
                <w:szCs w:val="22"/>
                <w14:textFill>
                  <w14:solidFill>
                    <w14:schemeClr w14:val="tx1"/>
                  </w14:solidFill>
                </w14:textFill>
              </w:rPr>
              <w:t>（5）食堂油烟</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劳动定员10人，每天提供3餐。食堂烹饪过程中使用罐装液化气，为清洁能源，故此处不计算罐装液化气产生的废气，本次评价主要考虑职工食堂在烹饪过程中产生的油烟。据调查，一般的员工用餐食用油耗油系数为0.02kg/人·d，则项目食用油用量为48kg/a，烹饪过程中的挥发损失为2.5%左右，则油烟产生量为1.2kg/a，</w:t>
            </w:r>
            <w:r>
              <w:rPr>
                <w:color w:val="000000" w:themeColor="text1"/>
                <w:kern w:val="0"/>
                <w14:textFill>
                  <w14:solidFill>
                    <w14:schemeClr w14:val="tx1"/>
                  </w14:solidFill>
                </w14:textFill>
              </w:rPr>
              <w:t>油烟经油烟净化设施处理(处理效率按75％</w:t>
            </w:r>
            <w:r>
              <w:rPr>
                <w:bCs/>
                <w:color w:val="000000" w:themeColor="text1"/>
                <w:kern w:val="0"/>
                <w:szCs w:val="22"/>
                <w14:textFill>
                  <w14:solidFill>
                    <w14:schemeClr w14:val="tx1"/>
                  </w14:solidFill>
                </w14:textFill>
              </w:rPr>
              <w:t>计)后经</w:t>
            </w:r>
            <w:r>
              <w:rPr>
                <w:rFonts w:hint="eastAsia"/>
                <w:bCs/>
                <w:color w:val="000000" w:themeColor="text1"/>
                <w:kern w:val="0"/>
                <w:szCs w:val="22"/>
                <w:lang w:val="en-US" w:eastAsia="zh-CN"/>
                <w14:textFill>
                  <w14:solidFill>
                    <w14:schemeClr w14:val="tx1"/>
                  </w14:solidFill>
                </w14:textFill>
              </w:rPr>
              <w:t>油烟专用</w:t>
            </w:r>
            <w:r>
              <w:rPr>
                <w:bCs/>
                <w:color w:val="000000" w:themeColor="text1"/>
                <w:kern w:val="0"/>
                <w:szCs w:val="22"/>
                <w14:textFill>
                  <w14:solidFill>
                    <w14:schemeClr w14:val="tx1"/>
                  </w14:solidFill>
                </w14:textFill>
              </w:rPr>
              <w:t>排气筒排放，排放量约为0.3kg/a。</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本项目废气污染源源强核算结果见表4-</w:t>
            </w:r>
            <w:r>
              <w:rPr>
                <w:rFonts w:hint="eastAsia"/>
                <w:bCs/>
                <w:color w:val="000000" w:themeColor="text1"/>
                <w:kern w:val="0"/>
                <w:szCs w:val="22"/>
                <w:lang w:val="en-US" w:eastAsia="zh-CN"/>
                <w14:textFill>
                  <w14:solidFill>
                    <w14:schemeClr w14:val="tx1"/>
                  </w14:solidFill>
                </w14:textFill>
              </w:rPr>
              <w:t>5</w:t>
            </w:r>
            <w:r>
              <w:rPr>
                <w:bCs/>
                <w:color w:val="000000" w:themeColor="text1"/>
                <w:kern w:val="0"/>
                <w:szCs w:val="22"/>
                <w14:textFill>
                  <w14:solidFill>
                    <w14:schemeClr w14:val="tx1"/>
                  </w14:solidFill>
                </w14:textFill>
              </w:rPr>
              <w:t>、4-</w:t>
            </w:r>
            <w:r>
              <w:rPr>
                <w:rFonts w:hint="eastAsia"/>
                <w:bCs/>
                <w:color w:val="000000" w:themeColor="text1"/>
                <w:kern w:val="0"/>
                <w:szCs w:val="22"/>
                <w:lang w:val="en-US" w:eastAsia="zh-CN"/>
                <w14:textFill>
                  <w14:solidFill>
                    <w14:schemeClr w14:val="tx1"/>
                  </w14:solidFill>
                </w14:textFill>
              </w:rPr>
              <w:t>6</w:t>
            </w:r>
            <w:r>
              <w:rPr>
                <w:bCs/>
                <w:color w:val="000000" w:themeColor="text1"/>
                <w:kern w:val="0"/>
                <w:szCs w:val="22"/>
                <w14:textFill>
                  <w14:solidFill>
                    <w14:schemeClr w14:val="tx1"/>
                  </w14:solidFill>
                </w14:textFill>
              </w:rPr>
              <w:t>、4-</w:t>
            </w:r>
            <w:r>
              <w:rPr>
                <w:rFonts w:hint="eastAsia"/>
                <w:bCs/>
                <w:color w:val="000000" w:themeColor="text1"/>
                <w:kern w:val="0"/>
                <w:szCs w:val="22"/>
                <w:lang w:val="en-US" w:eastAsia="zh-CN"/>
                <w14:textFill>
                  <w14:solidFill>
                    <w14:schemeClr w14:val="tx1"/>
                  </w14:solidFill>
                </w14:textFill>
              </w:rPr>
              <w:t>7</w:t>
            </w:r>
            <w:r>
              <w:rPr>
                <w:bCs/>
                <w:color w:val="000000" w:themeColor="text1"/>
                <w:kern w:val="0"/>
                <w:szCs w:val="22"/>
                <w14:textFill>
                  <w14:solidFill>
                    <w14:schemeClr w14:val="tx1"/>
                  </w14:solidFill>
                </w14:textFill>
              </w:rPr>
              <w:t>。</w:t>
            </w:r>
          </w:p>
          <w:p>
            <w:pPr>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5</w:t>
            </w:r>
            <w:r>
              <w:rPr>
                <w:b/>
                <w:bCs/>
                <w:color w:val="000000" w:themeColor="text1"/>
                <w:sz w:val="21"/>
                <w14:textFill>
                  <w14:solidFill>
                    <w14:schemeClr w14:val="tx1"/>
                  </w14:solidFill>
                </w14:textFill>
              </w:rPr>
              <w:t xml:space="preserve">   大气污染物有组织排放量核算表</w:t>
            </w:r>
          </w:p>
          <w:tbl>
            <w:tblPr>
              <w:tblStyle w:val="31"/>
              <w:tblW w:w="847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593"/>
              <w:gridCol w:w="1099"/>
              <w:gridCol w:w="1695"/>
              <w:gridCol w:w="1365"/>
              <w:gridCol w:w="1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9" w:hRule="atLeast"/>
              </w:trPr>
              <w:tc>
                <w:tcPr>
                  <w:tcW w:w="892"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1593"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排放口编号</w:t>
                  </w:r>
                </w:p>
              </w:tc>
              <w:tc>
                <w:tcPr>
                  <w:tcW w:w="109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污染物</w:t>
                  </w:r>
                </w:p>
              </w:tc>
              <w:tc>
                <w:tcPr>
                  <w:tcW w:w="1695"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核算排放浓度/</w:t>
                  </w:r>
                  <w:r>
                    <w:rPr>
                      <w:color w:val="000000" w:themeColor="text1"/>
                      <w:spacing w:val="-11"/>
                      <w:kern w:val="0"/>
                      <w:sz w:val="21"/>
                      <w:szCs w:val="21"/>
                      <w14:textFill>
                        <w14:solidFill>
                          <w14:schemeClr w14:val="tx1"/>
                        </w14:solidFill>
                      </w14:textFill>
                    </w:rPr>
                    <w:t>（mg/m</w:t>
                  </w:r>
                  <w:r>
                    <w:rPr>
                      <w:color w:val="000000" w:themeColor="text1"/>
                      <w:spacing w:val="-11"/>
                      <w:kern w:val="0"/>
                      <w:sz w:val="21"/>
                      <w:szCs w:val="21"/>
                      <w:vertAlign w:val="superscript"/>
                      <w14:textFill>
                        <w14:solidFill>
                          <w14:schemeClr w14:val="tx1"/>
                        </w14:solidFill>
                      </w14:textFill>
                    </w:rPr>
                    <w:t>3</w:t>
                  </w:r>
                  <w:r>
                    <w:rPr>
                      <w:color w:val="000000" w:themeColor="text1"/>
                      <w:spacing w:val="-11"/>
                      <w:kern w:val="0"/>
                      <w:sz w:val="21"/>
                      <w:szCs w:val="21"/>
                      <w14:textFill>
                        <w14:solidFill>
                          <w14:schemeClr w14:val="tx1"/>
                        </w14:solidFill>
                      </w14:textFill>
                    </w:rPr>
                    <w:t>）</w:t>
                  </w:r>
                </w:p>
              </w:tc>
              <w:tc>
                <w:tcPr>
                  <w:tcW w:w="1365"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spacing w:val="-11"/>
                      <w:kern w:val="0"/>
                      <w:sz w:val="21"/>
                      <w:szCs w:val="21"/>
                      <w14:textFill>
                        <w14:solidFill>
                          <w14:schemeClr w14:val="tx1"/>
                        </w14:solidFill>
                      </w14:textFill>
                    </w:rPr>
                    <w:t>核算排放速率/（kg/h）</w:t>
                  </w:r>
                </w:p>
              </w:tc>
              <w:tc>
                <w:tcPr>
                  <w:tcW w:w="182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473" w:type="dxa"/>
                  <w:gridSpan w:val="6"/>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92"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1593" w:type="dxa"/>
                  <w:tcBorders>
                    <w:tl2br w:val="nil"/>
                    <w:tr2bl w:val="nil"/>
                  </w:tcBorders>
                  <w:vAlign w:val="center"/>
                </w:tcPr>
                <w:p>
                  <w:pPr>
                    <w:widowControl/>
                    <w:spacing w:line="240" w:lineRule="auto"/>
                    <w:ind w:firstLine="0" w:firstLineChars="0"/>
                    <w:jc w:val="center"/>
                    <w:textAlignment w:val="center"/>
                    <w:rPr>
                      <w:rFonts w:hint="default" w:eastAsia="宋体"/>
                      <w:color w:val="000000" w:themeColor="text1"/>
                      <w:kern w:val="0"/>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DA001</w:t>
                  </w:r>
                  <w:r>
                    <w:rPr>
                      <w:rFonts w:hint="eastAsia"/>
                      <w:color w:val="000000" w:themeColor="text1"/>
                      <w:sz w:val="21"/>
                      <w:szCs w:val="21"/>
                      <w:lang w:val="en-US" w:eastAsia="zh-CN"/>
                      <w14:textFill>
                        <w14:solidFill>
                          <w14:schemeClr w14:val="tx1"/>
                        </w14:solidFill>
                      </w14:textFill>
                    </w:rPr>
                    <w:t>~DA008</w:t>
                  </w:r>
                </w:p>
              </w:tc>
              <w:tc>
                <w:tcPr>
                  <w:tcW w:w="109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695" w:type="dxa"/>
                  <w:tcBorders>
                    <w:tl2br w:val="nil"/>
                    <w:tr2bl w:val="nil"/>
                  </w:tcBorders>
                  <w:vAlign w:val="center"/>
                </w:tcPr>
                <w:p>
                  <w:pPr>
                    <w:adjustRightInd w:val="0"/>
                    <w:snapToGrid w:val="0"/>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9.77</w:t>
                  </w:r>
                </w:p>
              </w:tc>
              <w:tc>
                <w:tcPr>
                  <w:tcW w:w="1365"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0.313</w:t>
                  </w:r>
                </w:p>
              </w:tc>
              <w:tc>
                <w:tcPr>
                  <w:tcW w:w="182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92"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593" w:type="dxa"/>
                  <w:tcBorders>
                    <w:tl2br w:val="nil"/>
                    <w:tr2bl w:val="nil"/>
                  </w:tcBorders>
                  <w:vAlign w:val="center"/>
                </w:tcPr>
                <w:p>
                  <w:pPr>
                    <w:widowControl/>
                    <w:spacing w:line="240" w:lineRule="auto"/>
                    <w:ind w:firstLine="0" w:firstLineChars="0"/>
                    <w:jc w:val="center"/>
                    <w:textAlignment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9</w:t>
                  </w:r>
                </w:p>
              </w:tc>
              <w:tc>
                <w:tcPr>
                  <w:tcW w:w="109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695"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15.6</w:t>
                  </w:r>
                </w:p>
              </w:tc>
              <w:tc>
                <w:tcPr>
                  <w:tcW w:w="1365"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0.34</w:t>
                  </w:r>
                </w:p>
              </w:tc>
              <w:tc>
                <w:tcPr>
                  <w:tcW w:w="182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85" w:type="dxa"/>
                  <w:gridSpan w:val="2"/>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一般排放口合计</w:t>
                  </w:r>
                </w:p>
              </w:tc>
              <w:tc>
                <w:tcPr>
                  <w:tcW w:w="4159" w:type="dxa"/>
                  <w:gridSpan w:val="3"/>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82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473" w:type="dxa"/>
                  <w:gridSpan w:val="6"/>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485" w:type="dxa"/>
                  <w:gridSpan w:val="2"/>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有组织排放总计</w:t>
                  </w:r>
                </w:p>
              </w:tc>
              <w:tc>
                <w:tcPr>
                  <w:tcW w:w="4159" w:type="dxa"/>
                  <w:gridSpan w:val="3"/>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829" w:type="dxa"/>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1.25</w:t>
                  </w:r>
                </w:p>
              </w:tc>
            </w:tr>
          </w:tbl>
          <w:p>
            <w:pPr>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6</w:t>
            </w:r>
            <w:r>
              <w:rPr>
                <w:b/>
                <w:bCs/>
                <w:color w:val="000000" w:themeColor="text1"/>
                <w:sz w:val="21"/>
                <w14:textFill>
                  <w14:solidFill>
                    <w14:schemeClr w14:val="tx1"/>
                  </w14:solidFill>
                </w14:textFill>
              </w:rPr>
              <w:t xml:space="preserve">   大气污染物无组织排放量核算表</w:t>
            </w:r>
          </w:p>
          <w:tbl>
            <w:tblPr>
              <w:tblStyle w:val="31"/>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45"/>
              <w:gridCol w:w="721"/>
              <w:gridCol w:w="747"/>
              <w:gridCol w:w="1459"/>
              <w:gridCol w:w="1955"/>
              <w:gridCol w:w="1136"/>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53"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499"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排放口编号</w:t>
                  </w:r>
                </w:p>
              </w:tc>
              <w:tc>
                <w:tcPr>
                  <w:tcW w:w="426"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产污环节</w:t>
                  </w:r>
                </w:p>
              </w:tc>
              <w:tc>
                <w:tcPr>
                  <w:tcW w:w="440"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污染物</w:t>
                  </w:r>
                </w:p>
              </w:tc>
              <w:tc>
                <w:tcPr>
                  <w:tcW w:w="862"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spacing w:val="-11"/>
                      <w:kern w:val="0"/>
                      <w:sz w:val="21"/>
                      <w:szCs w:val="21"/>
                      <w14:textFill>
                        <w14:solidFill>
                          <w14:schemeClr w14:val="tx1"/>
                        </w14:solidFill>
                      </w14:textFill>
                    </w:rPr>
                    <w:t>主要污染防治措施</w:t>
                  </w:r>
                </w:p>
              </w:tc>
              <w:tc>
                <w:tcPr>
                  <w:tcW w:w="1154"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标准名称</w:t>
                  </w:r>
                </w:p>
              </w:tc>
              <w:tc>
                <w:tcPr>
                  <w:tcW w:w="671"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浓度限值/</w:t>
                  </w:r>
                  <w:r>
                    <w:rPr>
                      <w:color w:val="000000" w:themeColor="text1"/>
                      <w:spacing w:val="-11"/>
                      <w:kern w:val="0"/>
                      <w:sz w:val="21"/>
                      <w:szCs w:val="21"/>
                      <w14:textFill>
                        <w14:solidFill>
                          <w14:schemeClr w14:val="tx1"/>
                        </w14:solidFill>
                      </w14:textFill>
                    </w:rPr>
                    <w:t>（mg/m</w:t>
                  </w:r>
                  <w:r>
                    <w:rPr>
                      <w:color w:val="000000" w:themeColor="text1"/>
                      <w:spacing w:val="-11"/>
                      <w:kern w:val="0"/>
                      <w:sz w:val="21"/>
                      <w:szCs w:val="21"/>
                      <w:vertAlign w:val="superscript"/>
                      <w14:textFill>
                        <w14:solidFill>
                          <w14:schemeClr w14:val="tx1"/>
                        </w14:solidFill>
                      </w14:textFill>
                    </w:rPr>
                    <w:t>3</w:t>
                  </w:r>
                  <w:r>
                    <w:rPr>
                      <w:color w:val="000000" w:themeColor="text1"/>
                      <w:spacing w:val="-11"/>
                      <w:kern w:val="0"/>
                      <w:sz w:val="21"/>
                      <w:szCs w:val="21"/>
                      <w14:textFill>
                        <w14:solidFill>
                          <w14:schemeClr w14:val="tx1"/>
                        </w14:solidFill>
                      </w14:textFill>
                    </w:rPr>
                    <w:t>）</w:t>
                  </w:r>
                </w:p>
              </w:tc>
              <w:tc>
                <w:tcPr>
                  <w:tcW w:w="591"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53"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499"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426" w:type="pct"/>
                  <w:tcBorders>
                    <w:tl2br w:val="nil"/>
                    <w:tr2bl w:val="nil"/>
                  </w:tcBorders>
                  <w:vAlign w:val="center"/>
                </w:tcPr>
                <w:p>
                  <w:pPr>
                    <w:spacing w:line="240" w:lineRule="auto"/>
                    <w:ind w:firstLine="0" w:firstLineChars="0"/>
                    <w:jc w:val="center"/>
                    <w:textAlignment w:val="baseline"/>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运输</w:t>
                  </w:r>
                </w:p>
              </w:tc>
              <w:tc>
                <w:tcPr>
                  <w:tcW w:w="440"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TSP</w:t>
                  </w:r>
                </w:p>
              </w:tc>
              <w:tc>
                <w:tcPr>
                  <w:tcW w:w="862" w:type="pct"/>
                  <w:tcBorders>
                    <w:tl2br w:val="nil"/>
                    <w:tr2bl w:val="nil"/>
                  </w:tcBorders>
                  <w:vAlign w:val="center"/>
                </w:tcPr>
                <w:p>
                  <w:pPr>
                    <w:adjustRightInd w:val="0"/>
                    <w:snapToGrid w:val="0"/>
                    <w:spacing w:line="240" w:lineRule="auto"/>
                    <w:ind w:firstLine="0" w:firstLineChars="0"/>
                    <w:jc w:val="center"/>
                    <w:rPr>
                      <w:color w:val="000000" w:themeColor="text1"/>
                      <w:spacing w:val="-11"/>
                      <w:kern w:val="0"/>
                      <w:sz w:val="21"/>
                      <w:szCs w:val="21"/>
                      <w14:textFill>
                        <w14:solidFill>
                          <w14:schemeClr w14:val="tx1"/>
                        </w14:solidFill>
                      </w14:textFill>
                    </w:rPr>
                  </w:pPr>
                  <w:r>
                    <w:rPr>
                      <w:color w:val="000000" w:themeColor="text1"/>
                      <w:spacing w:val="-11"/>
                      <w:kern w:val="0"/>
                      <w:sz w:val="21"/>
                      <w:szCs w:val="21"/>
                      <w14:textFill>
                        <w14:solidFill>
                          <w14:schemeClr w14:val="tx1"/>
                        </w14:solidFill>
                      </w14:textFill>
                    </w:rPr>
                    <w:t>洒水降尘</w:t>
                  </w:r>
                </w:p>
              </w:tc>
              <w:tc>
                <w:tcPr>
                  <w:tcW w:w="1154" w:type="pct"/>
                  <w:vMerge w:val="restar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《水泥工业大气污染物排放标准》（GB4915-2013）中表3中标准</w:t>
                  </w:r>
                </w:p>
              </w:tc>
              <w:tc>
                <w:tcPr>
                  <w:tcW w:w="671" w:type="pct"/>
                  <w:tcBorders>
                    <w:tl2br w:val="nil"/>
                    <w:tr2bl w:val="nil"/>
                  </w:tcBorders>
                  <w:shd w:val="clear" w:color="auto" w:fill="auto"/>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0.5</w:t>
                  </w:r>
                </w:p>
              </w:tc>
              <w:tc>
                <w:tcPr>
                  <w:tcW w:w="591" w:type="pct"/>
                  <w:tcBorders>
                    <w:tl2br w:val="nil"/>
                    <w:tr2bl w:val="nil"/>
                  </w:tcBorders>
                  <w:vAlign w:val="center"/>
                </w:tcPr>
                <w:p>
                  <w:pPr>
                    <w:spacing w:line="240" w:lineRule="auto"/>
                    <w:ind w:firstLine="0" w:firstLineChars="0"/>
                    <w:jc w:val="center"/>
                    <w:textAlignment w:val="baseline"/>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trPr>
              <w:tc>
                <w:tcPr>
                  <w:tcW w:w="353"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499"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426"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堆存</w:t>
                  </w:r>
                </w:p>
              </w:tc>
              <w:tc>
                <w:tcPr>
                  <w:tcW w:w="440"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TSP</w:t>
                  </w:r>
                </w:p>
              </w:tc>
              <w:tc>
                <w:tcPr>
                  <w:tcW w:w="862" w:type="pct"/>
                  <w:tcBorders>
                    <w:tl2br w:val="nil"/>
                    <w:tr2bl w:val="nil"/>
                  </w:tcBorders>
                  <w:vAlign w:val="center"/>
                </w:tcPr>
                <w:p>
                  <w:pPr>
                    <w:adjustRightInd w:val="0"/>
                    <w:snapToGrid w:val="0"/>
                    <w:spacing w:line="240" w:lineRule="auto"/>
                    <w:ind w:firstLine="0" w:firstLineChars="0"/>
                    <w:jc w:val="center"/>
                    <w:rPr>
                      <w:color w:val="000000" w:themeColor="text1"/>
                      <w:spacing w:val="-11"/>
                      <w:kern w:val="0"/>
                      <w:sz w:val="21"/>
                      <w:szCs w:val="21"/>
                      <w14:textFill>
                        <w14:solidFill>
                          <w14:schemeClr w14:val="tx1"/>
                        </w14:solidFill>
                      </w14:textFill>
                    </w:rPr>
                  </w:pPr>
                  <w:r>
                    <w:rPr>
                      <w:color w:val="000000" w:themeColor="text1"/>
                      <w:spacing w:val="-11"/>
                      <w:kern w:val="0"/>
                      <w:sz w:val="21"/>
                      <w:szCs w:val="21"/>
                      <w14:textFill>
                        <w14:solidFill>
                          <w14:schemeClr w14:val="tx1"/>
                        </w14:solidFill>
                      </w14:textFill>
                    </w:rPr>
                    <w:t>洒水降尘，编织覆盖，半封闭式</w:t>
                  </w:r>
                </w:p>
              </w:tc>
              <w:tc>
                <w:tcPr>
                  <w:tcW w:w="1154" w:type="pct"/>
                  <w:vMerge w:val="continue"/>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671" w:type="pct"/>
                  <w:tcBorders>
                    <w:tl2br w:val="nil"/>
                    <w:tr2bl w:val="nil"/>
                  </w:tcBorders>
                  <w:shd w:val="clear" w:color="auto" w:fill="auto"/>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0.5</w:t>
                  </w:r>
                </w:p>
              </w:tc>
              <w:tc>
                <w:tcPr>
                  <w:tcW w:w="59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000" w:type="pct"/>
                  <w:gridSpan w:val="8"/>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19" w:type="pct"/>
                  <w:gridSpan w:val="4"/>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无组织排放总计</w:t>
                  </w:r>
                </w:p>
              </w:tc>
              <w:tc>
                <w:tcPr>
                  <w:tcW w:w="2017" w:type="pct"/>
                  <w:gridSpan w:val="2"/>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颗粒物</w:t>
                  </w:r>
                </w:p>
              </w:tc>
              <w:tc>
                <w:tcPr>
                  <w:tcW w:w="1263" w:type="pct"/>
                  <w:gridSpan w:val="2"/>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3.048</w:t>
                  </w:r>
                </w:p>
              </w:tc>
            </w:tr>
          </w:tbl>
          <w:p>
            <w:pPr>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7</w:t>
            </w:r>
            <w:r>
              <w:rPr>
                <w:b/>
                <w:bCs/>
                <w:color w:val="000000" w:themeColor="text1"/>
                <w:sz w:val="21"/>
                <w14:textFill>
                  <w14:solidFill>
                    <w14:schemeClr w14:val="tx1"/>
                  </w14:solidFill>
                </w14:textFill>
              </w:rPr>
              <w:t xml:space="preserve">   大气污染物年排放量核算表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2843"/>
              <w:gridCol w:w="3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485"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1678"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污染物</w:t>
                  </w:r>
                </w:p>
              </w:tc>
              <w:tc>
                <w:tcPr>
                  <w:tcW w:w="1836"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trPr>
              <w:tc>
                <w:tcPr>
                  <w:tcW w:w="1485"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1678" w:type="pct"/>
                  <w:tcBorders>
                    <w:tl2br w:val="nil"/>
                    <w:tr2bl w:val="nil"/>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颗粒物</w:t>
                  </w:r>
                </w:p>
              </w:tc>
              <w:tc>
                <w:tcPr>
                  <w:tcW w:w="1836" w:type="pct"/>
                  <w:tcBorders>
                    <w:tl2br w:val="nil"/>
                    <w:tr2bl w:val="nil"/>
                  </w:tcBorders>
                  <w:vAlign w:val="center"/>
                </w:tcPr>
                <w:p>
                  <w:pPr>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4.298</w:t>
                  </w:r>
                </w:p>
              </w:tc>
            </w:tr>
          </w:tbl>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1.2排放口</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8</w:t>
            </w:r>
            <w:r>
              <w:rPr>
                <w:b/>
                <w:bCs/>
                <w:color w:val="000000" w:themeColor="text1"/>
                <w:sz w:val="21"/>
                <w:szCs w:val="21"/>
                <w14:textFill>
                  <w14:solidFill>
                    <w14:schemeClr w14:val="tx1"/>
                  </w14:solidFill>
                </w14:textFill>
              </w:rPr>
              <w:t xml:space="preserve">    大气排放口基本情况表</w:t>
            </w:r>
          </w:p>
          <w:tbl>
            <w:tblPr>
              <w:tblStyle w:val="30"/>
              <w:tblW w:w="4992"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15" w:type="dxa"/>
                <w:left w:w="15" w:type="dxa"/>
                <w:bottom w:w="15" w:type="dxa"/>
                <w:right w:w="15" w:type="dxa"/>
              </w:tblCellMar>
            </w:tblPr>
            <w:tblGrid>
              <w:gridCol w:w="1173"/>
              <w:gridCol w:w="1319"/>
              <w:gridCol w:w="1965"/>
              <w:gridCol w:w="969"/>
              <w:gridCol w:w="1211"/>
              <w:gridCol w:w="870"/>
              <w:gridCol w:w="9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90" w:hRule="atLeast"/>
              </w:trPr>
              <w:tc>
                <w:tcPr>
                  <w:tcW w:w="693" w:type="pct"/>
                  <w:tcBorders>
                    <w:tl2br w:val="nil"/>
                    <w:tr2bl w:val="nil"/>
                  </w:tcBorders>
                  <w:vAlign w:val="center"/>
                </w:tcPr>
                <w:p>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排放口编号</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排放口名称</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排气筒地理坐标 </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排气筒</w:t>
                  </w:r>
                </w:p>
                <w:p>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高度/m</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排气筒出口内径/m</w:t>
                  </w:r>
                </w:p>
              </w:tc>
              <w:tc>
                <w:tcPr>
                  <w:tcW w:w="514" w:type="pct"/>
                  <w:tcBorders>
                    <w:tl2br w:val="nil"/>
                    <w:tr2bl w:val="nil"/>
                  </w:tcBorders>
                  <w:vAlign w:val="center"/>
                </w:tcPr>
                <w:p>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排气温度/℃</w:t>
                  </w:r>
                </w:p>
              </w:tc>
              <w:tc>
                <w:tcPr>
                  <w:tcW w:w="563"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w:t>
                  </w:r>
                </w:p>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DA001</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东经84°51′27.185″，北纬44°49′28.287″</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rFonts w:hint="default"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hint="eastAsia" w:eastAsia="宋体"/>
                      <w:color w:val="000000" w:themeColor="text1"/>
                      <w:kern w:val="0"/>
                      <w:sz w:val="21"/>
                      <w:szCs w:val="21"/>
                      <w:lang w:eastAsia="zh-CN"/>
                      <w14:textFill>
                        <w14:solidFill>
                          <w14:schemeClr w14:val="tx1"/>
                        </w14:solidFill>
                      </w14:textFill>
                    </w:rPr>
                  </w:pPr>
                  <w:r>
                    <w:rPr>
                      <w:color w:val="000000" w:themeColor="text1"/>
                      <w:kern w:val="0"/>
                      <w:sz w:val="21"/>
                      <w:szCs w:val="21"/>
                      <w14:textFill>
                        <w14:solidFill>
                          <w14:schemeClr w14:val="tx1"/>
                        </w14:solidFill>
                      </w14:textFill>
                    </w:rPr>
                    <w:t>2</w:t>
                  </w:r>
                  <w:r>
                    <w:rPr>
                      <w:rFonts w:hint="eastAsia"/>
                      <w:color w:val="000000" w:themeColor="text1"/>
                      <w:kern w:val="0"/>
                      <w:sz w:val="21"/>
                      <w:szCs w:val="21"/>
                      <w:lang w:val="en-US" w:eastAsia="zh-CN"/>
                      <w14:textFill>
                        <w14:solidFill>
                          <w14:schemeClr w14:val="tx1"/>
                        </w14:solidFill>
                      </w14:textFill>
                    </w:rPr>
                    <w:t>0</w:t>
                  </w:r>
                </w:p>
              </w:tc>
              <w:tc>
                <w:tcPr>
                  <w:tcW w:w="563"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2</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w:t>
                  </w:r>
                  <w:r>
                    <w:rPr>
                      <w:rFonts w:hint="eastAsia"/>
                      <w:color w:val="000000" w:themeColor="text1"/>
                      <w:kern w:val="0"/>
                      <w:sz w:val="21"/>
                      <w:szCs w:val="21"/>
                      <w:lang w:val="en-US" w:eastAsia="zh-CN"/>
                      <w14:textFill>
                        <w14:solidFill>
                          <w14:schemeClr w14:val="tx1"/>
                        </w14:solidFill>
                      </w14:textFill>
                    </w:rPr>
                    <w:t>189</w:t>
                  </w:r>
                  <w:r>
                    <w:rPr>
                      <w:color w:val="000000" w:themeColor="text1"/>
                      <w:kern w:val="0"/>
                      <w:sz w:val="21"/>
                      <w:szCs w:val="21"/>
                      <w14:textFill>
                        <w14:solidFill>
                          <w14:schemeClr w14:val="tx1"/>
                        </w14:solidFill>
                      </w14:textFill>
                    </w:rPr>
                    <w:t>″，北纬44°49′2</w:t>
                  </w:r>
                  <w:r>
                    <w:rPr>
                      <w:rFonts w:hint="eastAsia"/>
                      <w:color w:val="000000" w:themeColor="text1"/>
                      <w:kern w:val="0"/>
                      <w:sz w:val="21"/>
                      <w:szCs w:val="21"/>
                      <w:lang w:val="en-US" w:eastAsia="zh-CN"/>
                      <w14:textFill>
                        <w14:solidFill>
                          <w14:schemeClr w14:val="tx1"/>
                        </w14:solidFill>
                      </w14:textFill>
                    </w:rPr>
                    <w:t>8</w:t>
                  </w:r>
                  <w:r>
                    <w:rPr>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313</w:t>
                  </w:r>
                  <w:r>
                    <w:rPr>
                      <w:color w:val="000000" w:themeColor="text1"/>
                      <w:kern w:val="0"/>
                      <w:sz w:val="21"/>
                      <w:szCs w:val="21"/>
                      <w14:textFill>
                        <w14:solidFill>
                          <w14:schemeClr w14:val="tx1"/>
                        </w14:solidFill>
                      </w14:textFill>
                    </w:rPr>
                    <w:t>″</w:t>
                  </w:r>
                </w:p>
              </w:tc>
              <w:tc>
                <w:tcPr>
                  <w:tcW w:w="572" w:type="pct"/>
                  <w:tcBorders>
                    <w:tl2br w:val="nil"/>
                    <w:tr2bl w:val="nil"/>
                  </w:tcBorders>
                  <w:vAlign w:val="center"/>
                </w:tcPr>
                <w:p>
                  <w:pPr>
                    <w:widowControl/>
                    <w:spacing w:line="240" w:lineRule="auto"/>
                    <w:ind w:firstLine="0" w:firstLineChars="0"/>
                    <w:jc w:val="center"/>
                    <w:textAlignment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3</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w:t>
                  </w:r>
                  <w:r>
                    <w:rPr>
                      <w:rFonts w:hint="eastAsia"/>
                      <w:color w:val="000000" w:themeColor="text1"/>
                      <w:kern w:val="0"/>
                      <w:sz w:val="21"/>
                      <w:szCs w:val="21"/>
                      <w:lang w:val="en-US" w:eastAsia="zh-CN"/>
                      <w14:textFill>
                        <w14:solidFill>
                          <w14:schemeClr w14:val="tx1"/>
                        </w14:solidFill>
                      </w14:textFill>
                    </w:rPr>
                    <w:t>191</w:t>
                  </w:r>
                  <w:r>
                    <w:rPr>
                      <w:color w:val="000000" w:themeColor="text1"/>
                      <w:kern w:val="0"/>
                      <w:sz w:val="21"/>
                      <w:szCs w:val="21"/>
                      <w14:textFill>
                        <w14:solidFill>
                          <w14:schemeClr w14:val="tx1"/>
                        </w14:solidFill>
                      </w14:textFill>
                    </w:rPr>
                    <w:t>″，北纬44°49′28.</w:t>
                  </w:r>
                  <w:r>
                    <w:rPr>
                      <w:rFonts w:hint="eastAsia"/>
                      <w:color w:val="000000" w:themeColor="text1"/>
                      <w:kern w:val="0"/>
                      <w:sz w:val="21"/>
                      <w:szCs w:val="21"/>
                      <w:lang w:val="en-US" w:eastAsia="zh-CN"/>
                      <w14:textFill>
                        <w14:solidFill>
                          <w14:schemeClr w14:val="tx1"/>
                        </w14:solidFill>
                      </w14:textFill>
                    </w:rPr>
                    <w:t>35</w:t>
                  </w:r>
                  <w:r>
                    <w:rPr>
                      <w:color w:val="000000" w:themeColor="text1"/>
                      <w:kern w:val="0"/>
                      <w:sz w:val="21"/>
                      <w:szCs w:val="21"/>
                      <w14:textFill>
                        <w14:solidFill>
                          <w14:schemeClr w14:val="tx1"/>
                        </w14:solidFill>
                      </w14:textFill>
                    </w:rPr>
                    <w:t>7″</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4</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东经84°51′27.1</w:t>
                  </w:r>
                  <w:r>
                    <w:rPr>
                      <w:rFonts w:hint="eastAsia"/>
                      <w:color w:val="000000" w:themeColor="text1"/>
                      <w:kern w:val="0"/>
                      <w:sz w:val="21"/>
                      <w:szCs w:val="21"/>
                      <w:lang w:val="en-US" w:eastAsia="zh-CN"/>
                      <w14:textFill>
                        <w14:solidFill>
                          <w14:schemeClr w14:val="tx1"/>
                        </w14:solidFill>
                      </w14:textFill>
                    </w:rPr>
                    <w:t>93</w:t>
                  </w:r>
                  <w:r>
                    <w:rPr>
                      <w:color w:val="000000" w:themeColor="text1"/>
                      <w:kern w:val="0"/>
                      <w:sz w:val="21"/>
                      <w:szCs w:val="21"/>
                      <w14:textFill>
                        <w14:solidFill>
                          <w14:schemeClr w14:val="tx1"/>
                        </w14:solidFill>
                      </w14:textFill>
                    </w:rPr>
                    <w:t>″，北纬44°49′28.</w:t>
                  </w:r>
                  <w:r>
                    <w:rPr>
                      <w:rFonts w:hint="eastAsia"/>
                      <w:color w:val="000000" w:themeColor="text1"/>
                      <w:kern w:val="0"/>
                      <w:sz w:val="21"/>
                      <w:szCs w:val="21"/>
                      <w:lang w:val="en-US" w:eastAsia="zh-CN"/>
                      <w14:textFill>
                        <w14:solidFill>
                          <w14:schemeClr w14:val="tx1"/>
                        </w14:solidFill>
                      </w14:textFill>
                    </w:rPr>
                    <w:t>386</w:t>
                  </w:r>
                  <w:r>
                    <w:rPr>
                      <w:color w:val="000000" w:themeColor="text1"/>
                      <w:kern w:val="0"/>
                      <w:sz w:val="21"/>
                      <w:szCs w:val="21"/>
                      <w14:textFill>
                        <w14:solidFill>
                          <w14:schemeClr w14:val="tx1"/>
                        </w14:solidFill>
                      </w14:textFill>
                    </w:rPr>
                    <w:t>″</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5</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东经84°51′27.18</w:t>
                  </w:r>
                  <w:r>
                    <w:rPr>
                      <w:rFonts w:hint="eastAsia"/>
                      <w:color w:val="000000" w:themeColor="text1"/>
                      <w:kern w:val="0"/>
                      <w:sz w:val="21"/>
                      <w:szCs w:val="21"/>
                      <w:lang w:val="en-US" w:eastAsia="zh-CN"/>
                      <w14:textFill>
                        <w14:solidFill>
                          <w14:schemeClr w14:val="tx1"/>
                        </w14:solidFill>
                      </w14:textFill>
                    </w:rPr>
                    <w:t>3</w:t>
                  </w:r>
                  <w:r>
                    <w:rPr>
                      <w:color w:val="000000" w:themeColor="text1"/>
                      <w:kern w:val="0"/>
                      <w:sz w:val="21"/>
                      <w:szCs w:val="21"/>
                      <w14:textFill>
                        <w14:solidFill>
                          <w14:schemeClr w14:val="tx1"/>
                        </w14:solidFill>
                      </w14:textFill>
                    </w:rPr>
                    <w:t>″，北纬44°49′28.28</w:t>
                  </w:r>
                  <w:r>
                    <w:rPr>
                      <w:rFonts w:hint="eastAsia"/>
                      <w:color w:val="000000" w:themeColor="text1"/>
                      <w:kern w:val="0"/>
                      <w:sz w:val="21"/>
                      <w:szCs w:val="21"/>
                      <w:lang w:val="en-US" w:eastAsia="zh-CN"/>
                      <w14:textFill>
                        <w14:solidFill>
                          <w14:schemeClr w14:val="tx1"/>
                        </w14:solidFill>
                      </w14:textFill>
                    </w:rPr>
                    <w:t>3</w:t>
                  </w:r>
                  <w:r>
                    <w:rPr>
                      <w:color w:val="000000" w:themeColor="text1"/>
                      <w:kern w:val="0"/>
                      <w:sz w:val="21"/>
                      <w:szCs w:val="21"/>
                      <w14:textFill>
                        <w14:solidFill>
                          <w14:schemeClr w14:val="tx1"/>
                        </w14:solidFill>
                      </w14:textFill>
                    </w:rPr>
                    <w:t>″</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6</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东经84°51′27.18</w:t>
                  </w:r>
                  <w:r>
                    <w:rPr>
                      <w:rFonts w:hint="eastAsia"/>
                      <w:color w:val="000000" w:themeColor="text1"/>
                      <w:kern w:val="0"/>
                      <w:sz w:val="21"/>
                      <w:szCs w:val="21"/>
                      <w:lang w:val="en-US" w:eastAsia="zh-CN"/>
                      <w14:textFill>
                        <w14:solidFill>
                          <w14:schemeClr w14:val="tx1"/>
                        </w14:solidFill>
                      </w14:textFill>
                    </w:rPr>
                    <w:t>3</w:t>
                  </w:r>
                  <w:r>
                    <w:rPr>
                      <w:color w:val="000000" w:themeColor="text1"/>
                      <w:kern w:val="0"/>
                      <w:sz w:val="21"/>
                      <w:szCs w:val="21"/>
                      <w14:textFill>
                        <w14:solidFill>
                          <w14:schemeClr w14:val="tx1"/>
                        </w14:solidFill>
                      </w14:textFill>
                    </w:rPr>
                    <w:t>″，北纬44°49′28.2</w:t>
                  </w:r>
                  <w:r>
                    <w:rPr>
                      <w:rFonts w:hint="eastAsia"/>
                      <w:color w:val="000000" w:themeColor="text1"/>
                      <w:kern w:val="0"/>
                      <w:sz w:val="21"/>
                      <w:szCs w:val="21"/>
                      <w:lang w:val="en-US" w:eastAsia="zh-CN"/>
                      <w14:textFill>
                        <w14:solidFill>
                          <w14:schemeClr w14:val="tx1"/>
                        </w14:solidFill>
                      </w14:textFill>
                    </w:rPr>
                    <w:t>95</w:t>
                  </w:r>
                  <w:r>
                    <w:rPr>
                      <w:color w:val="000000" w:themeColor="text1"/>
                      <w:kern w:val="0"/>
                      <w:sz w:val="21"/>
                      <w:szCs w:val="21"/>
                      <w14:textFill>
                        <w14:solidFill>
                          <w14:schemeClr w14:val="tx1"/>
                        </w14:solidFill>
                      </w14:textFill>
                    </w:rPr>
                    <w:t>″</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7</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东经84°51′27.1</w:t>
                  </w:r>
                  <w:r>
                    <w:rPr>
                      <w:rFonts w:hint="eastAsia"/>
                      <w:color w:val="000000" w:themeColor="text1"/>
                      <w:kern w:val="0"/>
                      <w:sz w:val="21"/>
                      <w:szCs w:val="21"/>
                      <w:lang w:val="en-US" w:eastAsia="zh-CN"/>
                      <w14:textFill>
                        <w14:solidFill>
                          <w14:schemeClr w14:val="tx1"/>
                        </w14:solidFill>
                      </w14:textFill>
                    </w:rPr>
                    <w:t>98</w:t>
                  </w:r>
                  <w:r>
                    <w:rPr>
                      <w:color w:val="000000" w:themeColor="text1"/>
                      <w:kern w:val="0"/>
                      <w:sz w:val="21"/>
                      <w:szCs w:val="21"/>
                      <w14:textFill>
                        <w14:solidFill>
                          <w14:schemeClr w14:val="tx1"/>
                        </w14:solidFill>
                      </w14:textFill>
                    </w:rPr>
                    <w:t>″，北纬44°49′28.</w:t>
                  </w:r>
                  <w:r>
                    <w:rPr>
                      <w:rFonts w:hint="eastAsia"/>
                      <w:color w:val="000000" w:themeColor="text1"/>
                      <w:kern w:val="0"/>
                      <w:sz w:val="21"/>
                      <w:szCs w:val="21"/>
                      <w:lang w:val="en-US" w:eastAsia="zh-CN"/>
                      <w14:textFill>
                        <w14:solidFill>
                          <w14:schemeClr w14:val="tx1"/>
                        </w14:solidFill>
                      </w14:textFill>
                    </w:rPr>
                    <w:t>381</w:t>
                  </w:r>
                  <w:r>
                    <w:rPr>
                      <w:color w:val="000000" w:themeColor="text1"/>
                      <w:kern w:val="0"/>
                      <w:sz w:val="21"/>
                      <w:szCs w:val="21"/>
                      <w14:textFill>
                        <w14:solidFill>
                          <w14:schemeClr w14:val="tx1"/>
                        </w14:solidFill>
                      </w14:textFill>
                    </w:rPr>
                    <w:t>″</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8</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筒仓排气筒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东经84°51′27.1</w:t>
                  </w:r>
                  <w:r>
                    <w:rPr>
                      <w:rFonts w:hint="eastAsia"/>
                      <w:color w:val="000000" w:themeColor="text1"/>
                      <w:kern w:val="0"/>
                      <w:sz w:val="21"/>
                      <w:szCs w:val="21"/>
                      <w:lang w:val="en-US" w:eastAsia="zh-CN"/>
                      <w14:textFill>
                        <w14:solidFill>
                          <w14:schemeClr w14:val="tx1"/>
                        </w14:solidFill>
                      </w14:textFill>
                    </w:rPr>
                    <w:t>99</w:t>
                  </w:r>
                  <w:r>
                    <w:rPr>
                      <w:color w:val="000000" w:themeColor="text1"/>
                      <w:kern w:val="0"/>
                      <w:sz w:val="21"/>
                      <w:szCs w:val="21"/>
                      <w14:textFill>
                        <w14:solidFill>
                          <w14:schemeClr w14:val="tx1"/>
                        </w14:solidFill>
                      </w14:textFill>
                    </w:rPr>
                    <w:t>″，北纬44°49′28.</w:t>
                  </w:r>
                  <w:r>
                    <w:rPr>
                      <w:rFonts w:hint="eastAsia"/>
                      <w:color w:val="000000" w:themeColor="text1"/>
                      <w:kern w:val="0"/>
                      <w:sz w:val="21"/>
                      <w:szCs w:val="21"/>
                      <w:lang w:val="en-US" w:eastAsia="zh-CN"/>
                      <w14:textFill>
                        <w14:solidFill>
                          <w14:schemeClr w14:val="tx1"/>
                        </w14:solidFill>
                      </w14:textFill>
                    </w:rPr>
                    <w:t>386</w:t>
                  </w:r>
                  <w:r>
                    <w:rPr>
                      <w:color w:val="000000" w:themeColor="text1"/>
                      <w:kern w:val="0"/>
                      <w:sz w:val="21"/>
                      <w:szCs w:val="21"/>
                      <w14:textFill>
                        <w14:solidFill>
                          <w14:schemeClr w14:val="tx1"/>
                        </w14:solidFill>
                      </w14:textFill>
                    </w:rPr>
                    <w:t>″</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15</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5" w:type="dxa"/>
                  <w:left w:w="15" w:type="dxa"/>
                  <w:bottom w:w="15" w:type="dxa"/>
                  <w:right w:w="15" w:type="dxa"/>
                </w:tblCellMar>
              </w:tblPrEx>
              <w:trPr>
                <w:trHeight w:val="277" w:hRule="atLeast"/>
              </w:trPr>
              <w:tc>
                <w:tcPr>
                  <w:tcW w:w="693" w:type="pct"/>
                  <w:tcBorders>
                    <w:tl2br w:val="nil"/>
                    <w:tr2bl w:val="nil"/>
                  </w:tcBorders>
                  <w:vAlign w:val="center"/>
                </w:tcPr>
                <w:p>
                  <w:pPr>
                    <w:widowControl/>
                    <w:spacing w:line="240" w:lineRule="auto"/>
                    <w:ind w:firstLine="0" w:firstLineChars="0"/>
                    <w:jc w:val="center"/>
                    <w:textAlignment w:val="center"/>
                    <w:rPr>
                      <w:rFonts w:hint="eastAsia"/>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9</w:t>
                  </w:r>
                </w:p>
              </w:tc>
              <w:tc>
                <w:tcPr>
                  <w:tcW w:w="779"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搅拌楼排气筒</w:t>
                  </w:r>
                </w:p>
              </w:tc>
              <w:tc>
                <w:tcPr>
                  <w:tcW w:w="1160"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东经84°51′27.482″，北纬44°49′28.270″</w:t>
                  </w:r>
                </w:p>
              </w:tc>
              <w:tc>
                <w:tcPr>
                  <w:tcW w:w="572"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w:t>
                  </w:r>
                </w:p>
              </w:tc>
              <w:tc>
                <w:tcPr>
                  <w:tcW w:w="716" w:type="pct"/>
                  <w:tcBorders>
                    <w:tl2br w:val="nil"/>
                    <w:tr2bl w:val="nil"/>
                  </w:tcBorders>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0.3</w:t>
                  </w:r>
                </w:p>
              </w:tc>
              <w:tc>
                <w:tcPr>
                  <w:tcW w:w="51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563"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r>
          </w:tbl>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t>废气处理措施及其可行性分析</w:t>
            </w:r>
          </w:p>
          <w:p>
            <w:pPr>
              <w:widowControl/>
              <w:ind w:firstLine="480"/>
              <w:rPr>
                <w:color w:val="000000" w:themeColor="text1"/>
                <w14:textFill>
                  <w14:solidFill>
                    <w14:schemeClr w14:val="tx1"/>
                  </w14:solidFill>
                </w14:textFill>
              </w:rPr>
            </w:pPr>
            <w:r>
              <w:rPr>
                <w:color w:val="000000" w:themeColor="text1"/>
                <w:kern w:val="0"/>
                <w:szCs w:val="22"/>
                <w14:textFill>
                  <w14:solidFill>
                    <w14:schemeClr w14:val="tx1"/>
                  </w14:solidFill>
                </w14:textFill>
              </w:rPr>
              <w:t>本项目</w:t>
            </w:r>
            <w:r>
              <w:rPr>
                <w:color w:val="000000" w:themeColor="text1"/>
                <w14:textFill>
                  <w14:solidFill>
                    <w14:schemeClr w14:val="tx1"/>
                  </w14:solidFill>
                </w14:textFill>
              </w:rPr>
              <w:t>卸料及运输过程中产生的无组织扬尘，通过洒水降尘进行防治，</w:t>
            </w:r>
            <w:r>
              <w:rPr>
                <w:color w:val="000000" w:themeColor="text1"/>
                <w:kern w:val="0"/>
                <w:szCs w:val="22"/>
                <w14:textFill>
                  <w14:solidFill>
                    <w14:schemeClr w14:val="tx1"/>
                  </w14:solidFill>
                </w14:textFill>
              </w:rPr>
              <w:t>堆存区采用编织覆盖、半封闭式及洒水抑尘，项目生产线进料口和传送带采用全封闭方式，</w:t>
            </w:r>
            <w:r>
              <w:rPr>
                <w:color w:val="000000" w:themeColor="text1"/>
                <w14:textFill>
                  <w14:solidFill>
                    <w14:schemeClr w14:val="tx1"/>
                  </w14:solidFill>
                </w14:textFill>
              </w:rPr>
              <w:t>筒仓粉尘设置</w:t>
            </w:r>
            <w:r>
              <w:rPr>
                <w:color w:val="000000" w:themeColor="text1"/>
                <w:kern w:val="0"/>
                <w:lang w:bidi="ar"/>
                <w14:textFill>
                  <w14:solidFill>
                    <w14:schemeClr w14:val="tx1"/>
                  </w14:solidFill>
                </w14:textFill>
              </w:rPr>
              <w:t>滤筒式</w:t>
            </w:r>
            <w:r>
              <w:rPr>
                <w:snapToGrid w:val="0"/>
                <w:color w:val="000000" w:themeColor="text1"/>
                <w14:textFill>
                  <w14:solidFill>
                    <w14:schemeClr w14:val="tx1"/>
                  </w14:solidFill>
                </w14:textFill>
              </w:rPr>
              <w:t>除尘器处理</w:t>
            </w:r>
            <w:r>
              <w:rPr>
                <w:color w:val="000000" w:themeColor="text1"/>
                <w14:textFill>
                  <w14:solidFill>
                    <w14:schemeClr w14:val="tx1"/>
                  </w14:solidFill>
                </w14:textFill>
              </w:rPr>
              <w:t>，搅拌系统产生的粉尘采用袋式除尘器处理后排放，厂区有组织和无组织粉尘均能达到《水泥工业大气污染物排放标准》（GB4915-2013）中表</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和表3中相关标准，食堂油烟经油烟净化设施处理后排放，能达到《饮食业油烟排放标准》（GB18483-2001）排放标准。</w:t>
            </w:r>
          </w:p>
          <w:p>
            <w:pPr>
              <w:pStyle w:val="37"/>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根据《工业料堆场扬尘整治规范》（DB65/T4061-2017）中表1工业料堆场类型划分，项目区属于环境一般控制区，料堆场规模位于300~10000m</w:t>
            </w:r>
            <w:r>
              <w:rPr>
                <w:rFonts w:hint="default" w:ascii="Times New Roman"/>
                <w:color w:val="000000" w:themeColor="text1"/>
                <w:vertAlign w:val="superscript"/>
                <w14:textFill>
                  <w14:solidFill>
                    <w14:schemeClr w14:val="tx1"/>
                  </w14:solidFill>
                </w14:textFill>
              </w:rPr>
              <w:t>3</w:t>
            </w:r>
            <w:r>
              <w:rPr>
                <w:rFonts w:hint="default" w:ascii="Times New Roman"/>
                <w:color w:val="000000" w:themeColor="text1"/>
                <w14:textFill>
                  <w14:solidFill>
                    <w14:schemeClr w14:val="tx1"/>
                  </w14:solidFill>
                </w14:textFill>
              </w:rPr>
              <w:t>之间，项目区风速位于2~4m/s之间，料堆场为砂石堆场，砂石粒度大于0.5mm，将本项目料堆场划分为</w:t>
            </w:r>
            <w:r>
              <w:rPr>
                <w:rFonts w:hint="default" w:ascii="Times New Roman"/>
                <w:color w:val="000000" w:themeColor="text1"/>
                <w14:textFill>
                  <w14:solidFill>
                    <w14:schemeClr w14:val="tx1"/>
                  </w14:solidFill>
                </w14:textFill>
              </w:rPr>
              <w:fldChar w:fldCharType="begin"/>
            </w:r>
            <w:r>
              <w:rPr>
                <w:rFonts w:hint="default" w:ascii="Times New Roman"/>
                <w:color w:val="000000" w:themeColor="text1"/>
                <w14:textFill>
                  <w14:solidFill>
                    <w14:schemeClr w14:val="tx1"/>
                  </w14:solidFill>
                </w14:textFill>
              </w:rPr>
              <w:instrText xml:space="preserve"> = 2 \* ROMAN \* MERGEFORMAT </w:instrText>
            </w:r>
            <w:r>
              <w:rPr>
                <w:rFonts w:hint="default" w:ascii="Times New Roman"/>
                <w:color w:val="000000" w:themeColor="text1"/>
                <w14:textFill>
                  <w14:solidFill>
                    <w14:schemeClr w14:val="tx1"/>
                  </w14:solidFill>
                </w14:textFill>
              </w:rPr>
              <w:fldChar w:fldCharType="separate"/>
            </w:r>
            <w:r>
              <w:rPr>
                <w:rFonts w:hint="default" w:ascii="Times New Roman"/>
                <w:color w:val="000000" w:themeColor="text1"/>
                <w14:textFill>
                  <w14:solidFill>
                    <w14:schemeClr w14:val="tx1"/>
                  </w14:solidFill>
                </w14:textFill>
              </w:rPr>
              <w:t>II</w:t>
            </w:r>
            <w:r>
              <w:rPr>
                <w:rFonts w:hint="default" w:ascii="Times New Roman"/>
                <w:color w:val="000000" w:themeColor="text1"/>
                <w14:textFill>
                  <w14:solidFill>
                    <w14:schemeClr w14:val="tx1"/>
                  </w14:solidFill>
                </w14:textFill>
              </w:rPr>
              <w:fldChar w:fldCharType="end"/>
            </w:r>
            <w:r>
              <w:rPr>
                <w:rFonts w:hint="default" w:ascii="Times New Roman"/>
                <w:color w:val="000000" w:themeColor="text1"/>
                <w14:textFill>
                  <w14:solidFill>
                    <w14:schemeClr w14:val="tx1"/>
                  </w14:solidFill>
                </w14:textFill>
              </w:rPr>
              <w:t>类</w:t>
            </w:r>
            <w:r>
              <w:rPr>
                <w:rFonts w:hint="default" w:ascii="Times New Roman" w:hAnsi="Times New Roman" w:eastAsia="宋体" w:cs="Times New Roman"/>
                <w:color w:val="000000" w:themeColor="text1"/>
                <w14:textFill>
                  <w14:solidFill>
                    <w14:schemeClr w14:val="tx1"/>
                  </w14:solidFill>
                </w14:textFill>
              </w:rPr>
              <w:t>，本项目料堆场采用洒水降尘、编织覆盖及半封闭式抑尘，符合整治规范，整治方案可行。</w:t>
            </w:r>
          </w:p>
          <w:p>
            <w:pPr>
              <w:pStyle w:val="37"/>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项目区域大风天气多，大风天气应增大运输道路洒水清扫频次，保持道路清洁，易产扬尘的物料全部采取密闭保存，覆盖严密。</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综上所述，本项目各生产环节废气在采取环保措施后均能达标排放，不会对周围敏感环境造成大的影响，本项目各生产环节废气治理措施是可行的。</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4</w:t>
            </w:r>
            <w:r>
              <w:rPr>
                <w:b/>
                <w:bCs/>
                <w:color w:val="000000" w:themeColor="text1"/>
                <w14:textFill>
                  <w14:solidFill>
                    <w14:schemeClr w14:val="tx1"/>
                  </w14:solidFill>
                </w14:textFill>
              </w:rPr>
              <w:t>废气监测计划</w:t>
            </w:r>
          </w:p>
          <w:p>
            <w:pPr>
              <w:pStyle w:val="17"/>
              <w:ind w:firstLine="480"/>
              <w:rPr>
                <w:rFonts w:ascii="Times New Roman" w:hAnsi="Times New Roman" w:eastAsia="宋体"/>
                <w:bCs/>
                <w:color w:val="000000" w:themeColor="text1"/>
                <w:sz w:val="24"/>
                <w:szCs w:val="22"/>
                <w14:textFill>
                  <w14:solidFill>
                    <w14:schemeClr w14:val="tx1"/>
                  </w14:solidFill>
                </w14:textFill>
              </w:rPr>
            </w:pPr>
            <w:r>
              <w:rPr>
                <w:rFonts w:ascii="Times New Roman" w:hAnsi="Times New Roman" w:eastAsia="宋体"/>
                <w:bCs/>
                <w:color w:val="000000" w:themeColor="text1"/>
                <w:sz w:val="24"/>
                <w:szCs w:val="22"/>
                <w14:textFill>
                  <w14:solidFill>
                    <w14:schemeClr w14:val="tx1"/>
                  </w14:solidFill>
                </w14:textFill>
              </w:rPr>
              <w:t>根据本项目生产工艺特点，其废气监测工作内容详见表4-</w:t>
            </w:r>
            <w:r>
              <w:rPr>
                <w:rFonts w:hint="eastAsia" w:ascii="Times New Roman" w:hAnsi="Times New Roman" w:eastAsia="宋体"/>
                <w:bCs/>
                <w:color w:val="000000" w:themeColor="text1"/>
                <w:sz w:val="24"/>
                <w:szCs w:val="22"/>
                <w:lang w:val="en-US" w:eastAsia="zh-CN"/>
                <w14:textFill>
                  <w14:solidFill>
                    <w14:schemeClr w14:val="tx1"/>
                  </w14:solidFill>
                </w14:textFill>
              </w:rPr>
              <w:t>9</w:t>
            </w:r>
            <w:r>
              <w:rPr>
                <w:rFonts w:ascii="Times New Roman" w:hAnsi="Times New Roman" w:eastAsia="宋体"/>
                <w:bCs/>
                <w:color w:val="000000" w:themeColor="text1"/>
                <w:sz w:val="24"/>
                <w:szCs w:val="22"/>
                <w14:textFill>
                  <w14:solidFill>
                    <w14:schemeClr w14:val="tx1"/>
                  </w14:solidFill>
                </w14:textFill>
              </w:rPr>
              <w:t>。</w:t>
            </w:r>
          </w:p>
          <w:p>
            <w:pPr>
              <w:pStyle w:val="79"/>
              <w:adjustRightInd/>
              <w:snapToGrid/>
              <w:spacing w:line="240" w:lineRule="auto"/>
              <w:ind w:firstLine="0"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w:t>
            </w:r>
            <w:r>
              <w:rPr>
                <w:rFonts w:ascii="Times New Roman" w:hAnsi="Times New Roman"/>
                <w:color w:val="000000" w:themeColor="text1"/>
                <w:szCs w:val="21"/>
                <w:lang w:val="en-US"/>
                <w14:textFill>
                  <w14:solidFill>
                    <w14:schemeClr w14:val="tx1"/>
                  </w14:solidFill>
                </w14:textFill>
              </w:rPr>
              <w:t>4-</w:t>
            </w:r>
            <w:r>
              <w:rPr>
                <w:rFonts w:hint="eastAsia" w:ascii="Times New Roman" w:hAnsi="Times New Roman"/>
                <w:color w:val="000000" w:themeColor="text1"/>
                <w:szCs w:val="21"/>
                <w:lang w:val="en-US" w:eastAsia="zh-CN"/>
                <w14:textFill>
                  <w14:solidFill>
                    <w14:schemeClr w14:val="tx1"/>
                  </w14:solidFill>
                </w14:textFill>
              </w:rPr>
              <w:t>9</w:t>
            </w:r>
            <w:r>
              <w:rPr>
                <w:rFonts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lang w:val="en-US"/>
                <w14:textFill>
                  <w14:solidFill>
                    <w14:schemeClr w14:val="tx1"/>
                  </w14:solidFill>
                </w14:textFill>
              </w:rPr>
              <w:t>废气自行监测要求</w:t>
            </w:r>
            <w:r>
              <w:rPr>
                <w:rFonts w:ascii="Times New Roman" w:hAnsi="Times New Roman"/>
                <w:color w:val="000000" w:themeColor="text1"/>
                <w:szCs w:val="21"/>
                <w14:textFill>
                  <w14:solidFill>
                    <w14:schemeClr w14:val="tx1"/>
                  </w14:solidFill>
                </w14:textFill>
              </w:rPr>
              <w:t>一览表</w:t>
            </w:r>
          </w:p>
          <w:tbl>
            <w:tblPr>
              <w:tblStyle w:val="30"/>
              <w:tblW w:w="499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26"/>
              <w:gridCol w:w="2161"/>
              <w:gridCol w:w="2389"/>
              <w:gridCol w:w="25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783"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监测对象</w:t>
                  </w:r>
                </w:p>
              </w:tc>
              <w:tc>
                <w:tcPr>
                  <w:tcW w:w="1277"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监测位置</w:t>
                  </w:r>
                </w:p>
              </w:tc>
              <w:tc>
                <w:tcPr>
                  <w:tcW w:w="1412"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监测项目</w:t>
                  </w:r>
                </w:p>
              </w:tc>
              <w:tc>
                <w:tcPr>
                  <w:tcW w:w="1526"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783" w:type="pct"/>
                  <w:vMerge w:val="restar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废气</w:t>
                  </w:r>
                </w:p>
              </w:tc>
              <w:tc>
                <w:tcPr>
                  <w:tcW w:w="1277"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筒仓</w:t>
                  </w:r>
                  <w:r>
                    <w:rPr>
                      <w:color w:val="000000" w:themeColor="text1"/>
                      <w:kern w:val="0"/>
                      <w:sz w:val="21"/>
                      <w:szCs w:val="21"/>
                      <w14:textFill>
                        <w14:solidFill>
                          <w14:schemeClr w14:val="tx1"/>
                        </w14:solidFill>
                      </w14:textFill>
                    </w:rPr>
                    <w:t>排气筒DA001</w:t>
                  </w:r>
                  <w:r>
                    <w:rPr>
                      <w:rFonts w:hint="eastAsia"/>
                      <w:color w:val="000000" w:themeColor="text1"/>
                      <w:kern w:val="0"/>
                      <w:sz w:val="21"/>
                      <w:szCs w:val="21"/>
                      <w:lang w:val="en-US" w:eastAsia="zh-CN"/>
                      <w14:textFill>
                        <w14:solidFill>
                          <w14:schemeClr w14:val="tx1"/>
                        </w14:solidFill>
                      </w14:textFill>
                    </w:rPr>
                    <w:t>~DA008</w:t>
                  </w:r>
                </w:p>
              </w:tc>
              <w:tc>
                <w:tcPr>
                  <w:tcW w:w="1412"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TSP</w:t>
                  </w:r>
                </w:p>
              </w:tc>
              <w:tc>
                <w:tcPr>
                  <w:tcW w:w="1526"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1次/2年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783" w:type="pct"/>
                  <w:vMerge w:val="continue"/>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p>
              </w:tc>
              <w:tc>
                <w:tcPr>
                  <w:tcW w:w="12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搅拌楼</w:t>
                  </w:r>
                  <w:r>
                    <w:rPr>
                      <w:color w:val="000000" w:themeColor="text1"/>
                      <w:kern w:val="0"/>
                      <w:sz w:val="21"/>
                      <w:szCs w:val="21"/>
                      <w14:textFill>
                        <w14:solidFill>
                          <w14:schemeClr w14:val="tx1"/>
                        </w14:solidFill>
                      </w14:textFill>
                    </w:rPr>
                    <w:t>排气筒DA00</w:t>
                  </w:r>
                  <w:r>
                    <w:rPr>
                      <w:rFonts w:hint="eastAsia"/>
                      <w:color w:val="000000" w:themeColor="text1"/>
                      <w:kern w:val="0"/>
                      <w:sz w:val="21"/>
                      <w:szCs w:val="21"/>
                      <w:lang w:val="en-US" w:eastAsia="zh-CN"/>
                      <w14:textFill>
                        <w14:solidFill>
                          <w14:schemeClr w14:val="tx1"/>
                        </w14:solidFill>
                      </w14:textFill>
                    </w:rPr>
                    <w:t>9</w:t>
                  </w:r>
                </w:p>
              </w:tc>
              <w:tc>
                <w:tcPr>
                  <w:tcW w:w="1412" w:type="pct"/>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TSP</w:t>
                  </w:r>
                </w:p>
              </w:tc>
              <w:tc>
                <w:tcPr>
                  <w:tcW w:w="1526" w:type="pct"/>
                  <w:vAlign w:val="center"/>
                </w:tcPr>
                <w:p>
                  <w:pPr>
                    <w:widowControl/>
                    <w:spacing w:line="240" w:lineRule="auto"/>
                    <w:ind w:firstLine="0" w:firstLineChars="0"/>
                    <w:jc w:val="center"/>
                    <w:textAlignment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1次/2年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783" w:type="pct"/>
                  <w:vMerge w:val="continue"/>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p>
              </w:tc>
              <w:tc>
                <w:tcPr>
                  <w:tcW w:w="1277"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厂界</w:t>
                  </w:r>
                </w:p>
              </w:tc>
              <w:tc>
                <w:tcPr>
                  <w:tcW w:w="1412"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TSP</w:t>
                  </w:r>
                </w:p>
              </w:tc>
              <w:tc>
                <w:tcPr>
                  <w:tcW w:w="1526" w:type="pct"/>
                  <w:vAlign w:val="center"/>
                </w:tcPr>
                <w:p>
                  <w:pPr>
                    <w:widowControl/>
                    <w:spacing w:line="240" w:lineRule="auto"/>
                    <w:ind w:firstLine="0" w:firstLineChars="0"/>
                    <w:jc w:val="center"/>
                    <w:textAlignment w:val="center"/>
                    <w:rPr>
                      <w:rFonts w:hint="eastAsia"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1次/</w:t>
                  </w:r>
                  <w:r>
                    <w:rPr>
                      <w:rFonts w:hint="eastAsia"/>
                      <w:color w:val="000000" w:themeColor="text1"/>
                      <w:kern w:val="0"/>
                      <w:sz w:val="21"/>
                      <w:szCs w:val="21"/>
                      <w:lang w:val="en-US" w:eastAsia="zh-CN"/>
                      <w14:textFill>
                        <w14:solidFill>
                          <w14:schemeClr w14:val="tx1"/>
                        </w14:solidFill>
                      </w14:textFill>
                    </w:rPr>
                    <w:t>1季度</w:t>
                  </w:r>
                </w:p>
              </w:tc>
            </w:tr>
          </w:tbl>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非正常工况</w:t>
            </w:r>
          </w:p>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本项目的非正常工况主要是污染物排放控制措施达不到应有效率或环保设施无法正常使用，即布袋除尘器故障，造成排气筒废气中污染物直接排放，其排放情况如表见表4-1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w:t>
            </w:r>
          </w:p>
          <w:p>
            <w:pPr>
              <w:pStyle w:val="79"/>
              <w:adjustRightInd/>
              <w:snapToGrid/>
              <w:spacing w:line="240" w:lineRule="auto"/>
              <w:ind w:firstLine="0" w:firstLineChars="0"/>
              <w:rPr>
                <w:rFonts w:ascii="Times New Roman" w:hAnsi="Times New Roman"/>
                <w:color w:val="000000" w:themeColor="text1"/>
                <w:szCs w:val="21"/>
                <w:lang w:val="en-US"/>
                <w14:textFill>
                  <w14:solidFill>
                    <w14:schemeClr w14:val="tx1"/>
                  </w14:solidFill>
                </w14:textFill>
              </w:rPr>
            </w:pPr>
            <w:r>
              <w:rPr>
                <w:rFonts w:ascii="Times New Roman" w:hAnsi="Times New Roman"/>
                <w:color w:val="000000" w:themeColor="text1"/>
                <w:szCs w:val="21"/>
                <w:lang w:val="en-US"/>
                <w14:textFill>
                  <w14:solidFill>
                    <w14:schemeClr w14:val="tx1"/>
                  </w14:solidFill>
                </w14:textFill>
              </w:rPr>
              <w:t>表4-1</w:t>
            </w:r>
            <w:r>
              <w:rPr>
                <w:rFonts w:hint="eastAsia" w:ascii="Times New Roman" w:hAnsi="Times New Roman"/>
                <w:color w:val="000000" w:themeColor="text1"/>
                <w:szCs w:val="21"/>
                <w:lang w:val="en-US" w:eastAsia="zh-CN"/>
                <w14:textFill>
                  <w14:solidFill>
                    <w14:schemeClr w14:val="tx1"/>
                  </w14:solidFill>
                </w14:textFill>
              </w:rPr>
              <w:t>0</w:t>
            </w:r>
            <w:r>
              <w:rPr>
                <w:rFonts w:ascii="Times New Roman" w:hAnsi="Times New Roman"/>
                <w:color w:val="000000" w:themeColor="text1"/>
                <w:szCs w:val="21"/>
                <w:lang w:val="en-US"/>
                <w14:textFill>
                  <w14:solidFill>
                    <w14:schemeClr w14:val="tx1"/>
                  </w14:solidFill>
                </w14:textFill>
              </w:rPr>
              <w:t xml:space="preserve">    污染源非正常排放量一览表</w:t>
            </w:r>
          </w:p>
          <w:tbl>
            <w:tblPr>
              <w:tblStyle w:val="30"/>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73"/>
              <w:gridCol w:w="1390"/>
              <w:gridCol w:w="1714"/>
              <w:gridCol w:w="1541"/>
              <w:gridCol w:w="1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非正常</w:t>
                  </w:r>
                </w:p>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排放源</w:t>
                  </w:r>
                </w:p>
              </w:tc>
              <w:tc>
                <w:tcPr>
                  <w:tcW w:w="516"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污染物</w:t>
                  </w:r>
                </w:p>
              </w:tc>
              <w:tc>
                <w:tcPr>
                  <w:tcW w:w="821"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非正常</w:t>
                  </w:r>
                </w:p>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排放浓度</w:t>
                  </w:r>
                </w:p>
              </w:tc>
              <w:tc>
                <w:tcPr>
                  <w:tcW w:w="1013"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非正常排放量</w:t>
                  </w:r>
                </w:p>
              </w:tc>
              <w:tc>
                <w:tcPr>
                  <w:tcW w:w="910"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单次持续时间</w:t>
                  </w:r>
                </w:p>
              </w:tc>
              <w:tc>
                <w:tcPr>
                  <w:tcW w:w="777"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年发生频次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筒仓排气筒DA001</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b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筒仓排气筒DA00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516"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3254</w:t>
                  </w:r>
                  <w:r>
                    <w:rPr>
                      <w:rFonts w:hint="eastAsia" w:ascii="Times New Roman" w:hAnsi="Times New Roman" w:eastAsia="宋体" w:cs="Times New Roman"/>
                      <w:color w:val="000000" w:themeColor="text1"/>
                      <w:kern w:val="0"/>
                      <w:sz w:val="21"/>
                      <w:szCs w:val="21"/>
                      <w14:textFill>
                        <w14:solidFill>
                          <w14:schemeClr w14:val="tx1"/>
                        </w14:solidFill>
                      </w14:textFill>
                    </w:rPr>
                    <w:t>mg/m</w:t>
                  </w:r>
                  <w:r>
                    <w:rPr>
                      <w:rFonts w:hint="eastAsia"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w:t>
                  </w:r>
                  <w:r>
                    <w:rPr>
                      <w:rFonts w:hint="eastAsia" w:ascii="Times New Roman" w:hAnsi="Times New Roman" w:eastAsia="宋体" w:cs="Times New Roman"/>
                      <w:color w:val="000000" w:themeColor="text1"/>
                      <w:kern w:val="0"/>
                      <w:sz w:val="21"/>
                      <w:szCs w:val="21"/>
                      <w14:textFill>
                        <w14:solidFill>
                          <w14:schemeClr w14:val="tx1"/>
                        </w14:solidFill>
                      </w14:textFill>
                    </w:rPr>
                    <w:t>t</w:t>
                  </w:r>
                </w:p>
              </w:tc>
              <w:tc>
                <w:tcPr>
                  <w:tcW w:w="910"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1" w:type="pct"/>
                  <w:vAlign w:val="center"/>
                </w:tcPr>
                <w:p>
                  <w:pPr>
                    <w:widowControl/>
                    <w:spacing w:line="240" w:lineRule="auto"/>
                    <w:ind w:firstLine="0" w:firstLineChars="0"/>
                    <w:jc w:val="center"/>
                    <w:textAlignment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搅拌楼</w:t>
                  </w:r>
                  <w:r>
                    <w:rPr>
                      <w:color w:val="000000" w:themeColor="text1"/>
                      <w:kern w:val="0"/>
                      <w:sz w:val="21"/>
                      <w:szCs w:val="21"/>
                      <w14:textFill>
                        <w14:solidFill>
                          <w14:schemeClr w14:val="tx1"/>
                        </w14:solidFill>
                      </w14:textFill>
                    </w:rPr>
                    <w:t>排气筒DA00</w:t>
                  </w:r>
                  <w:r>
                    <w:rPr>
                      <w:rFonts w:hint="eastAsia"/>
                      <w:color w:val="000000" w:themeColor="text1"/>
                      <w:kern w:val="0"/>
                      <w:sz w:val="21"/>
                      <w:szCs w:val="21"/>
                      <w:lang w:val="en-US" w:eastAsia="zh-CN"/>
                      <w14:textFill>
                        <w14:solidFill>
                          <w14:schemeClr w14:val="tx1"/>
                        </w14:solidFill>
                      </w14:textFill>
                    </w:rPr>
                    <w:t>9</w:t>
                  </w:r>
                </w:p>
              </w:tc>
              <w:tc>
                <w:tcPr>
                  <w:tcW w:w="516"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颗粒物</w:t>
                  </w:r>
                </w:p>
              </w:tc>
              <w:tc>
                <w:tcPr>
                  <w:tcW w:w="821"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5200mg/m</w:t>
                  </w:r>
                  <w:r>
                    <w:rPr>
                      <w:color w:val="000000" w:themeColor="text1"/>
                      <w:kern w:val="0"/>
                      <w:sz w:val="21"/>
                      <w:szCs w:val="21"/>
                      <w:vertAlign w:val="superscript"/>
                      <w14:textFill>
                        <w14:solidFill>
                          <w14:schemeClr w14:val="tx1"/>
                        </w14:solidFill>
                      </w14:textFill>
                    </w:rPr>
                    <w:t>3</w:t>
                  </w:r>
                </w:p>
              </w:tc>
              <w:tc>
                <w:tcPr>
                  <w:tcW w:w="1013" w:type="pct"/>
                  <w:vAlign w:val="center"/>
                </w:tcPr>
                <w:p>
                  <w:pPr>
                    <w:widowControl/>
                    <w:spacing w:line="240" w:lineRule="auto"/>
                    <w:ind w:firstLine="0" w:firstLineChars="0"/>
                    <w:jc w:val="center"/>
                    <w:textAlignment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0.1128t</w:t>
                  </w:r>
                </w:p>
              </w:tc>
              <w:tc>
                <w:tcPr>
                  <w:tcW w:w="910"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1h</w:t>
                  </w:r>
                </w:p>
              </w:tc>
              <w:tc>
                <w:tcPr>
                  <w:tcW w:w="777" w:type="pct"/>
                  <w:vAlign w:val="center"/>
                </w:tcPr>
                <w:p>
                  <w:pPr>
                    <w:widowControl/>
                    <w:spacing w:line="240" w:lineRule="auto"/>
                    <w:ind w:firstLine="0" w:firstLineChars="0"/>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1次/年</w:t>
                  </w:r>
                </w:p>
              </w:tc>
            </w:tr>
          </w:tbl>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由上表可知，非正常工况下，厂区有组织污染物排放浓度超标严重。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①安排专人负责环保设备的日常维护和管理，每个固定时间检查、汇报情况，及时发现废气处理设备的隐患，确保废气处理系统正常运行；</w:t>
            </w:r>
          </w:p>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②建立健全的环保管理机构，对环保管理人员和技术人员进行岗位培训，委托具有专业资质的环境检测单位对项目排放的各类污染物进行定期检测；</w:t>
            </w:r>
          </w:p>
          <w:p>
            <w:pPr>
              <w:widowControl/>
              <w:ind w:firstLine="480"/>
              <w:rPr>
                <w:b/>
                <w:bCs/>
                <w:color w:val="000000" w:themeColor="text1"/>
                <w14:textFill>
                  <w14:solidFill>
                    <w14:schemeClr w14:val="tx1"/>
                  </w14:solidFill>
                </w14:textFill>
              </w:rPr>
            </w:pPr>
            <w:r>
              <w:rPr>
                <w:color w:val="000000" w:themeColor="text1"/>
                <w14:textFill>
                  <w14:solidFill>
                    <w14:schemeClr w14:val="tx1"/>
                  </w14:solidFill>
                </w14:textFill>
              </w:rPr>
              <w:t>③应定期维护、检修废气处理装置，以保持废气处理装置的净化能力。</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2、水环境影响及保护措施</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2.1污染源分析</w:t>
            </w:r>
          </w:p>
          <w:p>
            <w:pPr>
              <w:pStyle w:val="41"/>
              <w:ind w:firstLine="480"/>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本项目</w:t>
            </w:r>
            <w:r>
              <w:rPr>
                <w:rFonts w:ascii="Times New Roman"/>
                <w:color w:val="000000" w:themeColor="text1"/>
                <w:szCs w:val="24"/>
                <w14:textFill>
                  <w14:solidFill>
                    <w14:schemeClr w14:val="tx1"/>
                  </w14:solidFill>
                </w14:textFill>
              </w:rPr>
              <w:t>产品生产</w:t>
            </w:r>
            <w:r>
              <w:rPr>
                <w:rFonts w:ascii="Times New Roman"/>
                <w:color w:val="000000" w:themeColor="text1"/>
                <w:szCs w:val="22"/>
                <w14:textFill>
                  <w14:solidFill>
                    <w14:schemeClr w14:val="tx1"/>
                  </w14:solidFill>
                </w14:textFill>
              </w:rPr>
              <w:t>用水全部进入产品；降尘用水全部自然蒸发；搅拌设备、地面及车辆清洗废水经沉淀池处理后循环利用，不外排。</w:t>
            </w:r>
          </w:p>
          <w:p>
            <w:pPr>
              <w:ind w:firstLine="480"/>
              <w:rPr>
                <w:color w:val="000000" w:themeColor="text1"/>
                <w:szCs w:val="22"/>
                <w14:textFill>
                  <w14:solidFill>
                    <w14:schemeClr w14:val="tx1"/>
                  </w14:solidFill>
                </w14:textFill>
              </w:rPr>
            </w:pPr>
            <w:r>
              <w:rPr>
                <w:color w:val="000000" w:themeColor="text1"/>
                <w14:textFill>
                  <w14:solidFill>
                    <w14:schemeClr w14:val="tx1"/>
                  </w14:solidFill>
                </w14:textFill>
              </w:rPr>
              <w:t>本项目废水主要为生活污水W1，</w:t>
            </w:r>
            <w:r>
              <w:rPr>
                <w:color w:val="000000" w:themeColor="text1"/>
                <w:szCs w:val="22"/>
                <w14:textFill>
                  <w14:solidFill>
                    <w14:schemeClr w14:val="tx1"/>
                  </w14:solidFill>
                </w14:textFill>
              </w:rPr>
              <w:t>根据前文分析，生活污水以生活用水量的80%计，生活污水量为0.8</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/d（192m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/a），食堂废水经隔油池处理后与员工产生的生活污水一同排入下水管网</w:t>
            </w:r>
            <w:r>
              <w:rPr>
                <w:color w:val="000000" w:themeColor="text1"/>
                <w:lang w:bidi="ar"/>
                <w14:textFill>
                  <w14:solidFill>
                    <w14:schemeClr w14:val="tx1"/>
                  </w14:solidFill>
                </w14:textFill>
              </w:rPr>
              <w:t>，最终排入园区污水处理厂</w:t>
            </w:r>
            <w:r>
              <w:rPr>
                <w:color w:val="000000" w:themeColor="text1"/>
                <w:szCs w:val="22"/>
                <w14:textFill>
                  <w14:solidFill>
                    <w14:schemeClr w14:val="tx1"/>
                  </w14:solidFill>
                </w14:textFill>
              </w:rPr>
              <w:t>，主要污染物为COD、BOD</w:t>
            </w:r>
            <w:r>
              <w:rPr>
                <w:color w:val="000000" w:themeColor="text1"/>
                <w:szCs w:val="22"/>
                <w:vertAlign w:val="subscript"/>
                <w14:textFill>
                  <w14:solidFill>
                    <w14:schemeClr w14:val="tx1"/>
                  </w14:solidFill>
                </w14:textFill>
              </w:rPr>
              <w:t>5</w:t>
            </w:r>
            <w:r>
              <w:rPr>
                <w:color w:val="000000" w:themeColor="text1"/>
                <w:szCs w:val="22"/>
                <w14:textFill>
                  <w14:solidFill>
                    <w14:schemeClr w14:val="tx1"/>
                  </w14:solidFill>
                </w14:textFill>
              </w:rPr>
              <w:t>、SS、NH</w:t>
            </w:r>
            <w:r>
              <w:rPr>
                <w:color w:val="000000" w:themeColor="text1"/>
                <w:szCs w:val="22"/>
                <w:vertAlign w:val="subscript"/>
                <w14:textFill>
                  <w14:solidFill>
                    <w14:schemeClr w14:val="tx1"/>
                  </w14:solidFill>
                </w14:textFill>
              </w:rPr>
              <w:t>3</w:t>
            </w:r>
            <w:r>
              <w:rPr>
                <w:color w:val="000000" w:themeColor="text1"/>
                <w:szCs w:val="22"/>
                <w14:textFill>
                  <w14:solidFill>
                    <w14:schemeClr w14:val="tx1"/>
                  </w14:solidFill>
                </w14:textFill>
              </w:rPr>
              <w:t>-N。</w:t>
            </w:r>
          </w:p>
          <w:p>
            <w:pPr>
              <w:pStyle w:val="37"/>
              <w:ind w:firstLine="480"/>
              <w:rPr>
                <w:rFonts w:hint="default" w:ascii="Times New Roman" w:eastAsia="黑体"/>
                <w:b/>
                <w:bCs/>
                <w:color w:val="000000" w:themeColor="text1"/>
                <w:sz w:val="21"/>
                <w:szCs w:val="21"/>
                <w14:textFill>
                  <w14:solidFill>
                    <w14:schemeClr w14:val="tx1"/>
                  </w14:solidFill>
                </w14:textFill>
              </w:rPr>
            </w:pPr>
            <w:r>
              <w:rPr>
                <w:rFonts w:hint="default" w:ascii="Times New Roman"/>
                <w:color w:val="000000" w:themeColor="text1"/>
                <w:szCs w:val="22"/>
                <w14:textFill>
                  <w14:solidFill>
                    <w14:schemeClr w14:val="tx1"/>
                  </w14:solidFill>
                </w14:textFill>
              </w:rPr>
              <w:t>本项目运营期生活污水排放见下表。</w:t>
            </w:r>
          </w:p>
          <w:p>
            <w:pPr>
              <w:pStyle w:val="65"/>
              <w:ind w:left="0" w:leftChars="0" w:firstLine="2741" w:firstLineChars="1300"/>
              <w:jc w:val="both"/>
              <w:rPr>
                <w:rFonts w:ascii="Times New Roman" w:hAnsi="Times New Roman" w:eastAsia="宋体" w:cs="Times New Roman"/>
                <w:b/>
                <w:color w:val="000000" w:themeColor="text1"/>
                <w:kern w:val="2"/>
                <w:sz w:val="21"/>
                <w:szCs w:val="21"/>
                <w:lang w:val="zh-CN" w:eastAsia="zh-CN" w:bidi="ar-SA"/>
                <w14:textFill>
                  <w14:solidFill>
                    <w14:schemeClr w14:val="tx1"/>
                  </w14:solidFill>
                </w14:textFill>
              </w:rPr>
            </w:pPr>
            <w:r>
              <w:rPr>
                <w:rFonts w:ascii="Times New Roman" w:hAnsi="Times New Roman" w:eastAsia="宋体" w:cs="Times New Roman"/>
                <w:b/>
                <w:color w:val="000000" w:themeColor="text1"/>
                <w:kern w:val="2"/>
                <w:sz w:val="21"/>
                <w:szCs w:val="21"/>
                <w:lang w:val="zh-CN" w:eastAsia="zh-CN" w:bidi="ar-SA"/>
                <w14:textFill>
                  <w14:solidFill>
                    <w14:schemeClr w14:val="tx1"/>
                  </w14:solidFill>
                </w14:textFill>
              </w:rPr>
              <w:t>表4-1</w:t>
            </w:r>
            <w:r>
              <w:rPr>
                <w:rFonts w:hint="eastAsia" w:cs="Times New Roman"/>
                <w:b/>
                <w:color w:val="000000" w:themeColor="text1"/>
                <w:kern w:val="2"/>
                <w:sz w:val="21"/>
                <w:szCs w:val="21"/>
                <w:lang w:val="en-US" w:eastAsia="zh-CN" w:bidi="ar-SA"/>
                <w14:textFill>
                  <w14:solidFill>
                    <w14:schemeClr w14:val="tx1"/>
                  </w14:solidFill>
                </w14:textFill>
              </w:rPr>
              <w:t>1</w:t>
            </w:r>
            <w:r>
              <w:rPr>
                <w:rFonts w:ascii="Times New Roman" w:hAnsi="Times New Roman" w:eastAsia="宋体" w:cs="Times New Roman"/>
                <w:b/>
                <w:color w:val="000000" w:themeColor="text1"/>
                <w:kern w:val="2"/>
                <w:sz w:val="21"/>
                <w:szCs w:val="21"/>
                <w:lang w:val="zh-CN" w:eastAsia="zh-CN" w:bidi="ar-SA"/>
                <w14:textFill>
                  <w14:solidFill>
                    <w14:schemeClr w14:val="tx1"/>
                  </w14:solidFill>
                </w14:textFill>
              </w:rPr>
              <w:t xml:space="preserve">    运营期污水排放一览表</w:t>
            </w:r>
          </w:p>
          <w:tbl>
            <w:tblPr>
              <w:tblStyle w:val="30"/>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855"/>
              <w:gridCol w:w="1176"/>
              <w:gridCol w:w="2154"/>
              <w:gridCol w:w="1896"/>
              <w:gridCol w:w="1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废水类别</w:t>
                  </w:r>
                </w:p>
              </w:tc>
              <w:tc>
                <w:tcPr>
                  <w:tcW w:w="50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废水量</w:t>
                  </w:r>
                </w:p>
              </w:tc>
              <w:tc>
                <w:tcPr>
                  <w:tcW w:w="698"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127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排放浓度及产生量</w:t>
                  </w:r>
                </w:p>
              </w:tc>
              <w:tc>
                <w:tcPr>
                  <w:tcW w:w="1124"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执行标准浓度限值</w:t>
                  </w:r>
                </w:p>
              </w:tc>
              <w:tc>
                <w:tcPr>
                  <w:tcW w:w="75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pct"/>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生活污水W1</w:t>
                  </w:r>
                </w:p>
              </w:tc>
              <w:tc>
                <w:tcPr>
                  <w:tcW w:w="507" w:type="pct"/>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192m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698"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27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400mg/L，0.077t/a</w:t>
                  </w:r>
                </w:p>
              </w:tc>
              <w:tc>
                <w:tcPr>
                  <w:tcW w:w="1124"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c>
                <w:tcPr>
                  <w:tcW w:w="75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07"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98"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127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250mg/L，0.0</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8t/a</w:t>
                  </w:r>
                </w:p>
              </w:tc>
              <w:tc>
                <w:tcPr>
                  <w:tcW w:w="1124"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75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07"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98"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127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300mg/L，0.058t/a</w:t>
                  </w:r>
                </w:p>
              </w:tc>
              <w:tc>
                <w:tcPr>
                  <w:tcW w:w="1124"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75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07"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98"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127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25mg/L，0.00</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t/a</w:t>
                  </w:r>
                </w:p>
              </w:tc>
              <w:tc>
                <w:tcPr>
                  <w:tcW w:w="1124"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5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07" w:type="pct"/>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98"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动植物油</w:t>
                  </w:r>
                </w:p>
              </w:tc>
              <w:tc>
                <w:tcPr>
                  <w:tcW w:w="127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25mg/L，0.00</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t/a</w:t>
                  </w:r>
                </w:p>
              </w:tc>
              <w:tc>
                <w:tcPr>
                  <w:tcW w:w="1124"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751"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2.2监测要求</w:t>
            </w:r>
          </w:p>
          <w:p>
            <w:pPr>
              <w:pStyle w:val="17"/>
              <w:ind w:firstLine="480"/>
              <w:rPr>
                <w:rFonts w:ascii="Times New Roman" w:hAnsi="Times New Roman" w:eastAsia="宋体"/>
                <w:bCs/>
                <w:color w:val="000000" w:themeColor="text1"/>
                <w:kern w:val="0"/>
                <w:sz w:val="24"/>
                <w:szCs w:val="22"/>
                <w14:textFill>
                  <w14:solidFill>
                    <w14:schemeClr w14:val="tx1"/>
                  </w14:solidFill>
                </w14:textFill>
              </w:rPr>
            </w:pPr>
            <w:r>
              <w:rPr>
                <w:rFonts w:ascii="Times New Roman" w:hAnsi="Times New Roman" w:eastAsia="宋体"/>
                <w:bCs/>
                <w:color w:val="000000" w:themeColor="text1"/>
                <w:kern w:val="0"/>
                <w:sz w:val="24"/>
                <w:szCs w:val="22"/>
                <w14:textFill>
                  <w14:solidFill>
                    <w14:schemeClr w14:val="tx1"/>
                  </w14:solidFill>
                </w14:textFill>
              </w:rPr>
              <w:t>根据本项目生产工艺特点，其废水监测工作内容详见表4-1</w:t>
            </w:r>
            <w:r>
              <w:rPr>
                <w:rFonts w:hint="eastAsia" w:ascii="Times New Roman" w:hAnsi="Times New Roman" w:eastAsia="宋体"/>
                <w:bCs/>
                <w:color w:val="000000" w:themeColor="text1"/>
                <w:kern w:val="0"/>
                <w:sz w:val="24"/>
                <w:szCs w:val="22"/>
                <w:lang w:val="en-US" w:eastAsia="zh-CN"/>
                <w14:textFill>
                  <w14:solidFill>
                    <w14:schemeClr w14:val="tx1"/>
                  </w14:solidFill>
                </w14:textFill>
              </w:rPr>
              <w:t>2</w:t>
            </w:r>
            <w:r>
              <w:rPr>
                <w:rFonts w:ascii="Times New Roman" w:hAnsi="Times New Roman" w:eastAsia="宋体"/>
                <w:bCs/>
                <w:color w:val="000000" w:themeColor="text1"/>
                <w:kern w:val="0"/>
                <w:sz w:val="24"/>
                <w:szCs w:val="22"/>
                <w14:textFill>
                  <w14:solidFill>
                    <w14:schemeClr w14:val="tx1"/>
                  </w14:solidFill>
                </w14:textFill>
              </w:rPr>
              <w:t>。</w:t>
            </w:r>
          </w:p>
          <w:p>
            <w:pPr>
              <w:pStyle w:val="79"/>
              <w:adjustRightInd/>
              <w:snapToGrid/>
              <w:spacing w:line="240" w:lineRule="auto"/>
              <w:ind w:firstLine="0" w:firstLineChars="0"/>
              <w:rPr>
                <w:rFonts w:ascii="Times New Roman" w:hAnsi="Times New Roman"/>
                <w:color w:val="000000" w:themeColor="text1"/>
                <w:szCs w:val="21"/>
                <w14:textFill>
                  <w14:solidFill>
                    <w14:schemeClr w14:val="tx1"/>
                  </w14:solidFill>
                </w14:textFill>
              </w:rPr>
            </w:pPr>
          </w:p>
          <w:p>
            <w:pPr>
              <w:pStyle w:val="79"/>
              <w:adjustRightInd/>
              <w:snapToGrid/>
              <w:spacing w:line="240" w:lineRule="auto"/>
              <w:ind w:firstLine="0" w:firstLineChars="0"/>
              <w:rPr>
                <w:rFonts w:ascii="Times New Roman" w:hAnsi="Times New Roman"/>
                <w:color w:val="000000" w:themeColor="text1"/>
                <w:szCs w:val="21"/>
                <w14:textFill>
                  <w14:solidFill>
                    <w14:schemeClr w14:val="tx1"/>
                  </w14:solidFill>
                </w14:textFill>
              </w:rPr>
            </w:pPr>
          </w:p>
          <w:p>
            <w:pPr>
              <w:pStyle w:val="79"/>
              <w:adjustRightInd/>
              <w:snapToGrid/>
              <w:spacing w:line="240" w:lineRule="auto"/>
              <w:ind w:firstLine="0"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w:t>
            </w:r>
            <w:r>
              <w:rPr>
                <w:rFonts w:ascii="Times New Roman" w:hAnsi="Times New Roman"/>
                <w:color w:val="000000" w:themeColor="text1"/>
                <w:szCs w:val="21"/>
                <w:lang w:val="en-US"/>
                <w14:textFill>
                  <w14:solidFill>
                    <w14:schemeClr w14:val="tx1"/>
                  </w14:solidFill>
                </w14:textFill>
              </w:rPr>
              <w:t>4-1</w:t>
            </w:r>
            <w:r>
              <w:rPr>
                <w:rFonts w:hint="eastAsia" w:ascii="Times New Roman" w:hAnsi="Times New Roman"/>
                <w:color w:val="000000" w:themeColor="text1"/>
                <w:szCs w:val="21"/>
                <w:lang w:val="en-US" w:eastAsia="zh-CN"/>
                <w14:textFill>
                  <w14:solidFill>
                    <w14:schemeClr w14:val="tx1"/>
                  </w14:solidFill>
                </w14:textFill>
              </w:rPr>
              <w:t>2</w:t>
            </w:r>
            <w:r>
              <w:rPr>
                <w:rFonts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lang w:val="en-US"/>
                <w14:textFill>
                  <w14:solidFill>
                    <w14:schemeClr w14:val="tx1"/>
                  </w14:solidFill>
                </w14:textFill>
              </w:rPr>
              <w:t>废水自行监测要求</w:t>
            </w:r>
            <w:r>
              <w:rPr>
                <w:rFonts w:ascii="Times New Roman" w:hAnsi="Times New Roman"/>
                <w:color w:val="000000" w:themeColor="text1"/>
                <w:szCs w:val="21"/>
                <w14:textFill>
                  <w14:solidFill>
                    <w14:schemeClr w14:val="tx1"/>
                  </w14:solidFill>
                </w14:textFill>
              </w:rPr>
              <w:t>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63"/>
              <w:gridCol w:w="2202"/>
              <w:gridCol w:w="3070"/>
              <w:gridCol w:w="17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864"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监测对象</w:t>
                  </w:r>
                </w:p>
              </w:tc>
              <w:tc>
                <w:tcPr>
                  <w:tcW w:w="129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811"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c>
                <w:tcPr>
                  <w:tcW w:w="1024"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64"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29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污水排放口</w:t>
                  </w:r>
                </w:p>
              </w:tc>
              <w:tc>
                <w:tcPr>
                  <w:tcW w:w="1811"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、SS、NH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1024"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1次/年</w:t>
                  </w:r>
                </w:p>
              </w:tc>
            </w:tr>
          </w:tbl>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2.2环境影响分析</w:t>
            </w:r>
          </w:p>
          <w:p>
            <w:pPr>
              <w:ind w:firstLine="480"/>
              <w:rPr>
                <w:color w:val="000000" w:themeColor="text1"/>
                <w14:textFill>
                  <w14:solidFill>
                    <w14:schemeClr w14:val="tx1"/>
                  </w14:solidFill>
                </w14:textFill>
              </w:rPr>
            </w:pPr>
            <w:r>
              <w:rPr>
                <w:color w:val="000000" w:themeColor="text1"/>
                <w:szCs w:val="28"/>
                <w14:textFill>
                  <w14:solidFill>
                    <w14:schemeClr w14:val="tx1"/>
                  </w14:solidFill>
                </w14:textFill>
              </w:rPr>
              <w:t>根据上述分析可知，本项目员工</w:t>
            </w:r>
            <w:r>
              <w:rPr>
                <w:color w:val="000000" w:themeColor="text1"/>
                <w:kern w:val="0"/>
                <w:lang w:bidi="ar"/>
                <w14:textFill>
                  <w14:solidFill>
                    <w14:schemeClr w14:val="tx1"/>
                  </w14:solidFill>
                </w14:textFill>
              </w:rPr>
              <w:t>生活污水经隔油池处理后</w:t>
            </w:r>
            <w:r>
              <w:rPr>
                <w:color w:val="000000" w:themeColor="text1"/>
                <w14:textFill>
                  <w14:solidFill>
                    <w14:schemeClr w14:val="tx1"/>
                  </w14:solidFill>
                </w14:textFill>
              </w:rPr>
              <w:t>排入下水管网</w:t>
            </w:r>
            <w:r>
              <w:rPr>
                <w:color w:val="000000" w:themeColor="text1"/>
                <w:lang w:bidi="ar"/>
                <w14:textFill>
                  <w14:solidFill>
                    <w14:schemeClr w14:val="tx1"/>
                  </w14:solidFill>
                </w14:textFill>
              </w:rPr>
              <w:t>，最终排入园区污水处理厂</w:t>
            </w:r>
            <w:r>
              <w:rPr>
                <w:color w:val="000000" w:themeColor="text1"/>
                <w:szCs w:val="28"/>
                <w14:textFill>
                  <w14:solidFill>
                    <w14:schemeClr w14:val="tx1"/>
                  </w14:solidFill>
                </w14:textFill>
              </w:rPr>
              <w:t>；生产废水循环使用，不外排，项目废水不会对周围产生大的影响。</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2.4胡杨河经济技术开发区南园区污水处理厂接纳本项目污水的可行性分析</w:t>
            </w:r>
          </w:p>
          <w:p>
            <w:pPr>
              <w:pStyle w:val="37"/>
              <w:widowControl/>
              <w:ind w:firstLine="480"/>
              <w:jc w:val="both"/>
              <w:textAlignment w:val="baseline"/>
              <w:rPr>
                <w:rFonts w:hint="default" w:ascii="Times New Roman"/>
                <w:color w:val="000000" w:themeColor="text1"/>
                <w:kern w:val="2"/>
                <w:u w:color="000000"/>
                <w14:textFill>
                  <w14:solidFill>
                    <w14:schemeClr w14:val="tx1"/>
                  </w14:solidFill>
                </w14:textFill>
              </w:rPr>
            </w:pPr>
            <w:r>
              <w:rPr>
                <w:rFonts w:hint="default" w:ascii="Times New Roman"/>
                <w:color w:val="000000" w:themeColor="text1"/>
                <w:kern w:val="2"/>
                <w:u w:color="000000"/>
                <w:lang w:bidi="ar"/>
                <w14:textFill>
                  <w14:solidFill>
                    <w14:schemeClr w14:val="tx1"/>
                  </w14:solidFill>
                </w14:textFill>
              </w:rPr>
              <w:t>胡杨河经济技术开发区南园区污水处理厂位于南园区北侧。污水处理厂中心地理坐标：E 84°53′3.667″，N 44°51′46.184″，设计处理规模 3 万m</w:t>
            </w:r>
            <w:r>
              <w:rPr>
                <w:rFonts w:hint="default" w:ascii="Times New Roman"/>
                <w:color w:val="000000" w:themeColor="text1"/>
                <w:kern w:val="2"/>
                <w:u w:color="000000"/>
                <w:vertAlign w:val="superscript"/>
                <w:lang w:bidi="ar"/>
                <w14:textFill>
                  <w14:solidFill>
                    <w14:schemeClr w14:val="tx1"/>
                  </w14:solidFill>
                </w14:textFill>
              </w:rPr>
              <w:t>3</w:t>
            </w:r>
            <w:r>
              <w:rPr>
                <w:rFonts w:hint="default" w:ascii="Times New Roman"/>
                <w:color w:val="000000" w:themeColor="text1"/>
                <w:kern w:val="2"/>
                <w:u w:color="000000"/>
                <w:lang w:bidi="ar"/>
                <w14:textFill>
                  <w14:solidFill>
                    <w14:schemeClr w14:val="tx1"/>
                  </w14:solidFill>
                </w14:textFill>
              </w:rPr>
              <w:t>/d，目前南园区污水处理厂采用的处理工艺是“预处理→生化处理→深度处理”工艺，其中预处理单元采用“混凝沉淀+气浮”工艺，生化单元采用“水解酸化+A2/O”工艺，深度处理单元采用“臭氧+曝气生物滤池”工艺，污泥处理采用“浓缩+双隔膜压滤机脱水”工艺，然后卫生填埋处理。处理后的尾水通过中水管线排至中水库（一期），中水库（一期）库容为 182 万 m</w:t>
            </w:r>
            <w:r>
              <w:rPr>
                <w:rFonts w:hint="default" w:ascii="Times New Roman"/>
                <w:color w:val="000000" w:themeColor="text1"/>
                <w:kern w:val="2"/>
                <w:u w:color="000000"/>
                <w:vertAlign w:val="superscript"/>
                <w:lang w:bidi="ar"/>
                <w14:textFill>
                  <w14:solidFill>
                    <w14:schemeClr w14:val="tx1"/>
                  </w14:solidFill>
                </w14:textFill>
              </w:rPr>
              <w:t>3</w:t>
            </w:r>
            <w:r>
              <w:rPr>
                <w:rFonts w:hint="default" w:ascii="Times New Roman"/>
                <w:color w:val="000000" w:themeColor="text1"/>
                <w:kern w:val="2"/>
                <w:u w:color="000000"/>
                <w:lang w:bidi="ar"/>
                <w14:textFill>
                  <w14:solidFill>
                    <w14:schemeClr w14:val="tx1"/>
                  </w14:solidFill>
                </w14:textFill>
              </w:rPr>
              <w:t>，目前中水库仅作为污水处理厂出水储存水库，中水库（一期）目前已接近饱和。中水库二期工程已建成投运，目前南园区污水处理厂处理出水进入中水库二期。</w:t>
            </w:r>
          </w:p>
          <w:p>
            <w:pPr>
              <w:pStyle w:val="37"/>
              <w:widowControl/>
              <w:ind w:firstLine="480"/>
              <w:jc w:val="both"/>
              <w:textAlignment w:val="baseline"/>
              <w:rPr>
                <w:rFonts w:hint="default" w:ascii="Times New Roman"/>
                <w:color w:val="000000" w:themeColor="text1"/>
                <w:kern w:val="2"/>
                <w:u w:color="000000"/>
                <w14:textFill>
                  <w14:solidFill>
                    <w14:schemeClr w14:val="tx1"/>
                  </w14:solidFill>
                </w14:textFill>
              </w:rPr>
            </w:pPr>
            <w:r>
              <w:rPr>
                <w:rFonts w:hint="default" w:ascii="Times New Roman"/>
                <w:color w:val="000000" w:themeColor="text1"/>
                <w:kern w:val="2"/>
                <w:u w:color="000000"/>
                <w:lang w:bidi="ar"/>
                <w14:textFill>
                  <w14:solidFill>
                    <w14:schemeClr w14:val="tx1"/>
                  </w14:solidFill>
                </w14:textFill>
              </w:rPr>
              <w:t>① 衔接可行性分析：南园区污水处理厂项目已按照环保要求编制完成环境影响报告书，并取得批复。目前该污水处理厂运行正常，已有管网通至项目区周边道路下方，因此本项目排水有保障。</w:t>
            </w:r>
          </w:p>
          <w:p>
            <w:pPr>
              <w:pStyle w:val="37"/>
              <w:widowControl/>
              <w:ind w:firstLine="480"/>
              <w:jc w:val="both"/>
              <w:textAlignment w:val="baseline"/>
              <w:rPr>
                <w:rFonts w:hint="default" w:ascii="Times New Roman"/>
                <w:color w:val="000000" w:themeColor="text1"/>
                <w:kern w:val="2"/>
                <w:u w:color="000000"/>
                <w14:textFill>
                  <w14:solidFill>
                    <w14:schemeClr w14:val="tx1"/>
                  </w14:solidFill>
                </w14:textFill>
              </w:rPr>
            </w:pPr>
            <w:r>
              <w:rPr>
                <w:rFonts w:hint="default" w:ascii="Times New Roman"/>
                <w:color w:val="000000" w:themeColor="text1"/>
                <w:kern w:val="2"/>
                <w:u w:color="000000"/>
                <w:lang w:bidi="ar"/>
                <w14:textFill>
                  <w14:solidFill>
                    <w14:schemeClr w14:val="tx1"/>
                  </w14:solidFill>
                </w14:textFill>
              </w:rPr>
              <w:t>② 水量可行性分析：根据调查，南园区现有污水处理厂 2020 年全年日平均处理水量约 5400m</w:t>
            </w:r>
            <w:r>
              <w:rPr>
                <w:rFonts w:hint="default" w:ascii="Times New Roman"/>
                <w:color w:val="000000" w:themeColor="text1"/>
                <w:kern w:val="2"/>
                <w:u w:color="000000"/>
                <w:vertAlign w:val="superscript"/>
                <w:lang w:bidi="ar"/>
                <w14:textFill>
                  <w14:solidFill>
                    <w14:schemeClr w14:val="tx1"/>
                  </w14:solidFill>
                </w14:textFill>
              </w:rPr>
              <w:t>3</w:t>
            </w:r>
            <w:r>
              <w:rPr>
                <w:rFonts w:hint="default" w:ascii="Times New Roman"/>
                <w:color w:val="000000" w:themeColor="text1"/>
                <w:kern w:val="2"/>
                <w:u w:color="000000"/>
                <w:lang w:bidi="ar"/>
                <w14:textFill>
                  <w14:solidFill>
                    <w14:schemeClr w14:val="tx1"/>
                  </w14:solidFill>
                </w14:textFill>
              </w:rPr>
              <w:t>/d，远小于 3 万 m</w:t>
            </w:r>
            <w:r>
              <w:rPr>
                <w:rFonts w:hint="default" w:ascii="Times New Roman"/>
                <w:color w:val="000000" w:themeColor="text1"/>
                <w:kern w:val="2"/>
                <w:u w:color="000000"/>
                <w:vertAlign w:val="superscript"/>
                <w:lang w:bidi="ar"/>
                <w14:textFill>
                  <w14:solidFill>
                    <w14:schemeClr w14:val="tx1"/>
                  </w14:solidFill>
                </w14:textFill>
              </w:rPr>
              <w:t>3</w:t>
            </w:r>
            <w:r>
              <w:rPr>
                <w:rFonts w:hint="default" w:ascii="Times New Roman"/>
                <w:color w:val="000000" w:themeColor="text1"/>
                <w:kern w:val="2"/>
                <w:u w:color="000000"/>
                <w:lang w:bidi="ar"/>
                <w14:textFill>
                  <w14:solidFill>
                    <w14:schemeClr w14:val="tx1"/>
                  </w14:solidFill>
                </w14:textFill>
              </w:rPr>
              <w:t>/d 的设计规模，尚富余较大的处理能力，完全能消纳项目区废水0.8m</w:t>
            </w:r>
            <w:r>
              <w:rPr>
                <w:rFonts w:hint="default" w:ascii="Times New Roman"/>
                <w:color w:val="000000" w:themeColor="text1"/>
                <w:kern w:val="2"/>
                <w:u w:color="000000"/>
                <w:vertAlign w:val="superscript"/>
                <w:lang w:bidi="ar"/>
                <w14:textFill>
                  <w14:solidFill>
                    <w14:schemeClr w14:val="tx1"/>
                  </w14:solidFill>
                </w14:textFill>
              </w:rPr>
              <w:t>3</w:t>
            </w:r>
            <w:r>
              <w:rPr>
                <w:rFonts w:hint="default" w:ascii="Times New Roman"/>
                <w:color w:val="000000" w:themeColor="text1"/>
                <w:kern w:val="2"/>
                <w:u w:color="000000"/>
                <w:lang w:bidi="ar"/>
                <w14:textFill>
                  <w14:solidFill>
                    <w14:schemeClr w14:val="tx1"/>
                  </w14:solidFill>
                </w14:textFill>
              </w:rPr>
              <w:t>/d，项目废水依托胡杨河经济技术开发区南园区污水处理厂可行。</w:t>
            </w:r>
          </w:p>
          <w:p>
            <w:pPr>
              <w:pStyle w:val="37"/>
              <w:widowControl/>
              <w:ind w:firstLine="480"/>
              <w:jc w:val="both"/>
              <w:textAlignment w:val="baseline"/>
              <w:rPr>
                <w:rFonts w:hint="default" w:ascii="Times New Roman"/>
                <w:color w:val="000000" w:themeColor="text1"/>
                <w:kern w:val="2"/>
                <w:u w:color="000000"/>
                <w14:textFill>
                  <w14:solidFill>
                    <w14:schemeClr w14:val="tx1"/>
                  </w14:solidFill>
                </w14:textFill>
              </w:rPr>
            </w:pPr>
            <w:r>
              <w:rPr>
                <w:rFonts w:hint="default" w:ascii="Times New Roman"/>
                <w:color w:val="000000" w:themeColor="text1"/>
                <w:kern w:val="2"/>
                <w:u w:color="000000"/>
                <w:lang w:bidi="ar"/>
                <w14:textFill>
                  <w14:solidFill>
                    <w14:schemeClr w14:val="tx1"/>
                  </w14:solidFill>
                </w14:textFill>
              </w:rPr>
              <w:t>③ 水质可行性分析：本项目的废水主要为生活污水，主要污染物为 COD、BOD</w:t>
            </w:r>
            <w:r>
              <w:rPr>
                <w:rFonts w:hint="default" w:ascii="Times New Roman"/>
                <w:color w:val="000000" w:themeColor="text1"/>
                <w:kern w:val="2"/>
                <w:u w:color="000000"/>
                <w:vertAlign w:val="subscript"/>
                <w:lang w:bidi="ar"/>
                <w14:textFill>
                  <w14:solidFill>
                    <w14:schemeClr w14:val="tx1"/>
                  </w14:solidFill>
                </w14:textFill>
              </w:rPr>
              <w:t>5</w:t>
            </w:r>
            <w:r>
              <w:rPr>
                <w:rFonts w:hint="default" w:ascii="Times New Roman"/>
                <w:color w:val="000000" w:themeColor="text1"/>
                <w:kern w:val="2"/>
                <w:u w:color="000000"/>
                <w:lang w:bidi="ar"/>
                <w14:textFill>
                  <w14:solidFill>
                    <w14:schemeClr w14:val="tx1"/>
                  </w14:solidFill>
                </w14:textFill>
              </w:rPr>
              <w:t>、SS、氨氮、动植物油等，各污染物排放浓度满足《污水综合排放标准》（GB8978-1996）三级标准限值，满足兵团第七师胡杨河市生态环境局《关于师市开发区企业执行相关标准的通知》（师市环发〔2021〕7 号）中关于胡杨河市经开区内所有企业废水污染物排放限值要求，可以纳入胡杨河经济技术开发区南园区污水处理厂。</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3、噪声环境影响</w:t>
            </w:r>
            <w:r>
              <w:rPr>
                <w:b/>
                <w:bCs/>
                <w:color w:val="000000" w:themeColor="text1"/>
                <w:kern w:val="0"/>
                <w14:textFill>
                  <w14:solidFill>
                    <w14:schemeClr w14:val="tx1"/>
                  </w14:solidFill>
                </w14:textFill>
              </w:rPr>
              <w:t>及保护措施</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3.1污染源分析</w:t>
            </w:r>
          </w:p>
          <w:p>
            <w:pPr>
              <w:keepNext w:val="0"/>
              <w:keepLines w:val="0"/>
              <w:widowControl/>
              <w:suppressLineNumbers w:val="0"/>
              <w:jc w:val="both"/>
              <w:rPr>
                <w:rFonts w:hint="default"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项目营运期噪声主要来自生产设备的噪声及运输车辆</w:t>
            </w:r>
            <w:r>
              <w:rPr>
                <w:rFonts w:hint="eastAsia" w:cs="Times New Roman"/>
                <w:color w:val="000000" w:themeColor="text1"/>
                <w:kern w:val="2"/>
                <w:sz w:val="24"/>
                <w:szCs w:val="24"/>
                <w:u w:color="000000"/>
                <w:lang w:val="en-US" w:eastAsia="zh-CN" w:bidi="ar"/>
                <w14:textFill>
                  <w14:solidFill>
                    <w14:schemeClr w14:val="tx1"/>
                  </w14:solidFill>
                </w14:textFill>
              </w:rPr>
              <w:t>噪声</w:t>
            </w: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等，噪声值</w:t>
            </w:r>
            <w:r>
              <w:rPr>
                <w:rFonts w:hint="default"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7</w:t>
            </w: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0</w:t>
            </w:r>
            <w:r>
              <w:rPr>
                <w:rFonts w:hint="default"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dB(A)~</w:t>
            </w: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9</w:t>
            </w:r>
            <w:r>
              <w:rPr>
                <w:rFonts w:hint="eastAsia" w:cs="Times New Roman"/>
                <w:color w:val="000000" w:themeColor="text1"/>
                <w:kern w:val="2"/>
                <w:sz w:val="24"/>
                <w:szCs w:val="24"/>
                <w:u w:color="000000"/>
                <w:lang w:val="en-US" w:eastAsia="zh-CN" w:bidi="ar"/>
                <w14:textFill>
                  <w14:solidFill>
                    <w14:schemeClr w14:val="tx1"/>
                  </w14:solidFill>
                </w14:textFill>
              </w:rPr>
              <w:t>5</w:t>
            </w:r>
            <w:r>
              <w:rPr>
                <w:rFonts w:hint="default"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dB(A)，</w:t>
            </w: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项目采用类比法对本项目噪声进行计算统计。</w:t>
            </w:r>
            <w:r>
              <w:rPr>
                <w:rFonts w:hint="eastAsia" w:cs="Times New Roman"/>
                <w:color w:val="000000" w:themeColor="text1"/>
                <w:kern w:val="2"/>
                <w:sz w:val="24"/>
                <w:szCs w:val="24"/>
                <w:u w:color="000000"/>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主要产噪设备及噪声源强见表</w:t>
            </w:r>
            <w:r>
              <w:rPr>
                <w:rFonts w:hint="default"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4-1</w:t>
            </w:r>
            <w:r>
              <w:rPr>
                <w:rFonts w:hint="eastAsia" w:ascii="Times New Roman" w:hAnsi="Times New Roman" w:eastAsia="宋体" w:cs="Times New Roman"/>
                <w:color w:val="000000" w:themeColor="text1"/>
                <w:kern w:val="2"/>
                <w:sz w:val="24"/>
                <w:szCs w:val="24"/>
                <w:u w:color="000000"/>
                <w:lang w:val="en-US" w:eastAsia="zh-CN" w:bidi="ar"/>
                <w14:textFill>
                  <w14:solidFill>
                    <w14:schemeClr w14:val="tx1"/>
                  </w14:solidFill>
                </w14:textFill>
              </w:rPr>
              <w:t>3。</w:t>
            </w:r>
          </w:p>
          <w:p>
            <w:pPr>
              <w:pStyle w:val="2"/>
              <w:ind w:left="0" w:leftChars="0" w:firstLine="0" w:firstLineChars="0"/>
              <w:jc w:val="center"/>
              <w:rPr>
                <w:color w:val="000000" w:themeColor="text1"/>
                <w14:textFill>
                  <w14:solidFill>
                    <w14:schemeClr w14:val="tx1"/>
                  </w14:solidFill>
                </w14:textFill>
              </w:rPr>
            </w:pPr>
            <w:r>
              <w:rPr>
                <w:b/>
                <w:bCs/>
                <w:color w:val="000000" w:themeColor="text1"/>
                <w:sz w:val="21"/>
                <w14:textFill>
                  <w14:solidFill>
                    <w14:schemeClr w14:val="tx1"/>
                  </w14:solidFill>
                </w14:textFill>
              </w:rPr>
              <w:t>表4-1</w:t>
            </w:r>
            <w:r>
              <w:rPr>
                <w:rFonts w:hint="eastAsia"/>
                <w:b/>
                <w:bCs/>
                <w:color w:val="000000" w:themeColor="text1"/>
                <w:sz w:val="21"/>
                <w:lang w:val="en-US" w:eastAsia="zh-CN"/>
                <w14:textFill>
                  <w14:solidFill>
                    <w14:schemeClr w14:val="tx1"/>
                  </w14:solidFill>
                </w14:textFill>
              </w:rPr>
              <w:t>3</w:t>
            </w:r>
            <w:r>
              <w:rPr>
                <w:b/>
                <w:bCs/>
                <w:color w:val="000000" w:themeColor="text1"/>
                <w:sz w:val="21"/>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14:textFill>
                  <w14:solidFill>
                    <w14:schemeClr w14:val="tx1"/>
                  </w14:solidFill>
                </w14:textFill>
              </w:rPr>
              <w:t>项目主要噪声源强调查清单（室外声源）</w:t>
            </w:r>
          </w:p>
          <w:tbl>
            <w:tblPr>
              <w:tblStyle w:val="30"/>
              <w:tblW w:w="8493" w:type="dxa"/>
              <w:tblInd w:w="-1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525"/>
              <w:gridCol w:w="1017"/>
              <w:gridCol w:w="1100"/>
              <w:gridCol w:w="872"/>
              <w:gridCol w:w="1003"/>
              <w:gridCol w:w="1563"/>
              <w:gridCol w:w="7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16"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525"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声源名称</w:t>
                  </w:r>
                </w:p>
              </w:tc>
              <w:tc>
                <w:tcPr>
                  <w:tcW w:w="2989" w:type="dxa"/>
                  <w:gridSpan w:val="3"/>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空间相对位置/m</w:t>
                  </w:r>
                </w:p>
              </w:tc>
              <w:tc>
                <w:tcPr>
                  <w:tcW w:w="1003"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声源源强</w:t>
                  </w:r>
                </w:p>
              </w:tc>
              <w:tc>
                <w:tcPr>
                  <w:tcW w:w="1563"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声源控制措施</w:t>
                  </w:r>
                </w:p>
              </w:tc>
              <w:tc>
                <w:tcPr>
                  <w:tcW w:w="797"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16"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1525"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101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X</w:t>
                  </w:r>
                </w:p>
              </w:tc>
              <w:tc>
                <w:tcPr>
                  <w:tcW w:w="110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Y</w:t>
                  </w:r>
                </w:p>
              </w:tc>
              <w:tc>
                <w:tcPr>
                  <w:tcW w:w="872"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w:t>
                  </w:r>
                </w:p>
              </w:tc>
              <w:tc>
                <w:tcPr>
                  <w:tcW w:w="1003"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声功率级/dB(A)</w:t>
                  </w:r>
                </w:p>
              </w:tc>
              <w:tc>
                <w:tcPr>
                  <w:tcW w:w="1563"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797"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1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5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空压机</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风机</w:t>
                  </w:r>
                  <w:r>
                    <w:rPr>
                      <w:rFonts w:hint="eastAsia"/>
                      <w:color w:val="000000" w:themeColor="text1"/>
                      <w:sz w:val="21"/>
                      <w:szCs w:val="21"/>
                      <w:lang w:eastAsia="zh-CN"/>
                      <w14:textFill>
                        <w14:solidFill>
                          <w14:schemeClr w14:val="tx1"/>
                        </w14:solidFill>
                      </w14:textFill>
                    </w:rPr>
                    <w:t>）</w:t>
                  </w:r>
                </w:p>
              </w:tc>
              <w:tc>
                <w:tcPr>
                  <w:tcW w:w="1017"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6.42</w:t>
                  </w:r>
                </w:p>
              </w:tc>
              <w:tc>
                <w:tcPr>
                  <w:tcW w:w="1100"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4.56</w:t>
                  </w:r>
                </w:p>
              </w:tc>
              <w:tc>
                <w:tcPr>
                  <w:tcW w:w="872"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003"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w:t>
                  </w:r>
                </w:p>
              </w:tc>
              <w:tc>
                <w:tcPr>
                  <w:tcW w:w="1563"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设置减振基座，</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加强设备保养</w:t>
                  </w:r>
                </w:p>
              </w:tc>
              <w:tc>
                <w:tcPr>
                  <w:tcW w:w="79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全天运行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1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52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运输车辆</w:t>
                  </w:r>
                </w:p>
              </w:tc>
              <w:tc>
                <w:tcPr>
                  <w:tcW w:w="1017"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-10.45</w:t>
                  </w:r>
                </w:p>
              </w:tc>
              <w:tc>
                <w:tcPr>
                  <w:tcW w:w="1100"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-15.52</w:t>
                  </w:r>
                </w:p>
              </w:tc>
              <w:tc>
                <w:tcPr>
                  <w:tcW w:w="872"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003"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w:t>
                  </w:r>
                </w:p>
              </w:tc>
              <w:tc>
                <w:tcPr>
                  <w:tcW w:w="1563"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设置减振基座，</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加强设备保养</w:t>
                  </w:r>
                </w:p>
              </w:tc>
              <w:tc>
                <w:tcPr>
                  <w:tcW w:w="79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全天运行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93" w:type="dxa"/>
                  <w:gridSpan w:val="8"/>
                  <w:tcBorders>
                    <w:tl2br w:val="nil"/>
                    <w:tr2bl w:val="nil"/>
                  </w:tcBorders>
                  <w:vAlign w:val="center"/>
                </w:tcPr>
                <w:p>
                  <w:pPr>
                    <w:spacing w:line="240" w:lineRule="auto"/>
                    <w:ind w:firstLine="0" w:firstLineChars="0"/>
                    <w:jc w:val="both"/>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注：原点坐标为中心地理坐标</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东经84°51′27.482″，北纬44°49′28.270″</w:t>
                  </w:r>
                  <w:r>
                    <w:rPr>
                      <w:rFonts w:hint="eastAsia"/>
                      <w:color w:val="000000" w:themeColor="text1"/>
                      <w:sz w:val="21"/>
                      <w:szCs w:val="21"/>
                      <w:lang w:eastAsia="zh-CN"/>
                      <w14:textFill>
                        <w14:solidFill>
                          <w14:schemeClr w14:val="tx1"/>
                        </w14:solidFill>
                      </w14:textFill>
                    </w:rPr>
                    <w:t>）</w:t>
                  </w:r>
                </w:p>
              </w:tc>
            </w:tr>
          </w:tbl>
          <w:p>
            <w:pPr>
              <w:pStyle w:val="2"/>
              <w:ind w:left="0" w:leftChars="0" w:firstLine="0" w:firstLineChars="0"/>
              <w:jc w:val="center"/>
              <w:rPr>
                <w:b/>
                <w:bCs/>
                <w:color w:val="000000" w:themeColor="text1"/>
                <w:sz w:val="21"/>
                <w14:textFill>
                  <w14:solidFill>
                    <w14:schemeClr w14:val="tx1"/>
                  </w14:solidFill>
                </w14:textFill>
              </w:rPr>
            </w:pPr>
            <w:r>
              <w:rPr>
                <w:rFonts w:hint="eastAsia"/>
                <w:b/>
                <w:bCs/>
                <w:color w:val="000000" w:themeColor="text1"/>
                <w:sz w:val="21"/>
                <w:lang w:val="en-US" w:eastAsia="zh-CN"/>
                <w14:textFill>
                  <w14:solidFill>
                    <w14:schemeClr w14:val="tx1"/>
                  </w14:solidFill>
                </w14:textFill>
              </w:rPr>
              <w:t xml:space="preserve"> </w:t>
            </w:r>
            <w:r>
              <w:rPr>
                <w:b/>
                <w:bCs/>
                <w:color w:val="000000" w:themeColor="text1"/>
                <w:sz w:val="21"/>
                <w14:textFill>
                  <w14:solidFill>
                    <w14:schemeClr w14:val="tx1"/>
                  </w14:solidFill>
                </w14:textFill>
              </w:rPr>
              <w:t>表4-1</w:t>
            </w:r>
            <w:r>
              <w:rPr>
                <w:rFonts w:hint="eastAsia"/>
                <w:b/>
                <w:bCs/>
                <w:color w:val="000000" w:themeColor="text1"/>
                <w:sz w:val="21"/>
                <w:lang w:val="en-US" w:eastAsia="zh-CN"/>
                <w14:textFill>
                  <w14:solidFill>
                    <w14:schemeClr w14:val="tx1"/>
                  </w14:solidFill>
                </w14:textFill>
              </w:rPr>
              <w:t>4</w:t>
            </w:r>
            <w:r>
              <w:rPr>
                <w:b/>
                <w:bCs/>
                <w:color w:val="000000" w:themeColor="text1"/>
                <w:sz w:val="21"/>
                <w14:textFill>
                  <w14:solidFill>
                    <w14:schemeClr w14:val="tx1"/>
                  </w14:solidFill>
                </w14:textFill>
              </w:rPr>
              <w:t xml:space="preserve">  </w: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14:textFill>
                  <w14:solidFill>
                    <w14:schemeClr w14:val="tx1"/>
                  </w14:solidFill>
                </w14:textFill>
              </w:rPr>
              <w:t>项目主要噪声源强调查清单（室</w:t>
            </w:r>
            <w:r>
              <w:rPr>
                <w:rFonts w:hint="eastAsia"/>
                <w:b/>
                <w:bCs/>
                <w:color w:val="000000" w:themeColor="text1"/>
                <w:sz w:val="21"/>
                <w:lang w:val="en-US" w:eastAsia="zh-CN"/>
                <w14:textFill>
                  <w14:solidFill>
                    <w14:schemeClr w14:val="tx1"/>
                  </w14:solidFill>
                </w14:textFill>
              </w:rPr>
              <w:t>内</w:t>
            </w:r>
            <w:r>
              <w:rPr>
                <w:rFonts w:hint="eastAsia"/>
                <w:b/>
                <w:bCs/>
                <w:color w:val="000000" w:themeColor="text1"/>
                <w:sz w:val="21"/>
                <w14:textFill>
                  <w14:solidFill>
                    <w14:schemeClr w14:val="tx1"/>
                  </w14:solidFill>
                </w14:textFill>
              </w:rPr>
              <w:t>声源）</w:t>
            </w:r>
          </w:p>
          <w:tbl>
            <w:tblPr>
              <w:tblStyle w:val="30"/>
              <w:tblW w:w="8509" w:type="dxa"/>
              <w:tblInd w:w="-1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61"/>
              <w:gridCol w:w="529"/>
              <w:gridCol w:w="634"/>
              <w:gridCol w:w="660"/>
              <w:gridCol w:w="1645"/>
              <w:gridCol w:w="497"/>
              <w:gridCol w:w="496"/>
              <w:gridCol w:w="419"/>
              <w:gridCol w:w="580"/>
              <w:gridCol w:w="580"/>
              <w:gridCol w:w="416"/>
              <w:gridCol w:w="579"/>
              <w:gridCol w:w="496"/>
              <w:gridCol w:w="5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461"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529"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建筑物名称</w:t>
                  </w:r>
                </w:p>
              </w:tc>
              <w:tc>
                <w:tcPr>
                  <w:tcW w:w="634"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声源名称</w:t>
                  </w:r>
                </w:p>
              </w:tc>
              <w:tc>
                <w:tcPr>
                  <w:tcW w:w="66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声源源强</w:t>
                  </w:r>
                </w:p>
              </w:tc>
              <w:tc>
                <w:tcPr>
                  <w:tcW w:w="1645"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声源控制措施</w:t>
                  </w:r>
                </w:p>
              </w:tc>
              <w:tc>
                <w:tcPr>
                  <w:tcW w:w="1412" w:type="dxa"/>
                  <w:gridSpan w:val="3"/>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空间相对位置/m</w:t>
                  </w:r>
                </w:p>
              </w:tc>
              <w:tc>
                <w:tcPr>
                  <w:tcW w:w="580"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距室内边界距离/m</w:t>
                  </w:r>
                </w:p>
              </w:tc>
              <w:tc>
                <w:tcPr>
                  <w:tcW w:w="580"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室内边界声级</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/dB(A)</w:t>
                  </w:r>
                </w:p>
              </w:tc>
              <w:tc>
                <w:tcPr>
                  <w:tcW w:w="416"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运行时段</w:t>
                  </w:r>
                </w:p>
              </w:tc>
              <w:tc>
                <w:tcPr>
                  <w:tcW w:w="579" w:type="dxa"/>
                  <w:vMerge w:val="restar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建筑物插入损失 / dB(A)</w:t>
                  </w:r>
                </w:p>
              </w:tc>
              <w:tc>
                <w:tcPr>
                  <w:tcW w:w="1013" w:type="dxa"/>
                  <w:gridSpan w:val="2"/>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建筑物</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461"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29"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34"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6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声功率级</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/dB(A)</w:t>
                  </w:r>
                </w:p>
              </w:tc>
              <w:tc>
                <w:tcPr>
                  <w:tcW w:w="1645"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49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X</w:t>
                  </w:r>
                </w:p>
              </w:tc>
              <w:tc>
                <w:tcPr>
                  <w:tcW w:w="49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Y</w:t>
                  </w:r>
                </w:p>
              </w:tc>
              <w:tc>
                <w:tcPr>
                  <w:tcW w:w="419"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w:t>
                  </w:r>
                </w:p>
              </w:tc>
              <w:tc>
                <w:tcPr>
                  <w:tcW w:w="580"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80"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416"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579"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49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声压级</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/dB(A)</w:t>
                  </w:r>
                </w:p>
              </w:tc>
              <w:tc>
                <w:tcPr>
                  <w:tcW w:w="51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建筑物外</w:t>
                  </w:r>
                </w:p>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461"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29" w:type="dxa"/>
                  <w:vMerge w:val="restart"/>
                  <w:tcBorders>
                    <w:tl2br w:val="nil"/>
                    <w:tr2bl w:val="nil"/>
                  </w:tcBorders>
                  <w:vAlign w:val="center"/>
                </w:tcPr>
                <w:p>
                  <w:pPr>
                    <w:spacing w:line="240" w:lineRule="auto"/>
                    <w:ind w:firstLine="0" w:firstLineChars="0"/>
                    <w:jc w:val="center"/>
                    <w:textAlignment w:val="baseline"/>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生产车间</w:t>
                  </w:r>
                </w:p>
              </w:tc>
              <w:tc>
                <w:tcPr>
                  <w:tcW w:w="6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振动器</w:t>
                  </w:r>
                </w:p>
              </w:tc>
              <w:tc>
                <w:tcPr>
                  <w:tcW w:w="66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1645" w:type="dxa"/>
                  <w:vMerge w:val="restart"/>
                  <w:tcBorders>
                    <w:tl2br w:val="nil"/>
                    <w:tr2bl w:val="nil"/>
                  </w:tcBorders>
                  <w:vAlign w:val="center"/>
                </w:tcPr>
                <w:p>
                  <w:pPr>
                    <w:spacing w:line="240" w:lineRule="auto"/>
                    <w:ind w:firstLine="0" w:firstLineChars="0"/>
                    <w:jc w:val="center"/>
                    <w:textAlignment w:val="baseline"/>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合理布局，选用低噪声设备，基础减振，厂房隔声，距离衰减</w:t>
                  </w:r>
                  <w:r>
                    <w:rPr>
                      <w:rFonts w:hint="eastAsia"/>
                      <w:color w:val="000000" w:themeColor="text1"/>
                      <w:sz w:val="21"/>
                      <w:szCs w:val="21"/>
                      <w:lang w:val="en-US" w:eastAsia="zh-CN"/>
                      <w14:textFill>
                        <w14:solidFill>
                          <w14:schemeClr w14:val="tx1"/>
                        </w14:solidFill>
                      </w14:textFill>
                    </w:rPr>
                    <w:t>等</w:t>
                  </w:r>
                </w:p>
              </w:tc>
              <w:tc>
                <w:tcPr>
                  <w:tcW w:w="497"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5.15</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w:t>
                  </w:r>
                </w:p>
              </w:tc>
              <w:tc>
                <w:tcPr>
                  <w:tcW w:w="419" w:type="dxa"/>
                  <w:tcBorders>
                    <w:tl2br w:val="nil"/>
                    <w:tr2bl w:val="nil"/>
                  </w:tcBorders>
                  <w:vAlign w:val="center"/>
                </w:tcPr>
                <w:p>
                  <w:pPr>
                    <w:spacing w:line="240" w:lineRule="auto"/>
                    <w:ind w:firstLine="0" w:firstLineChars="0"/>
                    <w:jc w:val="center"/>
                    <w:textAlignment w:val="baseline"/>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8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w:t>
                  </w:r>
                </w:p>
              </w:tc>
              <w:tc>
                <w:tcPr>
                  <w:tcW w:w="580"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w:t>
                  </w:r>
                </w:p>
              </w:tc>
              <w:tc>
                <w:tcPr>
                  <w:tcW w:w="41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昼夜</w:t>
                  </w:r>
                </w:p>
              </w:tc>
              <w:tc>
                <w:tcPr>
                  <w:tcW w:w="579"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59</w:t>
                  </w:r>
                </w:p>
              </w:tc>
              <w:tc>
                <w:tcPr>
                  <w:tcW w:w="51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461"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29"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平皮带</w:t>
                  </w:r>
                </w:p>
              </w:tc>
              <w:tc>
                <w:tcPr>
                  <w:tcW w:w="66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1645"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497"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4.65</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4.65</w:t>
                  </w:r>
                </w:p>
              </w:tc>
              <w:tc>
                <w:tcPr>
                  <w:tcW w:w="419"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8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8.3</w:t>
                  </w:r>
                </w:p>
              </w:tc>
              <w:tc>
                <w:tcPr>
                  <w:tcW w:w="580"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w:t>
                  </w:r>
                </w:p>
              </w:tc>
              <w:tc>
                <w:tcPr>
                  <w:tcW w:w="41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昼夜</w:t>
                  </w:r>
                </w:p>
              </w:tc>
              <w:tc>
                <w:tcPr>
                  <w:tcW w:w="579"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w:t>
                  </w:r>
                </w:p>
              </w:tc>
              <w:tc>
                <w:tcPr>
                  <w:tcW w:w="51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61"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529"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搅拌机</w:t>
                  </w:r>
                </w:p>
              </w:tc>
              <w:tc>
                <w:tcPr>
                  <w:tcW w:w="66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1645"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497"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5.13</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5.65</w:t>
                  </w:r>
                </w:p>
              </w:tc>
              <w:tc>
                <w:tcPr>
                  <w:tcW w:w="419"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8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p>
              </w:tc>
              <w:tc>
                <w:tcPr>
                  <w:tcW w:w="580"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w:t>
                  </w:r>
                </w:p>
              </w:tc>
              <w:tc>
                <w:tcPr>
                  <w:tcW w:w="41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昼夜</w:t>
                  </w:r>
                </w:p>
              </w:tc>
              <w:tc>
                <w:tcPr>
                  <w:tcW w:w="579"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w:t>
                  </w:r>
                </w:p>
              </w:tc>
              <w:tc>
                <w:tcPr>
                  <w:tcW w:w="51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461" w:type="dxa"/>
                  <w:tcBorders>
                    <w:tl2br w:val="nil"/>
                    <w:tr2bl w:val="nil"/>
                  </w:tcBorders>
                  <w:vAlign w:val="center"/>
                </w:tcPr>
                <w:p>
                  <w:pPr>
                    <w:spacing w:line="240" w:lineRule="auto"/>
                    <w:ind w:firstLine="0" w:firstLineChars="0"/>
                    <w:jc w:val="center"/>
                    <w:textAlignment w:val="baseline"/>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529"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63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水泵</w:t>
                  </w:r>
                </w:p>
              </w:tc>
              <w:tc>
                <w:tcPr>
                  <w:tcW w:w="660" w:type="dxa"/>
                  <w:tcBorders>
                    <w:tl2br w:val="nil"/>
                    <w:tr2bl w:val="nil"/>
                  </w:tcBorders>
                  <w:vAlign w:val="center"/>
                </w:tcPr>
                <w:p>
                  <w:pPr>
                    <w:spacing w:line="240" w:lineRule="auto"/>
                    <w:ind w:firstLine="0" w:firstLineChars="0"/>
                    <w:jc w:val="center"/>
                    <w:textAlignment w:val="baseline"/>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w:t>
                  </w:r>
                </w:p>
              </w:tc>
              <w:tc>
                <w:tcPr>
                  <w:tcW w:w="1645" w:type="dxa"/>
                  <w:vMerge w:val="continue"/>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497"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6.55</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6.13</w:t>
                  </w:r>
                </w:p>
              </w:tc>
              <w:tc>
                <w:tcPr>
                  <w:tcW w:w="419"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80"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0.8</w:t>
                  </w:r>
                </w:p>
              </w:tc>
              <w:tc>
                <w:tcPr>
                  <w:tcW w:w="580"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416"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昼夜</w:t>
                  </w:r>
                </w:p>
              </w:tc>
              <w:tc>
                <w:tcPr>
                  <w:tcW w:w="579"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496" w:type="dxa"/>
                  <w:tcBorders>
                    <w:tl2br w:val="nil"/>
                    <w:tr2bl w:val="nil"/>
                  </w:tcBorders>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517" w:type="dxa"/>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8509" w:type="dxa"/>
                  <w:gridSpan w:val="14"/>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注：原点坐标为中心地理坐标</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东经84°51′27.482″，北纬44°49′28.270″</w:t>
                  </w:r>
                  <w:r>
                    <w:rPr>
                      <w:rFonts w:hint="eastAsia"/>
                      <w:color w:val="000000" w:themeColor="text1"/>
                      <w:sz w:val="21"/>
                      <w:szCs w:val="21"/>
                      <w:lang w:eastAsia="zh-CN"/>
                      <w14:textFill>
                        <w14:solidFill>
                          <w14:schemeClr w14:val="tx1"/>
                        </w14:solidFill>
                      </w14:textFill>
                    </w:rPr>
                    <w:t>）</w:t>
                  </w:r>
                </w:p>
              </w:tc>
            </w:tr>
          </w:tbl>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3.2厂界及环境保护目标达标情况分析</w:t>
            </w:r>
          </w:p>
          <w:p>
            <w:pPr>
              <w:autoSpaceDE w:val="0"/>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采用《环境影响评价技术导则</w:t>
            </w:r>
            <w:r>
              <w:rPr>
                <w:rFonts w:hint="eastAsia"/>
                <w:color w:val="000000" w:themeColor="text1"/>
                <w:lang w:val="en-US" w:eastAsia="zh-CN" w:bidi="ar"/>
                <w14:textFill>
                  <w14:solidFill>
                    <w14:schemeClr w14:val="tx1"/>
                  </w14:solidFill>
                </w14:textFill>
              </w:rPr>
              <w:t xml:space="preserve"> </w:t>
            </w:r>
            <w:r>
              <w:rPr>
                <w:color w:val="000000" w:themeColor="text1"/>
                <w:lang w:bidi="ar"/>
                <w14:textFill>
                  <w14:solidFill>
                    <w14:schemeClr w14:val="tx1"/>
                  </w14:solidFill>
                </w14:textFill>
              </w:rPr>
              <w:t>声环境》（HJ2</w:t>
            </w:r>
            <w:r>
              <w:rPr>
                <w:rFonts w:hint="eastAsia"/>
                <w:color w:val="000000" w:themeColor="text1"/>
                <w:lang w:val="en-US" w:eastAsia="zh-CN" w:bidi="ar"/>
                <w14:textFill>
                  <w14:solidFill>
                    <w14:schemeClr w14:val="tx1"/>
                  </w14:solidFill>
                </w14:textFill>
              </w:rPr>
              <w:t>.</w:t>
            </w:r>
            <w:r>
              <w:rPr>
                <w:color w:val="000000" w:themeColor="text1"/>
                <w:lang w:bidi="ar"/>
                <w14:textFill>
                  <w14:solidFill>
                    <w14:schemeClr w14:val="tx1"/>
                  </w14:solidFill>
                </w14:textFill>
              </w:rPr>
              <w:t>4-2021）中的工业噪声预测模式。</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声源位于室内，室内声源可采用等效室外声源声功率级法进行计算。设靠近开口处（或窗户）室内、室外某倍频带的声压级或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声级分别为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Lp1</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和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Lp2</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若声源所在室内声场为近似扩散声场，则室外的倍频带声压级可按下式近似求出： </w:t>
            </w:r>
          </w:p>
          <w:p>
            <w:pPr>
              <w:keepNext w:val="0"/>
              <w:keepLines w:val="0"/>
              <w:widowControl/>
              <w:suppressLineNumbers w:val="0"/>
              <w:ind w:left="0" w:leftChars="0" w:firstLine="0" w:firstLineChars="0"/>
              <w:jc w:val="center"/>
              <w:rPr>
                <w:rFonts w:ascii="Cambria Math" w:hAnsi="Cambria Math" w:eastAsia="Cambria Math" w:cs="Cambria Math"/>
                <w:color w:val="000000" w:themeColor="text1"/>
                <w:kern w:val="0"/>
                <w:sz w:val="24"/>
                <w:szCs w:val="24"/>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724025" cy="342900"/>
                  <wp:effectExtent l="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8"/>
                          <a:stretch>
                            <a:fillRect/>
                          </a:stretch>
                        </pic:blipFill>
                        <pic:spPr>
                          <a:xfrm>
                            <a:off x="0" y="0"/>
                            <a:ext cx="1724025" cy="342900"/>
                          </a:xfrm>
                          <a:prstGeom prst="rect">
                            <a:avLst/>
                          </a:prstGeom>
                          <a:noFill/>
                          <a:ln>
                            <a:noFill/>
                          </a:ln>
                        </pic:spPr>
                      </pic:pic>
                    </a:graphicData>
                  </a:graphic>
                </wp:inline>
              </w:drawing>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式中： </w:t>
            </w:r>
          </w:p>
          <w:p>
            <w:pPr>
              <w:keepNext w:val="0"/>
              <w:keepLines w:val="0"/>
              <w:widowControl/>
              <w:suppressLineNumbers w:val="0"/>
              <w:ind w:firstLine="1200" w:firstLineChars="5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P1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靠近开口处（或窗户）室内某倍频带的声压级或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200" w:firstLineChars="5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P2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靠近开口处（或窗户）室外某倍频带的声压级或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200" w:firstLineChars="5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TL——</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隔墙（或窗户）倍频带或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声级的隔声量，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然后按下列公式将室外声源的声压级和透过面积换算成等效的室外声源，计算出中心位置位于透声面积（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）处的等效声源的倍频带声功率级。 </w:t>
            </w:r>
          </w:p>
          <w:p>
            <w:pPr>
              <w:keepNext w:val="0"/>
              <w:keepLines w:val="0"/>
              <w:widowControl/>
              <w:suppressLineNumbers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628775" cy="304800"/>
                  <wp:effectExtent l="0" t="0" r="9525"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9"/>
                          <a:stretch>
                            <a:fillRect/>
                          </a:stretch>
                        </pic:blipFill>
                        <pic:spPr>
                          <a:xfrm>
                            <a:off x="0" y="0"/>
                            <a:ext cx="1628775" cy="304800"/>
                          </a:xfrm>
                          <a:prstGeom prst="rect">
                            <a:avLst/>
                          </a:prstGeom>
                          <a:noFill/>
                          <a:ln>
                            <a:noFill/>
                          </a:ln>
                        </pic:spPr>
                      </pic:pic>
                    </a:graphicData>
                  </a:graphic>
                </wp:inline>
              </w:drawing>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式中： </w:t>
            </w:r>
          </w:p>
          <w:p>
            <w:pPr>
              <w:keepNext w:val="0"/>
              <w:keepLines w:val="0"/>
              <w:widowControl/>
              <w:suppressLineNumbers w:val="0"/>
              <w:ind w:firstLine="1200" w:firstLineChars="5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中心位置位于透声面积（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宋体" w:hAnsi="宋体" w:eastAsia="宋体" w:cs="宋体"/>
                <w:color w:val="000000" w:themeColor="text1"/>
                <w:kern w:val="0"/>
                <w:sz w:val="24"/>
                <w:szCs w:val="24"/>
                <w:lang w:val="en-US" w:eastAsia="zh-CN" w:bidi="ar"/>
                <w14:textFill>
                  <w14:solidFill>
                    <w14:schemeClr w14:val="tx1"/>
                  </w14:solidFill>
                </w14:textFill>
              </w:rPr>
              <w:t>）处的等效声源的倍频带声功率级，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dB </w:t>
            </w:r>
          </w:p>
          <w:p>
            <w:pPr>
              <w:keepNext w:val="0"/>
              <w:keepLines w:val="0"/>
              <w:widowControl/>
              <w:suppressLineNumbers w:val="0"/>
              <w:ind w:firstLine="1200" w:firstLineChars="5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P2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靠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Lp2(T)</w:t>
            </w:r>
            <w:r>
              <w:rPr>
                <w:rFonts w:hint="eastAsia" w:ascii="宋体" w:hAnsi="宋体" w:eastAsia="宋体" w:cs="宋体"/>
                <w:color w:val="000000" w:themeColor="text1"/>
                <w:kern w:val="0"/>
                <w:sz w:val="24"/>
                <w:szCs w:val="24"/>
                <w:lang w:val="en-US" w:eastAsia="zh-CN" w:bidi="ar"/>
                <w14:textFill>
                  <w14:solidFill>
                    <w14:schemeClr w14:val="tx1"/>
                  </w14:solidFill>
                </w14:textFill>
              </w:rPr>
              <w:t>—靠近围护结构处室外声源的声压级，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200" w:firstLineChars="5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r>
              <w:rPr>
                <w:rFonts w:hint="eastAsia" w:ascii="宋体" w:hAnsi="宋体" w:eastAsia="宋体" w:cs="宋体"/>
                <w:color w:val="000000" w:themeColor="text1"/>
                <w:kern w:val="0"/>
                <w:sz w:val="24"/>
                <w:szCs w:val="24"/>
                <w:lang w:val="en-US" w:eastAsia="zh-CN" w:bidi="ar"/>
                <w14:textFill>
                  <w14:solidFill>
                    <w14:schemeClr w14:val="tx1"/>
                  </w14:solidFill>
                </w14:textFill>
              </w:rPr>
              <w:t>透声面积，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16"/>
                <w:szCs w:val="16"/>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autoSpaceDE w:val="0"/>
              <w:ind w:left="0" w:leftChars="0" w:firstLine="0" w:firstLineChars="0"/>
              <w:jc w:val="center"/>
              <w:rPr>
                <w:color w:val="000000" w:themeColor="text1"/>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2428875" cy="1333500"/>
                  <wp:effectExtent l="0" t="0" r="9525" b="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0"/>
                          <a:stretch>
                            <a:fillRect/>
                          </a:stretch>
                        </pic:blipFill>
                        <pic:spPr>
                          <a:xfrm>
                            <a:off x="0" y="0"/>
                            <a:ext cx="2428875" cy="1333500"/>
                          </a:xfrm>
                          <a:prstGeom prst="rect">
                            <a:avLst/>
                          </a:prstGeom>
                          <a:noFill/>
                          <a:ln>
                            <a:noFill/>
                          </a:ln>
                        </pic:spPr>
                      </pic:pic>
                    </a:graphicData>
                  </a:graphic>
                </wp:inline>
              </w:drawing>
            </w:r>
          </w:p>
          <w:p>
            <w:pPr>
              <w:spacing w:line="450" w:lineRule="exact"/>
              <w:ind w:firstLine="0" w:firstLineChars="0"/>
              <w:jc w:val="center"/>
              <w:rPr>
                <w:rStyle w:val="36"/>
                <w:rFonts w:hint="eastAsia"/>
                <w:b/>
                <w:bCs/>
                <w:color w:val="000000" w:themeColor="text1"/>
                <w14:textFill>
                  <w14:solidFill>
                    <w14:schemeClr w14:val="tx1"/>
                  </w14:solidFill>
                </w14:textFill>
              </w:rPr>
            </w:pPr>
            <w:r>
              <w:rPr>
                <w:rStyle w:val="36"/>
                <w:rFonts w:hint="eastAsia"/>
                <w:b/>
                <w:bCs/>
                <w:color w:val="000000" w:themeColor="text1"/>
                <w14:textFill>
                  <w14:solidFill>
                    <w14:schemeClr w14:val="tx1"/>
                  </w14:solidFill>
                </w14:textFill>
              </w:rPr>
              <w:t>图</w:t>
            </w:r>
            <w:r>
              <w:rPr>
                <w:rStyle w:val="36"/>
                <w:rFonts w:hint="eastAsia"/>
                <w:b/>
                <w:bCs/>
                <w:color w:val="000000" w:themeColor="text1"/>
                <w:lang w:val="en-US" w:eastAsia="zh-CN"/>
                <w14:textFill>
                  <w14:solidFill>
                    <w14:schemeClr w14:val="tx1"/>
                  </w14:solidFill>
                </w14:textFill>
              </w:rPr>
              <w:t>4</w:t>
            </w:r>
            <w:r>
              <w:rPr>
                <w:rStyle w:val="36"/>
                <w:rFonts w:hint="eastAsia"/>
                <w:b/>
                <w:bCs/>
                <w:color w:val="000000" w:themeColor="text1"/>
                <w14:textFill>
                  <w14:solidFill>
                    <w14:schemeClr w14:val="tx1"/>
                  </w14:solidFill>
                </w14:textFill>
              </w:rPr>
              <w:t>-1 室内声源等效为室外声源图</w:t>
            </w:r>
          </w:p>
          <w:p>
            <w:pPr>
              <w:pStyle w:val="2"/>
              <w:rPr>
                <w:rStyle w:val="36"/>
                <w:rFonts w:hint="eastAsia"/>
                <w:b/>
                <w:bCs/>
                <w:color w:val="000000" w:themeColor="text1"/>
                <w14:textFill>
                  <w14:solidFill>
                    <w14:schemeClr w14:val="tx1"/>
                  </w14:solidFill>
                </w14:textFill>
              </w:rPr>
            </w:pP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按室外声源方法计算等效室外声源在预测点产生的声级。 </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计算某个室外声源在预测点产生的倍频带声压级： </w:t>
            </w:r>
          </w:p>
          <w:p>
            <w:pPr>
              <w:pStyle w:val="2"/>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371725" cy="457200"/>
                  <wp:effectExtent l="0" t="0" r="9525" b="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31"/>
                          <a:stretch>
                            <a:fillRect/>
                          </a:stretch>
                        </pic:blipFill>
                        <pic:spPr>
                          <a:xfrm>
                            <a:off x="0" y="0"/>
                            <a:ext cx="2371725" cy="457200"/>
                          </a:xfrm>
                          <a:prstGeom prst="rect">
                            <a:avLst/>
                          </a:prstGeom>
                          <a:noFill/>
                          <a:ln>
                            <a:noFill/>
                          </a:ln>
                        </pic:spPr>
                      </pic:pic>
                    </a:graphicData>
                  </a:graphic>
                </wp:inline>
              </w:drawing>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color w:val="000000" w:themeColor="text1"/>
                <w14:textFill>
                  <w14:solidFill>
                    <w14:schemeClr w14:val="tx1"/>
                  </w14:solidFill>
                </w14:textFill>
              </w:rPr>
              <w:drawing>
                <wp:inline distT="0" distB="0" distL="114300" distR="114300">
                  <wp:extent cx="476250" cy="295275"/>
                  <wp:effectExtent l="0" t="0" r="0" b="952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2"/>
                          <a:stretch>
                            <a:fillRect/>
                          </a:stretch>
                        </pic:blipFill>
                        <pic:spPr>
                          <a:xfrm>
                            <a:off x="0" y="0"/>
                            <a:ext cx="476250" cy="295275"/>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点声源在预测点产生的倍频带声压级，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200" w:firstLineChars="5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5300" cy="304800"/>
                  <wp:effectExtent l="0" t="0" r="0" b="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33"/>
                          <a:stretch>
                            <a:fillRect/>
                          </a:stretch>
                        </pic:blipFill>
                        <pic:spPr>
                          <a:xfrm>
                            <a:off x="0" y="0"/>
                            <a:ext cx="495300" cy="304800"/>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参考位置 处的倍频带声压级，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920" w:firstLineChars="80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预测点距声源的距离，</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920" w:firstLineChars="80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r</w:t>
            </w:r>
            <w:r>
              <w:rPr>
                <w:rFonts w:hint="eastAsia" w:cs="Times New Roman"/>
                <w:color w:val="000000" w:themeColor="text1"/>
                <w:kern w:val="0"/>
                <w:sz w:val="24"/>
                <w:szCs w:val="24"/>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参考位置距声源的距离，</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ind w:firstLine="1200" w:firstLineChars="5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9100" cy="295275"/>
                  <wp:effectExtent l="0" t="0" r="0" b="952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34"/>
                          <a:stretch>
                            <a:fillRect/>
                          </a:stretch>
                        </pic:blipFill>
                        <pic:spPr>
                          <a:xfrm>
                            <a:off x="0" y="0"/>
                            <a:ext cx="419100" cy="295275"/>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各种因素引起的衰减量，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jc w:val="left"/>
              <w:rPr>
                <w:color w:val="000000" w:themeColor="text1"/>
                <w14:textFill>
                  <w14:solidFill>
                    <w14:schemeClr w14:val="tx1"/>
                  </w14:solidFill>
                </w14:textFill>
              </w:rPr>
            </w:pPr>
            <w:r>
              <w:rPr>
                <w:color w:val="000000" w:themeColor="text1"/>
                <w14:textFill>
                  <w14:solidFill>
                    <w14:schemeClr w14:val="tx1"/>
                  </w14:solidFill>
                </w14:textFill>
              </w:rPr>
              <w:t xml:space="preserve">如已知声源的倍频带声功率级 </w:t>
            </w:r>
            <w:r>
              <w:rPr>
                <w:rFonts w:ascii="Times New Roman" w:eastAsia="Times New Roman"/>
                <w:i/>
                <w:color w:val="000000" w:themeColor="text1"/>
                <w:position w:val="12"/>
                <w14:textFill>
                  <w14:solidFill>
                    <w14:schemeClr w14:val="tx1"/>
                  </w14:solidFill>
                </w14:textFill>
              </w:rPr>
              <w:t>L</w:t>
            </w:r>
            <w:r>
              <w:rPr>
                <w:rFonts w:ascii="Times New Roman" w:eastAsia="Times New Roman"/>
                <w:i/>
                <w:color w:val="000000" w:themeColor="text1"/>
                <w:position w:val="6"/>
                <w:sz w:val="14"/>
                <w14:textFill>
                  <w14:solidFill>
                    <w14:schemeClr w14:val="tx1"/>
                  </w14:solidFill>
                </w14:textFill>
              </w:rPr>
              <w:t xml:space="preserve">woct </w:t>
            </w:r>
            <w:r>
              <w:rPr>
                <w:color w:val="000000" w:themeColor="text1"/>
                <w14:textFill>
                  <w14:solidFill>
                    <w14:schemeClr w14:val="tx1"/>
                  </w14:solidFill>
                </w14:textFill>
              </w:rPr>
              <w:t>，且声源可看作是位于地面上的，则</w:t>
            </w:r>
          </w:p>
          <w:p>
            <w:pPr>
              <w:keepNext w:val="0"/>
              <w:keepLines w:val="0"/>
              <w:widowControl/>
              <w:suppressLineNumbers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19275" cy="276225"/>
                  <wp:effectExtent l="0" t="0" r="9525" b="952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35"/>
                          <a:stretch>
                            <a:fillRect/>
                          </a:stretch>
                        </pic:blipFill>
                        <pic:spPr>
                          <a:xfrm>
                            <a:off x="0" y="0"/>
                            <a:ext cx="1819275" cy="276225"/>
                          </a:xfrm>
                          <a:prstGeom prst="rect">
                            <a:avLst/>
                          </a:prstGeom>
                          <a:noFill/>
                          <a:ln>
                            <a:noFill/>
                          </a:ln>
                        </pic:spPr>
                      </pic:pic>
                    </a:graphicData>
                  </a:graphic>
                </wp:inline>
              </w:drawing>
            </w:r>
          </w:p>
          <w:p>
            <w:pPr>
              <w:spacing w:before="0" w:line="488" w:lineRule="exact"/>
              <w:ind w:right="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由各倍频带声压级合成计算该声源产生的 </w:t>
            </w:r>
            <w:r>
              <w:rPr>
                <w:rFonts w:ascii="Times New Roman" w:hAnsi="Times New Roman" w:eastAsia="Times New Roman"/>
                <w:color w:val="000000" w:themeColor="text1"/>
                <w:sz w:val="24"/>
                <w14:textFill>
                  <w14:solidFill>
                    <w14:schemeClr w14:val="tx1"/>
                  </w14:solidFill>
                </w14:textFill>
              </w:rPr>
              <w:t xml:space="preserve">A </w:t>
            </w:r>
            <w:r>
              <w:rPr>
                <w:color w:val="000000" w:themeColor="text1"/>
                <w:sz w:val="24"/>
                <w14:textFill>
                  <w14:solidFill>
                    <w14:schemeClr w14:val="tx1"/>
                  </w14:solidFill>
                </w14:textFill>
              </w:rPr>
              <w:t xml:space="preserve">声级 </w:t>
            </w:r>
            <w:r>
              <w:rPr>
                <w:rFonts w:ascii="Times New Roman" w:hAnsi="Times New Roman" w:eastAsia="Times New Roman"/>
                <w:i/>
                <w:color w:val="000000" w:themeColor="text1"/>
                <w:position w:val="12"/>
                <w:sz w:val="24"/>
                <w14:textFill>
                  <w14:solidFill>
                    <w14:schemeClr w14:val="tx1"/>
                  </w14:solidFill>
                </w14:textFill>
              </w:rPr>
              <w:t>Leq</w:t>
            </w:r>
            <w:r>
              <w:rPr>
                <w:rFonts w:ascii="Symbol" w:hAnsi="Symbol" w:eastAsia="Symbol"/>
                <w:color w:val="000000" w:themeColor="text1"/>
                <w:position w:val="12"/>
                <w:sz w:val="32"/>
                <w14:textFill>
                  <w14:solidFill>
                    <w14:schemeClr w14:val="tx1"/>
                  </w14:solidFill>
                </w14:textFill>
              </w:rPr>
              <w:t></w:t>
            </w:r>
            <w:r>
              <w:rPr>
                <w:rFonts w:ascii="Times New Roman" w:hAnsi="Times New Roman" w:eastAsia="Times New Roman"/>
                <w:i/>
                <w:color w:val="000000" w:themeColor="text1"/>
                <w:position w:val="12"/>
                <w:sz w:val="24"/>
                <w14:textFill>
                  <w14:solidFill>
                    <w14:schemeClr w14:val="tx1"/>
                  </w14:solidFill>
                </w14:textFill>
              </w:rPr>
              <w:t>A</w:t>
            </w:r>
            <w:r>
              <w:rPr>
                <w:rFonts w:ascii="Symbol" w:hAnsi="Symbol" w:eastAsia="Symbol"/>
                <w:color w:val="000000" w:themeColor="text1"/>
                <w:position w:val="12"/>
                <w:sz w:val="32"/>
                <w14:textFill>
                  <w14:solidFill>
                    <w14:schemeClr w14:val="tx1"/>
                  </w14:solidFill>
                </w14:textFill>
              </w:rPr>
              <w:t></w:t>
            </w:r>
            <w:r>
              <w:rPr>
                <w:rFonts w:ascii="Times New Roman" w:hAnsi="Times New Roman" w:eastAsia="Times New Roman"/>
                <w:color w:val="000000" w:themeColor="text1"/>
                <w:position w:val="12"/>
                <w:sz w:val="32"/>
                <w14:textFill>
                  <w14:solidFill>
                    <w14:schemeClr w14:val="tx1"/>
                  </w14:solidFill>
                </w14:textFill>
              </w:rPr>
              <w:t xml:space="preserve"> </w:t>
            </w:r>
            <w:r>
              <w:rPr>
                <w:color w:val="000000" w:themeColor="text1"/>
                <w:sz w:val="24"/>
                <w14:textFill>
                  <w14:solidFill>
                    <w14:schemeClr w14:val="tx1"/>
                  </w14:solidFill>
                </w14:textFill>
              </w:rPr>
              <w:t>。</w:t>
            </w:r>
          </w:p>
          <w:p>
            <w:pPr>
              <w:spacing w:before="28" w:line="261" w:lineRule="auto"/>
              <w:ind w:right="117"/>
              <w:jc w:val="left"/>
              <w:rPr>
                <w:color w:val="000000" w:themeColor="text1"/>
                <w:sz w:val="24"/>
                <w14:textFill>
                  <w14:solidFill>
                    <w14:schemeClr w14:val="tx1"/>
                  </w14:solidFill>
                </w14:textFill>
              </w:rPr>
            </w:pPr>
            <w:r>
              <w:rPr>
                <w:color w:val="000000" w:themeColor="text1"/>
                <w:spacing w:val="-10"/>
                <w:w w:val="105"/>
                <w:sz w:val="24"/>
                <w14:textFill>
                  <w14:solidFill>
                    <w14:schemeClr w14:val="tx1"/>
                  </w14:solidFill>
                </w14:textFill>
              </w:rPr>
              <w:t xml:space="preserve">计算总声压级：设第 </w:t>
            </w:r>
            <w:r>
              <w:rPr>
                <w:rFonts w:ascii="Times New Roman" w:eastAsia="Times New Roman"/>
                <w:color w:val="000000" w:themeColor="text1"/>
                <w:w w:val="105"/>
                <w:sz w:val="24"/>
                <w14:textFill>
                  <w14:solidFill>
                    <w14:schemeClr w14:val="tx1"/>
                  </w14:solidFill>
                </w14:textFill>
              </w:rPr>
              <w:t xml:space="preserve">i </w:t>
            </w:r>
            <w:r>
              <w:rPr>
                <w:color w:val="000000" w:themeColor="text1"/>
                <w:spacing w:val="-8"/>
                <w:w w:val="105"/>
                <w:sz w:val="24"/>
                <w14:textFill>
                  <w14:solidFill>
                    <w14:schemeClr w14:val="tx1"/>
                  </w14:solidFill>
                </w14:textFill>
              </w:rPr>
              <w:t xml:space="preserve">个室外声源在预测点产生的 </w:t>
            </w:r>
            <w:r>
              <w:rPr>
                <w:rFonts w:ascii="Times New Roman" w:eastAsia="Times New Roman"/>
                <w:color w:val="000000" w:themeColor="text1"/>
                <w:w w:val="105"/>
                <w:sz w:val="24"/>
                <w14:textFill>
                  <w14:solidFill>
                    <w14:schemeClr w14:val="tx1"/>
                  </w14:solidFill>
                </w14:textFill>
              </w:rPr>
              <w:t xml:space="preserve">A </w:t>
            </w:r>
            <w:r>
              <w:rPr>
                <w:color w:val="000000" w:themeColor="text1"/>
                <w:spacing w:val="-26"/>
                <w:w w:val="105"/>
                <w:sz w:val="24"/>
                <w14:textFill>
                  <w14:solidFill>
                    <w14:schemeClr w14:val="tx1"/>
                  </w14:solidFill>
                </w14:textFill>
              </w:rPr>
              <w:t xml:space="preserve">声级为 </w:t>
            </w:r>
            <w:r>
              <w:rPr>
                <w:rFonts w:ascii="Times New Roman" w:eastAsia="Times New Roman"/>
                <w:i/>
                <w:color w:val="000000" w:themeColor="text1"/>
                <w:spacing w:val="2"/>
                <w:w w:val="105"/>
                <w:position w:val="15"/>
                <w:sz w:val="23"/>
                <w14:textFill>
                  <w14:solidFill>
                    <w14:schemeClr w14:val="tx1"/>
                  </w14:solidFill>
                </w14:textFill>
              </w:rPr>
              <w:t>L</w:t>
            </w:r>
            <w:r>
              <w:rPr>
                <w:rFonts w:ascii="Times New Roman" w:eastAsia="Times New Roman"/>
                <w:i/>
                <w:color w:val="000000" w:themeColor="text1"/>
                <w:spacing w:val="2"/>
                <w:w w:val="105"/>
                <w:position w:val="9"/>
                <w:sz w:val="14"/>
                <w14:textFill>
                  <w14:solidFill>
                    <w14:schemeClr w14:val="tx1"/>
                  </w14:solidFill>
                </w14:textFill>
              </w:rPr>
              <w:t>Ain</w:t>
            </w:r>
            <w:r>
              <w:rPr>
                <w:rFonts w:ascii="Times New Roman" w:eastAsia="Times New Roman"/>
                <w:color w:val="000000" w:themeColor="text1"/>
                <w:spacing w:val="2"/>
                <w:w w:val="105"/>
                <w:position w:val="9"/>
                <w:sz w:val="14"/>
                <w14:textFill>
                  <w14:solidFill>
                    <w14:schemeClr w14:val="tx1"/>
                  </w14:solidFill>
                </w14:textFill>
              </w:rPr>
              <w:t>,</w:t>
            </w:r>
            <w:r>
              <w:rPr>
                <w:rFonts w:ascii="Times New Roman" w:eastAsia="Times New Roman"/>
                <w:i/>
                <w:color w:val="000000" w:themeColor="text1"/>
                <w:spacing w:val="2"/>
                <w:w w:val="105"/>
                <w:position w:val="9"/>
                <w:sz w:val="14"/>
                <w14:textFill>
                  <w14:solidFill>
                    <w14:schemeClr w14:val="tx1"/>
                  </w14:solidFill>
                </w14:textFill>
              </w:rPr>
              <w:t xml:space="preserve">i </w:t>
            </w:r>
            <w:r>
              <w:rPr>
                <w:color w:val="000000" w:themeColor="text1"/>
                <w:spacing w:val="10"/>
                <w:w w:val="105"/>
                <w:sz w:val="24"/>
                <w14:textFill>
                  <w14:solidFill>
                    <w14:schemeClr w14:val="tx1"/>
                  </w14:solidFill>
                </w14:textFill>
              </w:rPr>
              <w:t>，在</w:t>
            </w:r>
            <w:r>
              <w:rPr>
                <w:rFonts w:ascii="Times New Roman" w:eastAsia="Times New Roman"/>
                <w:i/>
                <w:color w:val="000000" w:themeColor="text1"/>
                <w:w w:val="105"/>
                <w:position w:val="5"/>
                <w:sz w:val="23"/>
                <w14:textFill>
                  <w14:solidFill>
                    <w14:schemeClr w14:val="tx1"/>
                  </w14:solidFill>
                </w14:textFill>
              </w:rPr>
              <w:t xml:space="preserve">T </w:t>
            </w:r>
            <w:r>
              <w:rPr>
                <w:color w:val="000000" w:themeColor="text1"/>
                <w:w w:val="105"/>
                <w:sz w:val="24"/>
                <w14:textFill>
                  <w14:solidFill>
                    <w14:schemeClr w14:val="tx1"/>
                  </w14:solidFill>
                </w14:textFill>
              </w:rPr>
              <w:t>时</w:t>
            </w:r>
            <w:r>
              <w:rPr>
                <w:color w:val="000000" w:themeColor="text1"/>
                <w:spacing w:val="2"/>
                <w:sz w:val="24"/>
                <w14:textFill>
                  <w14:solidFill>
                    <w14:schemeClr w14:val="tx1"/>
                  </w14:solidFill>
                </w14:textFill>
              </w:rPr>
              <w:t>间内该声源工作时间为</w:t>
            </w:r>
            <w:r>
              <w:rPr>
                <w:rFonts w:ascii="Times New Roman" w:eastAsia="Times New Roman"/>
                <w:i/>
                <w:color w:val="000000" w:themeColor="text1"/>
                <w:spacing w:val="4"/>
                <w:position w:val="15"/>
                <w:sz w:val="23"/>
                <w14:textFill>
                  <w14:solidFill>
                    <w14:schemeClr w14:val="tx1"/>
                  </w14:solidFill>
                </w14:textFill>
              </w:rPr>
              <w:t>t</w:t>
            </w:r>
            <w:r>
              <w:rPr>
                <w:rFonts w:ascii="Times New Roman" w:eastAsia="Times New Roman"/>
                <w:i/>
                <w:color w:val="000000" w:themeColor="text1"/>
                <w:spacing w:val="4"/>
                <w:position w:val="9"/>
                <w:sz w:val="13"/>
                <w14:textFill>
                  <w14:solidFill>
                    <w14:schemeClr w14:val="tx1"/>
                  </w14:solidFill>
                </w14:textFill>
              </w:rPr>
              <w:t>in</w:t>
            </w:r>
            <w:r>
              <w:rPr>
                <w:rFonts w:ascii="Times New Roman" w:eastAsia="Times New Roman"/>
                <w:color w:val="000000" w:themeColor="text1"/>
                <w:spacing w:val="4"/>
                <w:position w:val="9"/>
                <w:sz w:val="13"/>
                <w14:textFill>
                  <w14:solidFill>
                    <w14:schemeClr w14:val="tx1"/>
                  </w14:solidFill>
                </w14:textFill>
              </w:rPr>
              <w:t>,</w:t>
            </w:r>
            <w:r>
              <w:rPr>
                <w:rFonts w:ascii="Times New Roman" w:eastAsia="Times New Roman"/>
                <w:i/>
                <w:color w:val="000000" w:themeColor="text1"/>
                <w:spacing w:val="4"/>
                <w:position w:val="9"/>
                <w:sz w:val="13"/>
                <w14:textFill>
                  <w14:solidFill>
                    <w14:schemeClr w14:val="tx1"/>
                  </w14:solidFill>
                </w14:textFill>
              </w:rPr>
              <w:t xml:space="preserve">i </w:t>
            </w:r>
            <w:r>
              <w:rPr>
                <w:color w:val="000000" w:themeColor="text1"/>
                <w:spacing w:val="-41"/>
                <w:sz w:val="24"/>
                <w14:textFill>
                  <w14:solidFill>
                    <w14:schemeClr w14:val="tx1"/>
                  </w14:solidFill>
                </w14:textFill>
              </w:rPr>
              <w:t>，第</w:t>
            </w:r>
            <w:r>
              <w:rPr>
                <w:rFonts w:ascii="Times New Roman" w:eastAsia="Times New Roman"/>
                <w:color w:val="000000" w:themeColor="text1"/>
                <w:sz w:val="24"/>
                <w14:textFill>
                  <w14:solidFill>
                    <w14:schemeClr w14:val="tx1"/>
                  </w14:solidFill>
                </w14:textFill>
              </w:rPr>
              <w:t xml:space="preserve">j </w:t>
            </w:r>
            <w:r>
              <w:rPr>
                <w:color w:val="000000" w:themeColor="text1"/>
                <w:spacing w:val="1"/>
                <w:sz w:val="24"/>
                <w14:textFill>
                  <w14:solidFill>
                    <w14:schemeClr w14:val="tx1"/>
                  </w14:solidFill>
                </w14:textFill>
              </w:rPr>
              <w:t>个等效室外声源在预测点产生的</w:t>
            </w:r>
            <w:r>
              <w:rPr>
                <w:rFonts w:ascii="Times New Roman" w:eastAsia="Times New Roman"/>
                <w:color w:val="000000" w:themeColor="text1"/>
                <w:sz w:val="24"/>
                <w14:textFill>
                  <w14:solidFill>
                    <w14:schemeClr w14:val="tx1"/>
                  </w14:solidFill>
                </w14:textFill>
              </w:rPr>
              <w:t xml:space="preserve">A </w:t>
            </w:r>
            <w:r>
              <w:rPr>
                <w:color w:val="000000" w:themeColor="text1"/>
                <w:spacing w:val="13"/>
                <w:sz w:val="24"/>
                <w14:textFill>
                  <w14:solidFill>
                    <w14:schemeClr w14:val="tx1"/>
                  </w14:solidFill>
                </w14:textFill>
              </w:rPr>
              <w:t>声级为</w:t>
            </w:r>
            <w:r>
              <w:rPr>
                <w:rFonts w:ascii="Times New Roman" w:eastAsia="Times New Roman"/>
                <w:i/>
                <w:color w:val="000000" w:themeColor="text1"/>
                <w:spacing w:val="2"/>
                <w:position w:val="15"/>
                <w:sz w:val="23"/>
                <w14:textFill>
                  <w14:solidFill>
                    <w14:schemeClr w14:val="tx1"/>
                  </w14:solidFill>
                </w14:textFill>
              </w:rPr>
              <w:t>L</w:t>
            </w:r>
            <w:r>
              <w:rPr>
                <w:rFonts w:ascii="Times New Roman" w:eastAsia="Times New Roman"/>
                <w:i/>
                <w:color w:val="000000" w:themeColor="text1"/>
                <w:spacing w:val="2"/>
                <w:position w:val="9"/>
                <w:sz w:val="13"/>
                <w14:textFill>
                  <w14:solidFill>
                    <w14:schemeClr w14:val="tx1"/>
                  </w14:solidFill>
                </w14:textFill>
              </w:rPr>
              <w:t>Aout</w:t>
            </w:r>
            <w:r>
              <w:rPr>
                <w:rFonts w:ascii="Times New Roman" w:eastAsia="Times New Roman"/>
                <w:color w:val="000000" w:themeColor="text1"/>
                <w:spacing w:val="3"/>
                <w:position w:val="9"/>
                <w:sz w:val="13"/>
                <w14:textFill>
                  <w14:solidFill>
                    <w14:schemeClr w14:val="tx1"/>
                  </w14:solidFill>
                </w14:textFill>
              </w:rPr>
              <w:t xml:space="preserve">, </w:t>
            </w:r>
            <w:r>
              <w:rPr>
                <w:rFonts w:ascii="Times New Roman" w:eastAsia="Times New Roman"/>
                <w:i/>
                <w:color w:val="000000" w:themeColor="text1"/>
                <w:position w:val="9"/>
                <w:sz w:val="13"/>
                <w14:textFill>
                  <w14:solidFill>
                    <w14:schemeClr w14:val="tx1"/>
                  </w14:solidFill>
                </w14:textFill>
              </w:rPr>
              <w:t xml:space="preserve">j </w:t>
            </w:r>
            <w:r>
              <w:rPr>
                <w:color w:val="000000" w:themeColor="text1"/>
                <w:sz w:val="24"/>
                <w14:textFill>
                  <w14:solidFill>
                    <w14:schemeClr w14:val="tx1"/>
                  </w14:solidFill>
                </w14:textFill>
              </w:rPr>
              <w:t xml:space="preserve">， </w:t>
            </w:r>
            <w:r>
              <w:rPr>
                <w:color w:val="000000" w:themeColor="text1"/>
                <w:spacing w:val="21"/>
                <w:w w:val="105"/>
                <w:sz w:val="24"/>
                <w14:textFill>
                  <w14:solidFill>
                    <w14:schemeClr w14:val="tx1"/>
                  </w14:solidFill>
                </w14:textFill>
              </w:rPr>
              <w:t>在</w:t>
            </w:r>
            <w:r>
              <w:rPr>
                <w:rFonts w:ascii="Times New Roman" w:eastAsia="Times New Roman"/>
                <w:i/>
                <w:color w:val="000000" w:themeColor="text1"/>
                <w:w w:val="105"/>
                <w:position w:val="5"/>
                <w:sz w:val="23"/>
                <w14:textFill>
                  <w14:solidFill>
                    <w14:schemeClr w14:val="tx1"/>
                  </w14:solidFill>
                </w14:textFill>
              </w:rPr>
              <w:t xml:space="preserve">T </w:t>
            </w:r>
            <w:r>
              <w:rPr>
                <w:color w:val="000000" w:themeColor="text1"/>
                <w:spacing w:val="2"/>
                <w:w w:val="105"/>
                <w:sz w:val="24"/>
                <w14:textFill>
                  <w14:solidFill>
                    <w14:schemeClr w14:val="tx1"/>
                  </w14:solidFill>
                </w14:textFill>
              </w:rPr>
              <w:t>时间内该声源工作时间为</w:t>
            </w:r>
            <w:r>
              <w:rPr>
                <w:rFonts w:ascii="Times New Roman" w:eastAsia="Times New Roman"/>
                <w:i/>
                <w:color w:val="000000" w:themeColor="text1"/>
                <w:spacing w:val="4"/>
                <w:w w:val="105"/>
                <w:position w:val="15"/>
                <w:sz w:val="23"/>
                <w14:textFill>
                  <w14:solidFill>
                    <w14:schemeClr w14:val="tx1"/>
                  </w14:solidFill>
                </w14:textFill>
              </w:rPr>
              <w:t>t</w:t>
            </w:r>
            <w:r>
              <w:rPr>
                <w:rFonts w:ascii="Times New Roman" w:eastAsia="Times New Roman"/>
                <w:i/>
                <w:color w:val="000000" w:themeColor="text1"/>
                <w:spacing w:val="4"/>
                <w:w w:val="105"/>
                <w:position w:val="9"/>
                <w:sz w:val="13"/>
                <w14:textFill>
                  <w14:solidFill>
                    <w14:schemeClr w14:val="tx1"/>
                  </w14:solidFill>
                </w14:textFill>
              </w:rPr>
              <w:t>out</w:t>
            </w:r>
            <w:r>
              <w:rPr>
                <w:rFonts w:ascii="Times New Roman" w:eastAsia="Times New Roman"/>
                <w:color w:val="000000" w:themeColor="text1"/>
                <w:spacing w:val="-2"/>
                <w:w w:val="105"/>
                <w:position w:val="9"/>
                <w:sz w:val="13"/>
                <w14:textFill>
                  <w14:solidFill>
                    <w14:schemeClr w14:val="tx1"/>
                  </w14:solidFill>
                </w14:textFill>
              </w:rPr>
              <w:t xml:space="preserve">, </w:t>
            </w:r>
            <w:r>
              <w:rPr>
                <w:rFonts w:ascii="Times New Roman" w:eastAsia="Times New Roman"/>
                <w:i/>
                <w:color w:val="000000" w:themeColor="text1"/>
                <w:w w:val="105"/>
                <w:position w:val="9"/>
                <w:sz w:val="13"/>
                <w14:textFill>
                  <w14:solidFill>
                    <w14:schemeClr w14:val="tx1"/>
                  </w14:solidFill>
                </w14:textFill>
              </w:rPr>
              <w:t xml:space="preserve">j </w:t>
            </w:r>
            <w:r>
              <w:rPr>
                <w:color w:val="000000" w:themeColor="text1"/>
                <w:w w:val="105"/>
                <w:sz w:val="24"/>
                <w14:textFill>
                  <w14:solidFill>
                    <w14:schemeClr w14:val="tx1"/>
                  </w14:solidFill>
                </w14:textFill>
              </w:rPr>
              <w:t>，则预测点的总等效声级为：</w:t>
            </w:r>
          </w:p>
          <w:p>
            <w:pPr>
              <w:keepNext w:val="0"/>
              <w:keepLines w:val="0"/>
              <w:widowControl/>
              <w:suppressLineNumbers w:val="0"/>
              <w:ind w:left="0" w:leftChars="0" w:firstLine="0" w:firstLineChars="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3400425" cy="504825"/>
                  <wp:effectExtent l="0" t="0" r="9525" b="952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6"/>
                          <a:stretch>
                            <a:fillRect/>
                          </a:stretch>
                        </pic:blipFill>
                        <pic:spPr>
                          <a:xfrm>
                            <a:off x="0" y="0"/>
                            <a:ext cx="3400425" cy="504825"/>
                          </a:xfrm>
                          <a:prstGeom prst="rect">
                            <a:avLst/>
                          </a:prstGeom>
                          <a:noFill/>
                          <a:ln>
                            <a:noFill/>
                          </a:ln>
                        </pic:spPr>
                      </pic:pic>
                    </a:graphicData>
                  </a:graphic>
                </wp:inline>
              </w:drawing>
            </w:r>
          </w:p>
          <w:p>
            <w:pPr>
              <w:widowControl w:val="0"/>
              <w:autoSpaceDE w:val="0"/>
              <w:autoSpaceDN w:val="0"/>
              <w:spacing w:before="22" w:after="0" w:line="240" w:lineRule="auto"/>
              <w:ind w:left="785" w:right="0"/>
              <w:jc w:val="left"/>
              <w:rPr>
                <w:rFonts w:ascii="宋体" w:hAnsi="宋体" w:eastAsia="宋体" w:cs="宋体"/>
                <w:color w:val="000000" w:themeColor="text1"/>
                <w:sz w:val="24"/>
                <w:szCs w:val="24"/>
                <w:lang w:val="zh-CN" w:eastAsia="zh-CN" w:bidi="zh-CN"/>
                <w14:textFill>
                  <w14:solidFill>
                    <w14:schemeClr w14:val="tx1"/>
                  </w14:solidFill>
                </w14:textFill>
              </w:rPr>
            </w:pPr>
            <w:r>
              <w:rPr>
                <w:rFonts w:ascii="宋体" w:hAnsi="宋体" w:eastAsia="宋体" w:cs="宋体"/>
                <w:color w:val="000000" w:themeColor="text1"/>
                <w:sz w:val="24"/>
                <w:szCs w:val="24"/>
                <w:lang w:val="zh-CN" w:eastAsia="zh-CN" w:bidi="zh-CN"/>
                <w14:textFill>
                  <w14:solidFill>
                    <w14:schemeClr w14:val="tx1"/>
                  </w14:solidFill>
                </w14:textFill>
              </w:rPr>
              <w:t xml:space="preserve">式中： </w:t>
            </w:r>
            <w:r>
              <w:rPr>
                <w:rFonts w:ascii="Times New Roman" w:hAnsi="Times New Roman" w:eastAsia="Times New Roman" w:cs="宋体"/>
                <w:i/>
                <w:color w:val="000000" w:themeColor="text1"/>
                <w:position w:val="5"/>
                <w:sz w:val="23"/>
                <w:szCs w:val="24"/>
                <w:lang w:val="zh-CN" w:eastAsia="zh-CN" w:bidi="zh-CN"/>
                <w14:textFill>
                  <w14:solidFill>
                    <w14:schemeClr w14:val="tx1"/>
                  </w14:solidFill>
                </w14:textFill>
              </w:rPr>
              <w:t xml:space="preserve">T </w:t>
            </w:r>
            <w:r>
              <w:rPr>
                <w:rFonts w:ascii="Times New Roman" w:hAnsi="Times New Roman" w:eastAsia="Times New Roman" w:cs="宋体"/>
                <w:color w:val="000000" w:themeColor="text1"/>
                <w:sz w:val="24"/>
                <w:szCs w:val="24"/>
                <w:lang w:val="zh-CN" w:eastAsia="zh-CN" w:bidi="zh-CN"/>
                <w14:textFill>
                  <w14:solidFill>
                    <w14:schemeClr w14:val="tx1"/>
                  </w14:solidFill>
                </w14:textFill>
              </w:rPr>
              <w:t>—</w:t>
            </w:r>
            <w:r>
              <w:rPr>
                <w:rFonts w:ascii="宋体" w:hAnsi="宋体" w:eastAsia="宋体" w:cs="宋体"/>
                <w:color w:val="000000" w:themeColor="text1"/>
                <w:sz w:val="24"/>
                <w:szCs w:val="24"/>
                <w:lang w:val="zh-CN" w:eastAsia="zh-CN" w:bidi="zh-CN"/>
                <w14:textFill>
                  <w14:solidFill>
                    <w14:schemeClr w14:val="tx1"/>
                  </w14:solidFill>
                </w14:textFill>
              </w:rPr>
              <w:t>计算等效声级的时间，</w:t>
            </w:r>
            <w:r>
              <w:rPr>
                <w:rFonts w:ascii="Times New Roman" w:hAnsi="Times New Roman" w:eastAsia="Times New Roman" w:cs="宋体"/>
                <w:color w:val="000000" w:themeColor="text1"/>
                <w:sz w:val="24"/>
                <w:szCs w:val="24"/>
                <w:lang w:val="zh-CN" w:eastAsia="zh-CN" w:bidi="zh-CN"/>
                <w14:textFill>
                  <w14:solidFill>
                    <w14:schemeClr w14:val="tx1"/>
                  </w14:solidFill>
                </w14:textFill>
              </w:rPr>
              <w:t>h</w:t>
            </w:r>
            <w:r>
              <w:rPr>
                <w:rFonts w:ascii="宋体" w:hAnsi="宋体" w:eastAsia="宋体" w:cs="宋体"/>
                <w:color w:val="000000" w:themeColor="text1"/>
                <w:sz w:val="24"/>
                <w:szCs w:val="24"/>
                <w:lang w:val="zh-CN" w:eastAsia="zh-CN" w:bidi="zh-CN"/>
                <w14:textFill>
                  <w14:solidFill>
                    <w14:schemeClr w14:val="tx1"/>
                  </w14:solidFill>
                </w14:textFill>
              </w:rPr>
              <w:t>；</w:t>
            </w:r>
          </w:p>
          <w:p>
            <w:pPr>
              <w:widowControl w:val="0"/>
              <w:autoSpaceDE w:val="0"/>
              <w:autoSpaceDN w:val="0"/>
              <w:spacing w:before="6" w:after="0" w:line="240" w:lineRule="auto"/>
              <w:ind w:left="1553" w:right="0"/>
              <w:jc w:val="left"/>
              <w:rPr>
                <w:rFonts w:ascii="宋体" w:hAnsi="宋体" w:eastAsia="宋体" w:cs="宋体"/>
                <w:color w:val="000000" w:themeColor="text1"/>
                <w:sz w:val="24"/>
                <w:szCs w:val="24"/>
                <w:lang w:val="zh-CN" w:eastAsia="zh-CN" w:bidi="zh-CN"/>
                <w14:textFill>
                  <w14:solidFill>
                    <w14:schemeClr w14:val="tx1"/>
                  </w14:solidFill>
                </w14:textFill>
              </w:rPr>
            </w:pPr>
            <w:r>
              <w:rPr>
                <w:rFonts w:ascii="Times New Roman" w:hAnsi="Times New Roman" w:eastAsia="Times New Roman" w:cs="宋体"/>
                <w:i/>
                <w:color w:val="000000" w:themeColor="text1"/>
                <w:position w:val="7"/>
                <w:sz w:val="24"/>
                <w:szCs w:val="24"/>
                <w:lang w:val="zh-CN" w:eastAsia="zh-CN" w:bidi="zh-CN"/>
                <w14:textFill>
                  <w14:solidFill>
                    <w14:schemeClr w14:val="tx1"/>
                  </w14:solidFill>
                </w14:textFill>
              </w:rPr>
              <w:t xml:space="preserve">N </w:t>
            </w:r>
            <w:r>
              <w:rPr>
                <w:rFonts w:ascii="Times New Roman" w:hAnsi="Times New Roman" w:eastAsia="Times New Roman" w:cs="宋体"/>
                <w:color w:val="000000" w:themeColor="text1"/>
                <w:sz w:val="24"/>
                <w:szCs w:val="24"/>
                <w:lang w:val="zh-CN" w:eastAsia="zh-CN" w:bidi="zh-CN"/>
                <w14:textFill>
                  <w14:solidFill>
                    <w14:schemeClr w14:val="tx1"/>
                  </w14:solidFill>
                </w14:textFill>
              </w:rPr>
              <w:t>—</w:t>
            </w:r>
            <w:r>
              <w:rPr>
                <w:rFonts w:ascii="宋体" w:hAnsi="宋体" w:eastAsia="宋体" w:cs="宋体"/>
                <w:color w:val="000000" w:themeColor="text1"/>
                <w:sz w:val="24"/>
                <w:szCs w:val="24"/>
                <w:lang w:val="zh-CN" w:eastAsia="zh-CN" w:bidi="zh-CN"/>
                <w14:textFill>
                  <w14:solidFill>
                    <w14:schemeClr w14:val="tx1"/>
                  </w14:solidFill>
                </w14:textFill>
              </w:rPr>
              <w:t>室外声源个数；</w:t>
            </w:r>
          </w:p>
          <w:p>
            <w:pPr>
              <w:widowControl w:val="0"/>
              <w:autoSpaceDE w:val="0"/>
              <w:autoSpaceDN w:val="0"/>
              <w:spacing w:before="107" w:after="0" w:line="240" w:lineRule="auto"/>
              <w:ind w:left="1544" w:right="0"/>
              <w:jc w:val="left"/>
              <w:rPr>
                <w:rFonts w:ascii="宋体" w:hAnsi="宋体" w:eastAsia="宋体" w:cs="宋体"/>
                <w:color w:val="000000" w:themeColor="text1"/>
                <w:sz w:val="24"/>
                <w:szCs w:val="24"/>
                <w:lang w:val="zh-CN" w:eastAsia="zh-CN" w:bidi="zh-CN"/>
                <w14:textFill>
                  <w14:solidFill>
                    <w14:schemeClr w14:val="tx1"/>
                  </w14:solidFill>
                </w14:textFill>
              </w:rPr>
            </w:pPr>
            <w:r>
              <w:rPr>
                <w:rFonts w:ascii="Times New Roman" w:hAnsi="Times New Roman" w:eastAsia="Times New Roman" w:cs="宋体"/>
                <w:i/>
                <w:color w:val="000000" w:themeColor="text1"/>
                <w:position w:val="5"/>
                <w:sz w:val="23"/>
                <w:szCs w:val="24"/>
                <w:lang w:val="zh-CN" w:eastAsia="zh-CN" w:bidi="zh-CN"/>
                <w14:textFill>
                  <w14:solidFill>
                    <w14:schemeClr w14:val="tx1"/>
                  </w14:solidFill>
                </w14:textFill>
              </w:rPr>
              <w:t xml:space="preserve">M </w:t>
            </w:r>
            <w:r>
              <w:rPr>
                <w:rFonts w:ascii="Times New Roman" w:hAnsi="Times New Roman" w:eastAsia="Times New Roman" w:cs="宋体"/>
                <w:color w:val="000000" w:themeColor="text1"/>
                <w:sz w:val="24"/>
                <w:szCs w:val="24"/>
                <w:lang w:val="zh-CN" w:eastAsia="zh-CN" w:bidi="zh-CN"/>
                <w14:textFill>
                  <w14:solidFill>
                    <w14:schemeClr w14:val="tx1"/>
                  </w14:solidFill>
                </w14:textFill>
              </w:rPr>
              <w:t>—</w:t>
            </w:r>
            <w:r>
              <w:rPr>
                <w:rFonts w:ascii="宋体" w:hAnsi="宋体" w:eastAsia="宋体" w:cs="宋体"/>
                <w:color w:val="000000" w:themeColor="text1"/>
                <w:sz w:val="24"/>
                <w:szCs w:val="24"/>
                <w:lang w:val="zh-CN" w:eastAsia="zh-CN" w:bidi="zh-CN"/>
                <w14:textFill>
                  <w14:solidFill>
                    <w14:schemeClr w14:val="tx1"/>
                  </w14:solidFill>
                </w14:textFill>
              </w:rPr>
              <w:t>等效室外声源个数。</w:t>
            </w:r>
          </w:p>
          <w:p>
            <w:pPr>
              <w:keepNext w:val="0"/>
              <w:keepLines w:val="0"/>
              <w:widowControl/>
              <w:suppressLineNumbers w:val="0"/>
              <w:ind w:firstLine="1440" w:firstLineChars="600"/>
              <w:jc w:val="left"/>
              <w:rPr>
                <w:rFonts w:ascii="宋体" w:hAnsi="宋体" w:eastAsia="宋体" w:cs="宋体"/>
                <w:color w:val="000000" w:themeColor="text1"/>
                <w:position w:val="2"/>
                <w:sz w:val="24"/>
                <w:szCs w:val="24"/>
                <w:lang w:val="zh-CN" w:eastAsia="zh-CN" w:bidi="zh-CN"/>
                <w14:textFill>
                  <w14:solidFill>
                    <w14:schemeClr w14:val="tx1"/>
                  </w14:solidFill>
                </w14:textFill>
              </w:rPr>
            </w:pPr>
            <w:r>
              <w:rPr>
                <w:rFonts w:ascii="Times New Roman" w:hAnsi="宋体" w:eastAsia="Times New Roman" w:cs="宋体"/>
                <w:i/>
                <w:color w:val="000000" w:themeColor="text1"/>
                <w:position w:val="2"/>
                <w:sz w:val="24"/>
                <w:szCs w:val="24"/>
                <w:lang w:val="zh-CN" w:eastAsia="zh-CN" w:bidi="zh-CN"/>
                <w14:textFill>
                  <w14:solidFill>
                    <w14:schemeClr w14:val="tx1"/>
                  </w14:solidFill>
                </w14:textFill>
              </w:rPr>
              <w:t>L</w:t>
            </w:r>
            <w:r>
              <w:rPr>
                <w:rFonts w:ascii="Times New Roman" w:hAnsi="宋体" w:eastAsia="Times New Roman" w:cs="宋体"/>
                <w:i/>
                <w:color w:val="000000" w:themeColor="text1"/>
                <w:sz w:val="16"/>
                <w:szCs w:val="24"/>
                <w:lang w:val="zh-CN" w:eastAsia="zh-CN" w:bidi="zh-CN"/>
                <w14:textFill>
                  <w14:solidFill>
                    <w14:schemeClr w14:val="tx1"/>
                  </w14:solidFill>
                </w14:textFill>
              </w:rPr>
              <w:t>eqb</w:t>
            </w:r>
            <w:r>
              <w:rPr>
                <w:rFonts w:ascii="宋体" w:hAnsi="宋体" w:eastAsia="宋体" w:cs="宋体"/>
                <w:color w:val="000000" w:themeColor="text1"/>
                <w:spacing w:val="-1"/>
                <w:position w:val="2"/>
                <w:sz w:val="24"/>
                <w:szCs w:val="24"/>
                <w:lang w:val="zh-CN" w:eastAsia="zh-CN" w:bidi="zh-CN"/>
                <w14:textFill>
                  <w14:solidFill>
                    <w14:schemeClr w14:val="tx1"/>
                  </w14:solidFill>
                </w14:textFill>
              </w:rPr>
              <w:t>－预测点的背景值，</w:t>
            </w:r>
            <w:r>
              <w:rPr>
                <w:rFonts w:ascii="Times New Roman" w:hAnsi="宋体" w:eastAsia="Times New Roman" w:cs="宋体"/>
                <w:color w:val="000000" w:themeColor="text1"/>
                <w:position w:val="2"/>
                <w:sz w:val="24"/>
                <w:szCs w:val="24"/>
                <w:lang w:val="zh-CN" w:eastAsia="zh-CN" w:bidi="zh-CN"/>
                <w14:textFill>
                  <w14:solidFill>
                    <w14:schemeClr w14:val="tx1"/>
                  </w14:solidFill>
                </w14:textFill>
              </w:rPr>
              <w:t>dB(A)</w:t>
            </w:r>
            <w:r>
              <w:rPr>
                <w:rFonts w:ascii="宋体" w:hAnsi="宋体" w:eastAsia="宋体" w:cs="宋体"/>
                <w:color w:val="000000" w:themeColor="text1"/>
                <w:position w:val="2"/>
                <w:sz w:val="24"/>
                <w:szCs w:val="24"/>
                <w:lang w:val="zh-CN" w:eastAsia="zh-CN" w:bidi="zh-CN"/>
                <w14:textFill>
                  <w14:solidFill>
                    <w14:schemeClr w14:val="tx1"/>
                  </w14:solidFill>
                </w14:textFill>
              </w:rPr>
              <w:t xml:space="preserve">。 </w:t>
            </w:r>
          </w:p>
          <w:p>
            <w:pPr>
              <w:keepNext w:val="0"/>
              <w:keepLines w:val="0"/>
              <w:widowControl/>
              <w:suppressLineNumbers w:val="0"/>
              <w:jc w:val="left"/>
              <w:rPr>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预测点的预测等效声级（Leq）计算</w:t>
            </w:r>
            <w:r>
              <w:rPr>
                <w:rFonts w:hint="eastAsia"/>
                <w:color w:val="000000" w:themeColor="text1"/>
                <w:lang w:val="en-US" w:eastAsia="zh-CN"/>
                <w14:textFill>
                  <w14:solidFill>
                    <w14:schemeClr w14:val="tx1"/>
                  </w14:solidFill>
                </w14:textFill>
              </w:rPr>
              <w:t>公</w:t>
            </w:r>
            <w:r>
              <w:rPr>
                <w:rFonts w:hint="default"/>
                <w:color w:val="000000" w:themeColor="text1"/>
                <w:lang w:val="zh-CN" w:eastAsia="zh-CN"/>
                <w14:textFill>
                  <w14:solidFill>
                    <w14:schemeClr w14:val="tx1"/>
                  </w14:solidFill>
                </w14:textFill>
              </w:rPr>
              <w:t>式：</w:t>
            </w:r>
          </w:p>
          <w:p>
            <w:pPr>
              <w:keepNext w:val="0"/>
              <w:keepLines w:val="0"/>
              <w:widowControl/>
              <w:suppressLineNumbers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38400" cy="381000"/>
                  <wp:effectExtent l="0" t="0" r="0" b="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37"/>
                          <a:stretch>
                            <a:fillRect/>
                          </a:stretch>
                        </pic:blipFill>
                        <pic:spPr>
                          <a:xfrm>
                            <a:off x="0" y="0"/>
                            <a:ext cx="2438400" cy="381000"/>
                          </a:xfrm>
                          <a:prstGeom prst="rect">
                            <a:avLst/>
                          </a:prstGeom>
                          <a:noFill/>
                          <a:ln>
                            <a:noFill/>
                          </a:ln>
                        </pic:spPr>
                      </pic:pic>
                    </a:graphicData>
                  </a:graphic>
                </wp:inline>
              </w:drawing>
            </w:r>
          </w:p>
          <w:p>
            <w:pPr>
              <w:pStyle w:val="2"/>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式中：</w:t>
            </w:r>
          </w:p>
          <w:p>
            <w:pPr>
              <w:widowControl w:val="0"/>
              <w:autoSpaceDE w:val="0"/>
              <w:autoSpaceDN w:val="0"/>
              <w:spacing w:before="153" w:after="0" w:line="357" w:lineRule="auto"/>
              <w:ind w:left="1505" w:right="1361"/>
              <w:jc w:val="left"/>
              <w:rPr>
                <w:rFonts w:ascii="宋体" w:hAnsi="宋体" w:eastAsia="宋体" w:cs="宋体"/>
                <w:color w:val="000000" w:themeColor="text1"/>
                <w:sz w:val="24"/>
                <w:szCs w:val="24"/>
                <w:lang w:val="zh-CN" w:eastAsia="zh-CN" w:bidi="zh-CN"/>
                <w14:textFill>
                  <w14:solidFill>
                    <w14:schemeClr w14:val="tx1"/>
                  </w14:solidFill>
                </w14:textFill>
              </w:rPr>
            </w:pPr>
            <w:r>
              <w:rPr>
                <w:rFonts w:ascii="Times New Roman" w:hAnsi="宋体" w:eastAsia="Times New Roman" w:cs="宋体"/>
                <w:i/>
                <w:color w:val="000000" w:themeColor="text1"/>
                <w:position w:val="2"/>
                <w:sz w:val="24"/>
                <w:szCs w:val="24"/>
                <w:lang w:val="zh-CN" w:eastAsia="zh-CN" w:bidi="zh-CN"/>
                <w14:textFill>
                  <w14:solidFill>
                    <w14:schemeClr w14:val="tx1"/>
                  </w14:solidFill>
                </w14:textFill>
              </w:rPr>
              <w:t>L</w:t>
            </w:r>
            <w:r>
              <w:rPr>
                <w:rFonts w:ascii="Times New Roman" w:hAnsi="宋体" w:eastAsia="Times New Roman" w:cs="宋体"/>
                <w:i/>
                <w:color w:val="000000" w:themeColor="text1"/>
                <w:sz w:val="16"/>
                <w:szCs w:val="24"/>
                <w:lang w:val="zh-CN" w:eastAsia="zh-CN" w:bidi="zh-CN"/>
                <w14:textFill>
                  <w14:solidFill>
                    <w14:schemeClr w14:val="tx1"/>
                  </w14:solidFill>
                </w14:textFill>
              </w:rPr>
              <w:t>eqg</w:t>
            </w:r>
            <w:r>
              <w:rPr>
                <w:rFonts w:ascii="宋体" w:hAnsi="宋体" w:eastAsia="宋体" w:cs="宋体"/>
                <w:color w:val="000000" w:themeColor="text1"/>
                <w:position w:val="2"/>
                <w:sz w:val="24"/>
                <w:szCs w:val="24"/>
                <w:lang w:val="zh-CN" w:eastAsia="zh-CN" w:bidi="zh-CN"/>
                <w14:textFill>
                  <w14:solidFill>
                    <w14:schemeClr w14:val="tx1"/>
                  </w14:solidFill>
                </w14:textFill>
              </w:rPr>
              <w:t>－建设项目声源在预测点的等效声级贡献值，</w:t>
            </w:r>
            <w:r>
              <w:rPr>
                <w:rFonts w:ascii="Times New Roman" w:hAnsi="宋体" w:eastAsia="Times New Roman" w:cs="宋体"/>
                <w:color w:val="000000" w:themeColor="text1"/>
                <w:position w:val="2"/>
                <w:sz w:val="24"/>
                <w:szCs w:val="24"/>
                <w:lang w:val="zh-CN" w:eastAsia="zh-CN" w:bidi="zh-CN"/>
                <w14:textFill>
                  <w14:solidFill>
                    <w14:schemeClr w14:val="tx1"/>
                  </w14:solidFill>
                </w14:textFill>
              </w:rPr>
              <w:t>dB(A)</w:t>
            </w:r>
            <w:r>
              <w:rPr>
                <w:rFonts w:ascii="宋体" w:hAnsi="宋体" w:eastAsia="宋体" w:cs="宋体"/>
                <w:color w:val="000000" w:themeColor="text1"/>
                <w:position w:val="2"/>
                <w:sz w:val="24"/>
                <w:szCs w:val="24"/>
                <w:lang w:val="zh-CN" w:eastAsia="zh-CN" w:bidi="zh-CN"/>
                <w14:textFill>
                  <w14:solidFill>
                    <w14:schemeClr w14:val="tx1"/>
                  </w14:solidFill>
                </w14:textFill>
              </w:rPr>
              <w:t xml:space="preserve">； </w:t>
            </w:r>
            <w:r>
              <w:rPr>
                <w:rFonts w:ascii="Times New Roman" w:hAnsi="宋体" w:eastAsia="Times New Roman" w:cs="宋体"/>
                <w:i/>
                <w:color w:val="000000" w:themeColor="text1"/>
                <w:position w:val="2"/>
                <w:sz w:val="24"/>
                <w:szCs w:val="24"/>
                <w:lang w:val="zh-CN" w:eastAsia="zh-CN" w:bidi="zh-CN"/>
                <w14:textFill>
                  <w14:solidFill>
                    <w14:schemeClr w14:val="tx1"/>
                  </w14:solidFill>
                </w14:textFill>
              </w:rPr>
              <w:t>L</w:t>
            </w:r>
            <w:r>
              <w:rPr>
                <w:rFonts w:ascii="Times New Roman" w:hAnsi="宋体" w:eastAsia="Times New Roman" w:cs="宋体"/>
                <w:i/>
                <w:color w:val="000000" w:themeColor="text1"/>
                <w:sz w:val="16"/>
                <w:szCs w:val="24"/>
                <w:lang w:val="zh-CN" w:eastAsia="zh-CN" w:bidi="zh-CN"/>
                <w14:textFill>
                  <w14:solidFill>
                    <w14:schemeClr w14:val="tx1"/>
                  </w14:solidFill>
                </w14:textFill>
              </w:rPr>
              <w:t>eqb</w:t>
            </w:r>
            <w:r>
              <w:rPr>
                <w:rFonts w:ascii="宋体" w:hAnsi="宋体" w:eastAsia="宋体" w:cs="宋体"/>
                <w:color w:val="000000" w:themeColor="text1"/>
                <w:position w:val="2"/>
                <w:sz w:val="24"/>
                <w:szCs w:val="24"/>
                <w:lang w:val="zh-CN" w:eastAsia="zh-CN" w:bidi="zh-CN"/>
                <w14:textFill>
                  <w14:solidFill>
                    <w14:schemeClr w14:val="tx1"/>
                  </w14:solidFill>
                </w14:textFill>
              </w:rPr>
              <w:t>－预测点的背景值，</w:t>
            </w:r>
            <w:r>
              <w:rPr>
                <w:rFonts w:ascii="Times New Roman" w:hAnsi="宋体" w:eastAsia="Times New Roman" w:cs="宋体"/>
                <w:color w:val="000000" w:themeColor="text1"/>
                <w:position w:val="2"/>
                <w:sz w:val="24"/>
                <w:szCs w:val="24"/>
                <w:lang w:val="zh-CN" w:eastAsia="zh-CN" w:bidi="zh-CN"/>
                <w14:textFill>
                  <w14:solidFill>
                    <w14:schemeClr w14:val="tx1"/>
                  </w14:solidFill>
                </w14:textFill>
              </w:rPr>
              <w:t>dB(A)</w:t>
            </w:r>
            <w:r>
              <w:rPr>
                <w:rFonts w:ascii="宋体" w:hAnsi="宋体" w:eastAsia="宋体" w:cs="宋体"/>
                <w:color w:val="000000" w:themeColor="text1"/>
                <w:position w:val="2"/>
                <w:sz w:val="24"/>
                <w:szCs w:val="24"/>
                <w:lang w:val="zh-CN" w:eastAsia="zh-CN" w:bidi="zh-CN"/>
                <w14:textFill>
                  <w14:solidFill>
                    <w14:schemeClr w14:val="tx1"/>
                  </w14:solidFill>
                </w14:textFill>
              </w:rPr>
              <w:t>。</w:t>
            </w:r>
          </w:p>
          <w:p>
            <w:pPr>
              <w:tabs>
                <w:tab w:val="left" w:pos="0"/>
              </w:tabs>
              <w:ind w:firstLine="458" w:firstLineChars="191"/>
              <w:jc w:val="left"/>
              <w:rPr>
                <w:b/>
                <w:bCs/>
                <w:color w:val="000000" w:themeColor="text1"/>
                <w:sz w:val="21"/>
                <w14:textFill>
                  <w14:solidFill>
                    <w14:schemeClr w14:val="tx1"/>
                  </w14:solidFill>
                </w14:textFill>
              </w:rPr>
            </w:pPr>
            <w:r>
              <w:rPr>
                <w:color w:val="000000" w:themeColor="text1"/>
                <w:szCs w:val="22"/>
                <w14:textFill>
                  <w14:solidFill>
                    <w14:schemeClr w14:val="tx1"/>
                  </w14:solidFill>
                </w14:textFill>
              </w:rPr>
              <w:t>项目为新建项目，噪声预测结果如表4-</w:t>
            </w:r>
            <w:r>
              <w:rPr>
                <w:rFonts w:hint="eastAsia"/>
                <w:color w:val="000000" w:themeColor="text1"/>
                <w:szCs w:val="22"/>
                <w:lang w:val="en-US" w:eastAsia="zh-CN"/>
                <w14:textFill>
                  <w14:solidFill>
                    <w14:schemeClr w14:val="tx1"/>
                  </w14:solidFill>
                </w14:textFill>
              </w:rPr>
              <w:t>15</w:t>
            </w:r>
            <w:r>
              <w:rPr>
                <w:color w:val="000000" w:themeColor="text1"/>
                <w:szCs w:val="22"/>
                <w14:textFill>
                  <w14:solidFill>
                    <w14:schemeClr w14:val="tx1"/>
                  </w14:solidFill>
                </w14:textFill>
              </w:rPr>
              <w:t>。</w:t>
            </w:r>
          </w:p>
          <w:p>
            <w:pPr>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 xml:space="preserve">15 </w:t>
            </w:r>
            <w:r>
              <w:rPr>
                <w:b/>
                <w:bCs/>
                <w:color w:val="000000" w:themeColor="text1"/>
                <w:sz w:val="21"/>
                <w14:textFill>
                  <w14:solidFill>
                    <w14:schemeClr w14:val="tx1"/>
                  </w14:solidFill>
                </w14:textFill>
              </w:rPr>
              <w:t xml:space="preserve"> 项目厂界噪声预测结果  单位：dB（A）</w:t>
            </w:r>
          </w:p>
          <w:tbl>
            <w:tblPr>
              <w:tblStyle w:val="30"/>
              <w:tblW w:w="0" w:type="auto"/>
              <w:tblInd w:w="12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3"/>
              <w:gridCol w:w="445"/>
              <w:gridCol w:w="601"/>
              <w:gridCol w:w="600"/>
              <w:gridCol w:w="718"/>
              <w:gridCol w:w="1040"/>
              <w:gridCol w:w="1039"/>
              <w:gridCol w:w="1039"/>
              <w:gridCol w:w="1345"/>
              <w:gridCol w:w="8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预测</w:t>
                  </w:r>
                </w:p>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方位</w:t>
                  </w:r>
                </w:p>
              </w:tc>
              <w:tc>
                <w:tcPr>
                  <w:tcW w:w="1646" w:type="dxa"/>
                  <w:gridSpan w:val="3"/>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空间相对位置</w:t>
                  </w:r>
                  <w:r>
                    <w:rPr>
                      <w:b w:val="0"/>
                      <w:bCs/>
                      <w:color w:val="000000" w:themeColor="text1"/>
                      <w:sz w:val="21"/>
                      <w:szCs w:val="21"/>
                      <w14:textFill>
                        <w14:solidFill>
                          <w14:schemeClr w14:val="tx1"/>
                        </w14:solidFill>
                      </w14:textFill>
                    </w:rPr>
                    <w:t>/m</w:t>
                  </w:r>
                </w:p>
              </w:tc>
              <w:tc>
                <w:tcPr>
                  <w:tcW w:w="718"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时段</w:t>
                  </w:r>
                </w:p>
              </w:tc>
              <w:tc>
                <w:tcPr>
                  <w:tcW w:w="1040"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贡献值</w:t>
                  </w:r>
                </w:p>
              </w:tc>
              <w:tc>
                <w:tcPr>
                  <w:tcW w:w="1039"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背景值</w:t>
                  </w:r>
                </w:p>
              </w:tc>
              <w:tc>
                <w:tcPr>
                  <w:tcW w:w="1039"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预测值</w:t>
                  </w:r>
                </w:p>
              </w:tc>
              <w:tc>
                <w:tcPr>
                  <w:tcW w:w="1345"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标准限值</w:t>
                  </w:r>
                </w:p>
              </w:tc>
              <w:tc>
                <w:tcPr>
                  <w:tcW w:w="835" w:type="dxa"/>
                  <w:vMerge w:val="restart"/>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4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X</w:t>
                  </w:r>
                </w:p>
              </w:tc>
              <w:tc>
                <w:tcPr>
                  <w:tcW w:w="601"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Y</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Z</w:t>
                  </w:r>
                </w:p>
              </w:tc>
              <w:tc>
                <w:tcPr>
                  <w:tcW w:w="718"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1040"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1039"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1039"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1345"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835"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restart"/>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东侧</w:t>
                  </w:r>
                </w:p>
              </w:tc>
              <w:tc>
                <w:tcPr>
                  <w:tcW w:w="445"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115</w:t>
                  </w:r>
                </w:p>
              </w:tc>
              <w:tc>
                <w:tcPr>
                  <w:tcW w:w="601"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昼间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16.2</w:t>
                  </w:r>
                </w:p>
              </w:tc>
              <w:tc>
                <w:tcPr>
                  <w:tcW w:w="1039"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52</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3.16</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65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4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115</w:t>
                  </w:r>
                </w:p>
              </w:tc>
              <w:tc>
                <w:tcPr>
                  <w:tcW w:w="601"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夜间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1</w:t>
                  </w:r>
                  <w:r>
                    <w:rPr>
                      <w:rFonts w:hint="eastAsia"/>
                      <w:b w:val="0"/>
                      <w:bCs/>
                      <w:color w:val="000000" w:themeColor="text1"/>
                      <w:sz w:val="21"/>
                      <w:szCs w:val="21"/>
                      <w:lang w:val="en-US" w:eastAsia="zh-CN"/>
                      <w14:textFill>
                        <w14:solidFill>
                          <w14:schemeClr w14:val="tx1"/>
                        </w14:solidFill>
                      </w14:textFill>
                    </w:rPr>
                    <w:t>6.2</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3</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4.52</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55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restart"/>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南侧</w:t>
                  </w:r>
                </w:p>
              </w:tc>
              <w:tc>
                <w:tcPr>
                  <w:tcW w:w="4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w:t>
                  </w:r>
                </w:p>
              </w:tc>
              <w:tc>
                <w:tcPr>
                  <w:tcW w:w="6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62</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昼间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15.3</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3</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4.23</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65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445" w:type="dxa"/>
                  <w:tcBorders>
                    <w:tl2br w:val="nil"/>
                    <w:tr2bl w:val="nil"/>
                  </w:tcBorders>
                  <w:vAlign w:val="center"/>
                </w:tcPr>
                <w:p>
                  <w:pPr>
                    <w:spacing w:line="240" w:lineRule="auto"/>
                    <w:ind w:firstLine="0" w:firstLineChars="0"/>
                    <w:jc w:val="cente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w:t>
                  </w:r>
                </w:p>
              </w:tc>
              <w:tc>
                <w:tcPr>
                  <w:tcW w:w="601" w:type="dxa"/>
                  <w:tcBorders>
                    <w:tl2br w:val="nil"/>
                    <w:tr2bl w:val="nil"/>
                  </w:tcBorders>
                  <w:vAlign w:val="center"/>
                </w:tcPr>
                <w:p>
                  <w:pPr>
                    <w:spacing w:line="240" w:lineRule="auto"/>
                    <w:ind w:firstLine="0" w:firstLineChars="0"/>
                    <w:jc w:val="cente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62</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夜间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15.3</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4</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5</w:t>
                  </w:r>
                  <w:r>
                    <w:rPr>
                      <w:b w:val="0"/>
                      <w:bCs/>
                      <w:color w:val="000000" w:themeColor="text1"/>
                      <w:sz w:val="21"/>
                      <w:szCs w:val="21"/>
                      <w14:textFill>
                        <w14:solidFill>
                          <w14:schemeClr w14:val="tx1"/>
                        </w14:solidFill>
                      </w14:textFill>
                    </w:rPr>
                    <w:t>.</w:t>
                  </w:r>
                  <w:r>
                    <w:rPr>
                      <w:rFonts w:hint="eastAsia"/>
                      <w:b w:val="0"/>
                      <w:bCs/>
                      <w:color w:val="000000" w:themeColor="text1"/>
                      <w:sz w:val="21"/>
                      <w:szCs w:val="21"/>
                      <w:lang w:val="en-US" w:eastAsia="zh-CN"/>
                      <w14:textFill>
                        <w14:solidFill>
                          <w14:schemeClr w14:val="tx1"/>
                        </w14:solidFill>
                      </w14:textFill>
                    </w:rPr>
                    <w:t>61</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55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restart"/>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西侧</w:t>
                  </w:r>
                </w:p>
              </w:tc>
              <w:tc>
                <w:tcPr>
                  <w:tcW w:w="4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-107</w:t>
                  </w:r>
                </w:p>
              </w:tc>
              <w:tc>
                <w:tcPr>
                  <w:tcW w:w="601"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昼间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16.1</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1</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2.62</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65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4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-107</w:t>
                  </w:r>
                </w:p>
              </w:tc>
              <w:tc>
                <w:tcPr>
                  <w:tcW w:w="601"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夜间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16.1</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2</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3.54</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55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restart"/>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北侧</w:t>
                  </w:r>
                </w:p>
              </w:tc>
              <w:tc>
                <w:tcPr>
                  <w:tcW w:w="445"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w:t>
                  </w:r>
                </w:p>
              </w:tc>
              <w:tc>
                <w:tcPr>
                  <w:tcW w:w="601"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-51</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昼间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15.9</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3</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5</w:t>
                  </w:r>
                  <w:r>
                    <w:rPr>
                      <w:rFonts w:hint="eastAsia"/>
                      <w:b w:val="0"/>
                      <w:bCs/>
                      <w:color w:val="000000" w:themeColor="text1"/>
                      <w:sz w:val="21"/>
                      <w:szCs w:val="21"/>
                      <w:lang w:val="en-US" w:eastAsia="zh-CN"/>
                      <w14:textFill>
                        <w14:solidFill>
                          <w14:schemeClr w14:val="tx1"/>
                        </w14:solidFill>
                      </w14:textFill>
                    </w:rPr>
                    <w:t>4.35</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65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53" w:type="dxa"/>
                  <w:vMerge w:val="continue"/>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p>
              </w:tc>
              <w:tc>
                <w:tcPr>
                  <w:tcW w:w="4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-2</w:t>
                  </w:r>
                </w:p>
              </w:tc>
              <w:tc>
                <w:tcPr>
                  <w:tcW w:w="601"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-51</w:t>
                  </w:r>
                </w:p>
              </w:tc>
              <w:tc>
                <w:tcPr>
                  <w:tcW w:w="600"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1.2</w:t>
                  </w:r>
                </w:p>
              </w:tc>
              <w:tc>
                <w:tcPr>
                  <w:tcW w:w="718"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夜间</w:t>
                  </w:r>
                </w:p>
              </w:tc>
              <w:tc>
                <w:tcPr>
                  <w:tcW w:w="1040"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15.9</w:t>
                  </w:r>
                </w:p>
              </w:tc>
              <w:tc>
                <w:tcPr>
                  <w:tcW w:w="1039" w:type="dxa"/>
                  <w:tcBorders>
                    <w:tl2br w:val="nil"/>
                    <w:tr2bl w:val="nil"/>
                  </w:tcBorders>
                  <w:vAlign w:val="center"/>
                </w:tcPr>
                <w:p>
                  <w:pPr>
                    <w:spacing w:line="240" w:lineRule="auto"/>
                    <w:ind w:firstLine="0" w:firstLineChars="0"/>
                    <w:jc w:val="center"/>
                    <w:rPr>
                      <w:rFonts w:hint="eastAsia"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4</w:t>
                  </w:r>
                </w:p>
              </w:tc>
              <w:tc>
                <w:tcPr>
                  <w:tcW w:w="1039" w:type="dxa"/>
                  <w:tcBorders>
                    <w:tl2br w:val="nil"/>
                    <w:tr2bl w:val="nil"/>
                  </w:tcBorders>
                  <w:vAlign w:val="center"/>
                </w:tcPr>
                <w:p>
                  <w:pPr>
                    <w:spacing w:line="240" w:lineRule="auto"/>
                    <w:ind w:firstLine="0" w:firstLineChars="0"/>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4</w:t>
                  </w:r>
                  <w:r>
                    <w:rPr>
                      <w:rFonts w:hint="eastAsia"/>
                      <w:b w:val="0"/>
                      <w:bCs/>
                      <w:color w:val="000000" w:themeColor="text1"/>
                      <w:sz w:val="21"/>
                      <w:szCs w:val="21"/>
                      <w:lang w:val="en-US" w:eastAsia="zh-CN"/>
                      <w14:textFill>
                        <w14:solidFill>
                          <w14:schemeClr w14:val="tx1"/>
                        </w14:solidFill>
                      </w14:textFill>
                    </w:rPr>
                    <w:t>5.21</w:t>
                  </w:r>
                </w:p>
              </w:tc>
              <w:tc>
                <w:tcPr>
                  <w:tcW w:w="1345" w:type="dxa"/>
                  <w:tcBorders>
                    <w:tl2br w:val="nil"/>
                    <w:tr2bl w:val="nil"/>
                  </w:tcBorders>
                  <w:vAlign w:val="center"/>
                </w:tcPr>
                <w:p>
                  <w:pPr>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55</w:t>
                  </w:r>
                </w:p>
              </w:tc>
              <w:tc>
                <w:tcPr>
                  <w:tcW w:w="835" w:type="dxa"/>
                  <w:tcBorders>
                    <w:tl2br w:val="nil"/>
                    <w:tr2bl w:val="nil"/>
                  </w:tcBorders>
                  <w:vAlign w:val="center"/>
                </w:tcPr>
                <w:p>
                  <w:pPr>
                    <w:spacing w:line="240" w:lineRule="auto"/>
                    <w:ind w:firstLine="0" w:firstLineChars="0"/>
                    <w:jc w:val="center"/>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达标</w:t>
                  </w:r>
                </w:p>
              </w:tc>
            </w:tr>
          </w:tbl>
          <w:p>
            <w:pPr>
              <w:tabs>
                <w:tab w:val="left" w:pos="0"/>
              </w:tabs>
              <w:ind w:firstLine="458" w:firstLineChars="191"/>
              <w:rPr>
                <w:color w:val="000000" w:themeColor="text1"/>
                <w:szCs w:val="22"/>
                <w14:textFill>
                  <w14:solidFill>
                    <w14:schemeClr w14:val="tx1"/>
                  </w14:solidFill>
                </w14:textFill>
              </w:rPr>
            </w:pPr>
            <w:r>
              <w:rPr>
                <w:color w:val="000000" w:themeColor="text1"/>
                <w:szCs w:val="22"/>
                <w14:textFill>
                  <w14:solidFill>
                    <w14:schemeClr w14:val="tx1"/>
                  </w14:solidFill>
                </w14:textFill>
              </w:rPr>
              <w:t>根据预测，项目运行过程中厂界噪声满足《工业企业厂界环境噪声排放标准》（GB12348-2008）3类标准，项目运行排放噪声不会对</w:t>
            </w:r>
            <w:r>
              <w:rPr>
                <w:rFonts w:hint="eastAsia"/>
                <w:color w:val="000000" w:themeColor="text1"/>
                <w:szCs w:val="22"/>
                <w:lang w:val="en-US" w:eastAsia="zh-CN"/>
                <w14:textFill>
                  <w14:solidFill>
                    <w14:schemeClr w14:val="tx1"/>
                  </w14:solidFill>
                </w14:textFill>
              </w:rPr>
              <w:t>周边环境</w:t>
            </w:r>
            <w:r>
              <w:rPr>
                <w:color w:val="000000" w:themeColor="text1"/>
                <w:szCs w:val="22"/>
                <w14:textFill>
                  <w14:solidFill>
                    <w14:schemeClr w14:val="tx1"/>
                  </w14:solidFill>
                </w14:textFill>
              </w:rPr>
              <w:t>产生影响。</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3.3噪声防治措施</w:t>
            </w:r>
          </w:p>
          <w:p>
            <w:pPr>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为了避免噪声对外界环境的干扰，确保厂界噪声达标，采取以下措施：</w:t>
            </w:r>
          </w:p>
          <w:p>
            <w:pPr>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①选择先进可靠的低噪声设备，对高噪声设备采取安装减振垫，用弹性连接代替设备与地面刚性连接，在噪声源强较大的设备处设置围护等措施。</w:t>
            </w:r>
          </w:p>
          <w:p>
            <w:pPr>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②定期维护设备，确保设备运行状态良好。</w:t>
            </w:r>
          </w:p>
          <w:p>
            <w:pPr>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③厂区种植绿化隔离带。</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3.4噪声监测计划</w:t>
            </w:r>
          </w:p>
          <w:p>
            <w:pPr>
              <w:tabs>
                <w:tab w:val="left" w:pos="0"/>
              </w:tabs>
              <w:ind w:firstLine="458" w:firstLineChars="191"/>
              <w:jc w:val="left"/>
              <w:rPr>
                <w:color w:val="000000" w:themeColor="text1"/>
                <w:szCs w:val="22"/>
                <w14:textFill>
                  <w14:solidFill>
                    <w14:schemeClr w14:val="tx1"/>
                  </w14:solidFill>
                </w14:textFill>
              </w:rPr>
            </w:pPr>
            <w:r>
              <w:rPr>
                <w:color w:val="000000" w:themeColor="text1"/>
                <w:szCs w:val="22"/>
                <w14:textFill>
                  <w14:solidFill>
                    <w14:schemeClr w14:val="tx1"/>
                  </w14:solidFill>
                </w14:textFill>
              </w:rPr>
              <w:t>根据《排污单位自行监测技术指南 总则》（HJ819-2017），本项目环境噪声监测方案见表4-</w:t>
            </w:r>
            <w:r>
              <w:rPr>
                <w:rFonts w:hint="eastAsia"/>
                <w:color w:val="000000" w:themeColor="text1"/>
                <w:szCs w:val="22"/>
                <w:lang w:val="en-US" w:eastAsia="zh-CN"/>
                <w14:textFill>
                  <w14:solidFill>
                    <w14:schemeClr w14:val="tx1"/>
                  </w14:solidFill>
                </w14:textFill>
              </w:rPr>
              <w:t>16</w:t>
            </w:r>
            <w:r>
              <w:rPr>
                <w:color w:val="000000" w:themeColor="text1"/>
                <w:szCs w:val="22"/>
                <w14:textFill>
                  <w14:solidFill>
                    <w14:schemeClr w14:val="tx1"/>
                  </w14:solidFill>
                </w14:textFill>
              </w:rPr>
              <w:t>。</w:t>
            </w:r>
          </w:p>
          <w:p>
            <w:pPr>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16</w:t>
            </w:r>
            <w:r>
              <w:rPr>
                <w:b/>
                <w:bCs/>
                <w:color w:val="000000" w:themeColor="text1"/>
                <w:sz w:val="21"/>
                <w14:textFill>
                  <w14:solidFill>
                    <w14:schemeClr w14:val="tx1"/>
                  </w14:solidFill>
                </w14:textFill>
              </w:rPr>
              <w:t xml:space="preserve">   项目运营期噪声监测计划</w:t>
            </w:r>
          </w:p>
          <w:tbl>
            <w:tblPr>
              <w:tblStyle w:val="31"/>
              <w:tblW w:w="4998"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219"/>
              <w:gridCol w:w="1716"/>
              <w:gridCol w:w="1384"/>
              <w:gridCol w:w="1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trPr>
              <w:tc>
                <w:tcPr>
                  <w:tcW w:w="726"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1309"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012"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监测项目</w:t>
                  </w:r>
                </w:p>
              </w:tc>
              <w:tc>
                <w:tcPr>
                  <w:tcW w:w="81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c>
                <w:tcPr>
                  <w:tcW w:w="1133"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实施单位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6"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厂界噪声</w:t>
                  </w:r>
                </w:p>
              </w:tc>
              <w:tc>
                <w:tcPr>
                  <w:tcW w:w="1309"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厂界外东西南北侧1m</w:t>
                  </w:r>
                </w:p>
              </w:tc>
              <w:tc>
                <w:tcPr>
                  <w:tcW w:w="1012"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等效A声级</w:t>
                  </w:r>
                </w:p>
              </w:tc>
              <w:tc>
                <w:tcPr>
                  <w:tcW w:w="817"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w:t>
                  </w:r>
                  <w:r>
                    <w:rPr>
                      <w:rFonts w:hint="eastAsia"/>
                      <w:color w:val="000000" w:themeColor="text1"/>
                      <w:sz w:val="21"/>
                      <w:szCs w:val="21"/>
                      <w:lang w:val="en-US" w:eastAsia="zh-CN"/>
                      <w14:textFill>
                        <w14:solidFill>
                          <w14:schemeClr w14:val="tx1"/>
                        </w14:solidFill>
                      </w14:textFill>
                    </w:rPr>
                    <w:t>1季度</w:t>
                  </w:r>
                </w:p>
              </w:tc>
              <w:tc>
                <w:tcPr>
                  <w:tcW w:w="1133" w:type="pct"/>
                  <w:tcBorders>
                    <w:tl2br w:val="nil"/>
                    <w:tr2bl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企业自行委托</w:t>
                  </w:r>
                </w:p>
              </w:tc>
            </w:tr>
          </w:tbl>
          <w:p>
            <w:pPr>
              <w:ind w:firstLine="0" w:firstLineChars="0"/>
              <w:rPr>
                <w:b/>
                <w:bCs/>
                <w:color w:val="000000" w:themeColor="text1"/>
                <w:kern w:val="0"/>
                <w14:textFill>
                  <w14:solidFill>
                    <w14:schemeClr w14:val="tx1"/>
                  </w14:solidFill>
                </w14:textFill>
              </w:rPr>
            </w:pPr>
            <w:r>
              <w:rPr>
                <w:b/>
                <w:bCs/>
                <w:color w:val="000000" w:themeColor="text1"/>
                <w14:textFill>
                  <w14:solidFill>
                    <w14:schemeClr w14:val="tx1"/>
                  </w14:solidFill>
                </w14:textFill>
              </w:rPr>
              <w:t>4、固体废物影响</w:t>
            </w:r>
            <w:r>
              <w:rPr>
                <w:b/>
                <w:bCs/>
                <w:color w:val="000000" w:themeColor="text1"/>
                <w:kern w:val="0"/>
                <w14:textFill>
                  <w14:solidFill>
                    <w14:schemeClr w14:val="tx1"/>
                  </w14:solidFill>
                </w14:textFill>
              </w:rPr>
              <w:t>及保护措施</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4.1固体废物产生情况</w:t>
            </w:r>
          </w:p>
          <w:p>
            <w:pPr>
              <w:tabs>
                <w:tab w:val="left" w:pos="0"/>
              </w:tabs>
              <w:ind w:firstLine="480"/>
              <w:jc w:val="left"/>
              <w:rPr>
                <w:color w:val="000000" w:themeColor="text1"/>
                <w:szCs w:val="22"/>
                <w14:textFill>
                  <w14:solidFill>
                    <w14:schemeClr w14:val="tx1"/>
                  </w14:solidFill>
                </w14:textFill>
              </w:rPr>
            </w:pPr>
            <w:r>
              <w:rPr>
                <w:color w:val="000000" w:themeColor="text1"/>
                <w:szCs w:val="22"/>
                <w14:textFill>
                  <w14:solidFill>
                    <w14:schemeClr w14:val="tx1"/>
                  </w14:solidFill>
                </w14:textFill>
              </w:rPr>
              <w:t>本项目固废来源为生活垃圾、</w:t>
            </w:r>
            <w:r>
              <w:rPr>
                <w:rFonts w:hint="eastAsia"/>
                <w:color w:val="000000" w:themeColor="text1"/>
                <w:szCs w:val="22"/>
                <w:lang w:val="en-US" w:eastAsia="zh-CN"/>
                <w14:textFill>
                  <w14:solidFill>
                    <w14:schemeClr w14:val="tx1"/>
                  </w14:solidFill>
                </w14:textFill>
              </w:rPr>
              <w:t>隔油池废油、不合格品、</w:t>
            </w:r>
            <w:r>
              <w:rPr>
                <w:color w:val="000000" w:themeColor="text1"/>
                <w:szCs w:val="22"/>
                <w14:textFill>
                  <w14:solidFill>
                    <w14:schemeClr w14:val="tx1"/>
                  </w14:solidFill>
                </w14:textFill>
              </w:rPr>
              <w:t>除尘器收集粉尘、</w:t>
            </w:r>
            <w:r>
              <w:rPr>
                <w:bCs/>
                <w:color w:val="000000" w:themeColor="text1"/>
                <w:kern w:val="0"/>
                <w:szCs w:val="22"/>
                <w14:textFill>
                  <w14:solidFill>
                    <w14:schemeClr w14:val="tx1"/>
                  </w14:solidFill>
                </w14:textFill>
              </w:rPr>
              <w:t>沉淀池沉渣和废机油</w:t>
            </w:r>
            <w:r>
              <w:rPr>
                <w:color w:val="000000" w:themeColor="text1"/>
                <w:szCs w:val="22"/>
                <w14:textFill>
                  <w14:solidFill>
                    <w14:schemeClr w14:val="tx1"/>
                  </w14:solidFill>
                </w14:textFill>
              </w:rPr>
              <w:t>。</w:t>
            </w:r>
          </w:p>
          <w:p>
            <w:pPr>
              <w:tabs>
                <w:tab w:val="left" w:pos="0"/>
              </w:tabs>
              <w:ind w:firstLine="458" w:firstLineChars="191"/>
              <w:jc w:val="left"/>
              <w:rPr>
                <w:color w:val="000000" w:themeColor="text1"/>
                <w:szCs w:val="22"/>
                <w14:textFill>
                  <w14:solidFill>
                    <w14:schemeClr w14:val="tx1"/>
                  </w14:solidFill>
                </w14:textFill>
              </w:rPr>
            </w:pPr>
            <w:r>
              <w:rPr>
                <w:color w:val="000000" w:themeColor="text1"/>
                <w:szCs w:val="22"/>
                <w14:textFill>
                  <w14:solidFill>
                    <w14:schemeClr w14:val="tx1"/>
                  </w14:solidFill>
                </w14:textFill>
              </w:rPr>
              <w:t>（1）生活垃圾</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本项目运营期劳动定员10人，生活垃圾的产生量按0.5kg/人·d计算，则生活垃圾产生量约为5kg/d（1.2t/a），集中收集后由环卫部门统一清运。</w:t>
            </w:r>
          </w:p>
          <w:p>
            <w:pPr>
              <w:tabs>
                <w:tab w:val="left" w:pos="0"/>
              </w:tabs>
              <w:ind w:firstLine="458" w:firstLineChars="191"/>
              <w:jc w:val="left"/>
              <w:rPr>
                <w:rFonts w:hint="eastAsia" w:eastAsia="宋体"/>
                <w:color w:val="000000" w:themeColor="text1"/>
                <w:szCs w:val="22"/>
                <w:lang w:val="en-US" w:eastAsia="zh-CN"/>
                <w14:textFill>
                  <w14:solidFill>
                    <w14:schemeClr w14:val="tx1"/>
                  </w14:solidFill>
                </w14:textFill>
              </w:rPr>
            </w:pPr>
            <w:r>
              <w:rPr>
                <w:color w:val="000000" w:themeColor="text1"/>
                <w:szCs w:val="22"/>
                <w14:textFill>
                  <w14:solidFill>
                    <w14:schemeClr w14:val="tx1"/>
                  </w14:solidFill>
                </w14:textFill>
              </w:rPr>
              <w:t>（2）</w:t>
            </w:r>
            <w:r>
              <w:rPr>
                <w:rFonts w:hint="eastAsia"/>
                <w:color w:val="000000" w:themeColor="text1"/>
                <w:szCs w:val="22"/>
                <w:lang w:val="en-US" w:eastAsia="zh-CN"/>
                <w14:textFill>
                  <w14:solidFill>
                    <w14:schemeClr w14:val="tx1"/>
                  </w14:solidFill>
                </w14:textFill>
              </w:rPr>
              <w:t>隔油池废油</w:t>
            </w:r>
          </w:p>
          <w:p>
            <w:pPr>
              <w:tabs>
                <w:tab w:val="left" w:pos="0"/>
              </w:tabs>
              <w:ind w:firstLine="458" w:firstLineChars="191"/>
              <w:jc w:val="left"/>
              <w:rPr>
                <w:rFonts w:hint="eastAsia" w:eastAsia="宋体"/>
                <w:color w:val="000000" w:themeColor="text1"/>
                <w:szCs w:val="22"/>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根据建设单位提供资料，本项目隔油池废油产生量约为</w:t>
            </w:r>
            <w:r>
              <w:rPr>
                <w:rFonts w:hint="eastAsia" w:ascii="Times New Roman" w:hAnsi="Times New Roman" w:cs="Times New Roman"/>
                <w:color w:val="000000" w:themeColor="text1"/>
                <w:lang w:val="en-US" w:eastAsia="zh-CN"/>
                <w14:textFill>
                  <w14:solidFill>
                    <w14:schemeClr w14:val="tx1"/>
                  </w14:solidFill>
                </w14:textFill>
              </w:rPr>
              <w:t>0.05</w:t>
            </w:r>
            <w:r>
              <w:rPr>
                <w:rFonts w:hint="default" w:ascii="Times New Roman" w:hAnsi="Times New Roman" w:cs="Times New Roman"/>
                <w:color w:val="000000" w:themeColor="text1"/>
                <w14:textFill>
                  <w14:solidFill>
                    <w14:schemeClr w14:val="tx1"/>
                  </w14:solidFill>
                </w14:textFill>
              </w:rPr>
              <w:t>t/a，统一收集后由委托油脂回收公司处理</w:t>
            </w:r>
            <w:r>
              <w:rPr>
                <w:rFonts w:hint="eastAsia" w:ascii="Times New Roman" w:hAnsi="Times New Roman" w:cs="Times New Roman"/>
                <w:color w:val="000000" w:themeColor="text1"/>
                <w:lang w:eastAsia="zh-CN"/>
                <w14:textFill>
                  <w14:solidFill>
                    <w14:schemeClr w14:val="tx1"/>
                  </w14:solidFill>
                </w14:textFill>
              </w:rPr>
              <w:t>。</w:t>
            </w:r>
          </w:p>
          <w:p>
            <w:pPr>
              <w:tabs>
                <w:tab w:val="left" w:pos="0"/>
              </w:tabs>
              <w:ind w:firstLine="458" w:firstLineChars="191"/>
              <w:jc w:val="left"/>
              <w:rPr>
                <w:rFonts w:hint="eastAsia" w:eastAsia="宋体"/>
                <w:color w:val="000000" w:themeColor="text1"/>
                <w:szCs w:val="22"/>
                <w:lang w:val="en-US" w:eastAsia="zh-CN"/>
                <w14:textFill>
                  <w14:solidFill>
                    <w14:schemeClr w14:val="tx1"/>
                  </w14:solidFill>
                </w14:textFill>
              </w:rPr>
            </w:pPr>
            <w:r>
              <w:rPr>
                <w:color w:val="000000" w:themeColor="text1"/>
                <w:szCs w:val="22"/>
                <w14:textFill>
                  <w14:solidFill>
                    <w14:schemeClr w14:val="tx1"/>
                  </w14:solidFill>
                </w14:textFill>
              </w:rPr>
              <w:t>（</w:t>
            </w:r>
            <w:r>
              <w:rPr>
                <w:rFonts w:hint="eastAsia"/>
                <w:color w:val="000000" w:themeColor="text1"/>
                <w:szCs w:val="22"/>
                <w:lang w:val="en-US" w:eastAsia="zh-CN"/>
                <w14:textFill>
                  <w14:solidFill>
                    <w14:schemeClr w14:val="tx1"/>
                  </w14:solidFill>
                </w14:textFill>
              </w:rPr>
              <w:t>3</w:t>
            </w:r>
            <w:r>
              <w:rPr>
                <w:color w:val="000000" w:themeColor="text1"/>
                <w:szCs w:val="22"/>
                <w14:textFill>
                  <w14:solidFill>
                    <w14:schemeClr w14:val="tx1"/>
                  </w14:solidFill>
                </w14:textFill>
              </w:rPr>
              <w:t>）</w:t>
            </w:r>
            <w:r>
              <w:rPr>
                <w:rFonts w:hint="eastAsia"/>
                <w:color w:val="000000" w:themeColor="text1"/>
                <w:szCs w:val="22"/>
                <w:lang w:val="en-US" w:eastAsia="zh-CN"/>
                <w14:textFill>
                  <w14:solidFill>
                    <w14:schemeClr w14:val="tx1"/>
                  </w14:solidFill>
                </w14:textFill>
              </w:rPr>
              <w:t>不合格品</w:t>
            </w:r>
          </w:p>
          <w:p>
            <w:pPr>
              <w:ind w:firstLine="480"/>
              <w:rPr>
                <w:bCs/>
                <w:color w:val="000000" w:themeColor="text1"/>
                <w:kern w:val="0"/>
                <w:szCs w:val="22"/>
                <w14:textFill>
                  <w14:solidFill>
                    <w14:schemeClr w14:val="tx1"/>
                  </w14:solidFill>
                </w14:textFill>
              </w:rPr>
            </w:pPr>
            <w:r>
              <w:rPr>
                <w:rStyle w:val="36"/>
                <w:rFonts w:hint="eastAsia"/>
                <w:color w:val="000000" w:themeColor="text1"/>
                <w:sz w:val="24"/>
                <w:szCs w:val="24"/>
                <w:lang w:val="en-US" w:eastAsia="zh-CN"/>
                <w14:textFill>
                  <w14:solidFill>
                    <w14:schemeClr w14:val="tx1"/>
                  </w14:solidFill>
                </w14:textFill>
              </w:rPr>
              <w:t>本项目生产过程中</w:t>
            </w:r>
            <w:r>
              <w:rPr>
                <w:rStyle w:val="36"/>
                <w:rFonts w:hint="eastAsia"/>
                <w:color w:val="000000" w:themeColor="text1"/>
                <w:sz w:val="24"/>
                <w:szCs w:val="24"/>
                <w14:textFill>
                  <w14:solidFill>
                    <w14:schemeClr w14:val="tx1"/>
                  </w14:solidFill>
                </w14:textFill>
              </w:rPr>
              <w:t>会产生不合格产品，根据建设方提供数据，不合格产品产生量</w:t>
            </w:r>
            <w:r>
              <w:rPr>
                <w:rStyle w:val="36"/>
                <w:rFonts w:hint="eastAsia"/>
                <w:color w:val="000000" w:themeColor="text1"/>
                <w:sz w:val="24"/>
                <w:szCs w:val="24"/>
                <w:lang w:val="en-US" w:eastAsia="zh-CN"/>
                <w14:textFill>
                  <w14:solidFill>
                    <w14:schemeClr w14:val="tx1"/>
                  </w14:solidFill>
                </w14:textFill>
              </w:rPr>
              <w:t>约</w:t>
            </w:r>
            <w:r>
              <w:rPr>
                <w:rStyle w:val="36"/>
                <w:rFonts w:hint="eastAsia"/>
                <w:color w:val="000000" w:themeColor="text1"/>
                <w:sz w:val="24"/>
                <w:szCs w:val="24"/>
                <w14:textFill>
                  <w14:solidFill>
                    <w14:schemeClr w14:val="tx1"/>
                  </w14:solidFill>
                </w14:textFill>
              </w:rPr>
              <w:t>为</w:t>
            </w:r>
            <w:r>
              <w:rPr>
                <w:rStyle w:val="36"/>
                <w:rFonts w:hint="eastAsia"/>
                <w:color w:val="000000" w:themeColor="text1"/>
                <w:sz w:val="24"/>
                <w:szCs w:val="24"/>
                <w:lang w:val="en-US" w:eastAsia="zh-CN"/>
                <w14:textFill>
                  <w14:solidFill>
                    <w14:schemeClr w14:val="tx1"/>
                  </w14:solidFill>
                </w14:textFill>
              </w:rPr>
              <w:t>20</w:t>
            </w:r>
            <w:r>
              <w:rPr>
                <w:rStyle w:val="36"/>
                <w:rFonts w:hint="eastAsia"/>
                <w:color w:val="000000" w:themeColor="text1"/>
                <w:sz w:val="24"/>
                <w:szCs w:val="24"/>
                <w14:textFill>
                  <w14:solidFill>
                    <w14:schemeClr w14:val="tx1"/>
                  </w14:solidFill>
                </w14:textFill>
              </w:rPr>
              <w:t>0t/a，</w:t>
            </w:r>
            <w:r>
              <w:rPr>
                <w:rStyle w:val="36"/>
                <w:rFonts w:hint="eastAsia"/>
                <w:color w:val="000000" w:themeColor="text1"/>
                <w:sz w:val="24"/>
                <w:szCs w:val="24"/>
                <w:lang w:val="en-US" w:eastAsia="zh-CN"/>
                <w14:textFill>
                  <w14:solidFill>
                    <w14:schemeClr w14:val="tx1"/>
                  </w14:solidFill>
                </w14:textFill>
              </w:rPr>
              <w:t>不合格品</w:t>
            </w:r>
            <w:r>
              <w:rPr>
                <w:rStyle w:val="36"/>
                <w:rFonts w:hint="eastAsia"/>
                <w:color w:val="000000" w:themeColor="text1"/>
                <w:sz w:val="24"/>
                <w:szCs w:val="24"/>
                <w14:textFill>
                  <w14:solidFill>
                    <w14:schemeClr w14:val="tx1"/>
                  </w14:solidFill>
                </w14:textFill>
              </w:rPr>
              <w:t>均回用于生产。</w:t>
            </w:r>
          </w:p>
          <w:p>
            <w:pPr>
              <w:tabs>
                <w:tab w:val="left" w:pos="0"/>
              </w:tabs>
              <w:ind w:firstLine="458" w:firstLineChars="191"/>
              <w:jc w:val="left"/>
              <w:rPr>
                <w:color w:val="000000" w:themeColor="text1"/>
                <w:szCs w:val="22"/>
                <w14:textFill>
                  <w14:solidFill>
                    <w14:schemeClr w14:val="tx1"/>
                  </w14:solidFill>
                </w14:textFill>
              </w:rPr>
            </w:pPr>
            <w:r>
              <w:rPr>
                <w:color w:val="000000" w:themeColor="text1"/>
                <w:szCs w:val="22"/>
                <w14:textFill>
                  <w14:solidFill>
                    <w14:schemeClr w14:val="tx1"/>
                  </w14:solidFill>
                </w14:textFill>
              </w:rPr>
              <w:t>（</w:t>
            </w:r>
            <w:r>
              <w:rPr>
                <w:rFonts w:hint="eastAsia"/>
                <w:color w:val="000000" w:themeColor="text1"/>
                <w:szCs w:val="22"/>
                <w:lang w:val="en-US" w:eastAsia="zh-CN"/>
                <w14:textFill>
                  <w14:solidFill>
                    <w14:schemeClr w14:val="tx1"/>
                  </w14:solidFill>
                </w14:textFill>
              </w:rPr>
              <w:t>4</w:t>
            </w:r>
            <w:r>
              <w:rPr>
                <w:color w:val="000000" w:themeColor="text1"/>
                <w:szCs w:val="22"/>
                <w14:textFill>
                  <w14:solidFill>
                    <w14:schemeClr w14:val="tx1"/>
                  </w14:solidFill>
                </w14:textFill>
              </w:rPr>
              <w:t>）除尘器收集粉尘</w:t>
            </w:r>
          </w:p>
          <w:p>
            <w:pPr>
              <w:ind w:firstLine="480"/>
              <w:rPr>
                <w:bCs/>
                <w:color w:val="000000" w:themeColor="text1"/>
                <w:kern w:val="0"/>
                <w:szCs w:val="22"/>
                <w14:textFill>
                  <w14:solidFill>
                    <w14:schemeClr w14:val="tx1"/>
                  </w14:solidFill>
                </w14:textFill>
              </w:rPr>
            </w:pPr>
            <w:r>
              <w:rPr>
                <w:rStyle w:val="36"/>
                <w:color w:val="000000" w:themeColor="text1"/>
                <w:sz w:val="24"/>
                <w:szCs w:val="24"/>
                <w14:textFill>
                  <w14:solidFill>
                    <w14:schemeClr w14:val="tx1"/>
                  </w14:solidFill>
                </w14:textFill>
              </w:rPr>
              <w:t>根据前述分析，项目除尘器回收粉尘总量约415.24t/a，属于一般工业固废，主要为水泥、石粉等项目原辅材料，可回用于生产。</w:t>
            </w:r>
          </w:p>
          <w:p>
            <w:pPr>
              <w:pStyle w:val="60"/>
              <w:adjustRightInd/>
              <w:snapToGrid/>
              <w:jc w:val="both"/>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w:t>
            </w:r>
            <w:r>
              <w:rPr>
                <w:rFonts w:hint="eastAsia"/>
                <w:bCs/>
                <w:color w:val="000000" w:themeColor="text1"/>
                <w:kern w:val="0"/>
                <w:szCs w:val="22"/>
                <w:lang w:val="en-US" w:eastAsia="zh-CN"/>
                <w14:textFill>
                  <w14:solidFill>
                    <w14:schemeClr w14:val="tx1"/>
                  </w14:solidFill>
                </w14:textFill>
              </w:rPr>
              <w:t>5</w:t>
            </w:r>
            <w:r>
              <w:rPr>
                <w:bCs/>
                <w:color w:val="000000" w:themeColor="text1"/>
                <w:kern w:val="0"/>
                <w:szCs w:val="22"/>
                <w14:textFill>
                  <w14:solidFill>
                    <w14:schemeClr w14:val="tx1"/>
                  </w14:solidFill>
                </w14:textFill>
              </w:rPr>
              <w:t>）沉淀池沉渣</w:t>
            </w:r>
          </w:p>
          <w:p>
            <w:pPr>
              <w:overflowPunct w:val="0"/>
              <w:ind w:firstLine="480"/>
              <w:rPr>
                <w:bCs/>
                <w:color w:val="000000" w:themeColor="text1"/>
                <w:kern w:val="0"/>
                <w:szCs w:val="22"/>
                <w14:textFill>
                  <w14:solidFill>
                    <w14:schemeClr w14:val="tx1"/>
                  </w14:solidFill>
                </w14:textFill>
              </w:rPr>
            </w:pPr>
            <w:r>
              <w:rPr>
                <w:bCs/>
                <w:color w:val="000000" w:themeColor="text1"/>
                <w:kern w:val="0"/>
                <w:szCs w:val="22"/>
                <w14:textFill>
                  <w14:solidFill>
                    <w14:schemeClr w14:val="tx1"/>
                  </w14:solidFill>
                </w14:textFill>
              </w:rPr>
              <w:t>本项目清洗废水处理区设沉淀池对收集的设备清洗废水、车辆清洗废水、场地清洗废水进行处理，产生的固废废物有砂石料和沉淀物（主要为细砂），沉淀池沉渣产生量约为29.75t/a，全部回收利用到生产中，不外排。</w:t>
            </w:r>
          </w:p>
          <w:p>
            <w:pPr>
              <w:pStyle w:val="37"/>
              <w:ind w:firstLine="480"/>
              <w:rPr>
                <w:rFonts w:hint="default" w:ascii="Times New Roman"/>
                <w:bCs/>
                <w:color w:val="000000" w:themeColor="text1"/>
                <w:szCs w:val="22"/>
                <w14:textFill>
                  <w14:solidFill>
                    <w14:schemeClr w14:val="tx1"/>
                  </w14:solidFill>
                </w14:textFill>
              </w:rPr>
            </w:pPr>
            <w:r>
              <w:rPr>
                <w:rFonts w:hint="default" w:ascii="Times New Roman"/>
                <w:bCs/>
                <w:color w:val="000000" w:themeColor="text1"/>
                <w:szCs w:val="22"/>
                <w14:textFill>
                  <w14:solidFill>
                    <w14:schemeClr w14:val="tx1"/>
                  </w14:solidFill>
                </w14:textFill>
              </w:rPr>
              <w:t>（</w:t>
            </w:r>
            <w:r>
              <w:rPr>
                <w:rFonts w:hint="eastAsia" w:ascii="Times New Roman"/>
                <w:bCs/>
                <w:color w:val="000000" w:themeColor="text1"/>
                <w:szCs w:val="22"/>
                <w:lang w:val="en-US" w:eastAsia="zh-CN"/>
                <w14:textFill>
                  <w14:solidFill>
                    <w14:schemeClr w14:val="tx1"/>
                  </w14:solidFill>
                </w14:textFill>
              </w:rPr>
              <w:t>6</w:t>
            </w:r>
            <w:r>
              <w:rPr>
                <w:rFonts w:hint="default" w:ascii="Times New Roman"/>
                <w:bCs/>
                <w:color w:val="000000" w:themeColor="text1"/>
                <w:szCs w:val="22"/>
                <w14:textFill>
                  <w14:solidFill>
                    <w14:schemeClr w14:val="tx1"/>
                  </w14:solidFill>
                </w14:textFill>
              </w:rPr>
              <w:t>）废机油</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生产过程中设备会产生少量的废机油，根据业主提供资料。废机油产生量为0.03t/a，</w:t>
            </w:r>
            <w:r>
              <w:rPr>
                <w:bCs/>
                <w:color w:val="000000" w:themeColor="text1"/>
                <w:kern w:val="0"/>
                <w:szCs w:val="22"/>
                <w14:textFill>
                  <w14:solidFill>
                    <w14:schemeClr w14:val="tx1"/>
                  </w14:solidFill>
                </w14:textFill>
              </w:rPr>
              <w:t>根据《国家危险废物名录》（2021版）</w:t>
            </w:r>
            <w:r>
              <w:rPr>
                <w:color w:val="000000" w:themeColor="text1"/>
                <w14:textFill>
                  <w14:solidFill>
                    <w14:schemeClr w14:val="tx1"/>
                  </w14:solidFill>
                </w14:textFill>
              </w:rPr>
              <w:t>，废机油属于危险废物，类别为HW08废矿物油与含矿物油废液，废物代码为900-</w:t>
            </w:r>
            <w:r>
              <w:rPr>
                <w:rFonts w:hint="eastAsia"/>
                <w:color w:val="000000" w:themeColor="text1"/>
                <w:lang w:eastAsia="zh-CN"/>
                <w14:textFill>
                  <w14:solidFill>
                    <w14:schemeClr w14:val="tx1"/>
                  </w14:solidFill>
                </w14:textFill>
              </w:rPr>
              <w:t>214</w:t>
            </w:r>
            <w:r>
              <w:rPr>
                <w:color w:val="000000" w:themeColor="text1"/>
                <w14:textFill>
                  <w14:solidFill>
                    <w14:schemeClr w14:val="tx1"/>
                  </w14:solidFill>
                </w14:textFill>
              </w:rPr>
              <w:t>-08，经收集后暂存危废暂存间，定期交由有资质的危险废物处理单位处置。</w:t>
            </w:r>
          </w:p>
          <w:p>
            <w:pPr>
              <w:pStyle w:val="37"/>
              <w:ind w:firstLine="480"/>
              <w:rPr>
                <w:rFonts w:hint="default" w:ascii="Times New Roman"/>
                <w:color w:val="000000" w:themeColor="text1"/>
                <w14:textFill>
                  <w14:solidFill>
                    <w14:schemeClr w14:val="tx1"/>
                  </w14:solidFill>
                </w14:textFill>
              </w:rPr>
            </w:pPr>
            <w:r>
              <w:rPr>
                <w:rFonts w:hint="default" w:ascii="Times New Roman"/>
                <w:bCs/>
                <w:color w:val="000000" w:themeColor="text1"/>
                <w:szCs w:val="22"/>
                <w14:textFill>
                  <w14:solidFill>
                    <w14:schemeClr w14:val="tx1"/>
                  </w14:solidFill>
                </w14:textFill>
              </w:rPr>
              <w:t>本项目固体废物产生情况汇总见下表。</w:t>
            </w:r>
          </w:p>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17</w:t>
            </w:r>
            <w:r>
              <w:rPr>
                <w:b/>
                <w:color w:val="000000" w:themeColor="text1"/>
                <w:sz w:val="21"/>
                <w:szCs w:val="21"/>
                <w14:textFill>
                  <w14:solidFill>
                    <w14:schemeClr w14:val="tx1"/>
                  </w14:solidFill>
                </w14:textFill>
              </w:rPr>
              <w:t xml:space="preserve">   本项目固体废物利用处置方式一览表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5"/>
              <w:gridCol w:w="941"/>
              <w:gridCol w:w="707"/>
              <w:gridCol w:w="821"/>
              <w:gridCol w:w="774"/>
              <w:gridCol w:w="642"/>
              <w:gridCol w:w="715"/>
              <w:gridCol w:w="855"/>
              <w:gridCol w:w="887"/>
              <w:gridCol w:w="15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3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55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41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产生工序</w:t>
                  </w:r>
                </w:p>
              </w:tc>
              <w:tc>
                <w:tcPr>
                  <w:tcW w:w="48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属性</w:t>
                  </w:r>
                </w:p>
              </w:tc>
              <w:tc>
                <w:tcPr>
                  <w:tcW w:w="4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物理性状</w:t>
                  </w:r>
                </w:p>
              </w:tc>
              <w:tc>
                <w:tcPr>
                  <w:tcW w:w="3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固废代码</w:t>
                  </w:r>
                </w:p>
              </w:tc>
              <w:tc>
                <w:tcPr>
                  <w:tcW w:w="422"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环境危险特性</w:t>
                  </w:r>
                </w:p>
              </w:tc>
              <w:tc>
                <w:tcPr>
                  <w:tcW w:w="50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年度</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产生量（t/a）</w:t>
                  </w:r>
                </w:p>
              </w:tc>
              <w:tc>
                <w:tcPr>
                  <w:tcW w:w="5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贮存</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方式</w:t>
                  </w:r>
                </w:p>
              </w:tc>
              <w:tc>
                <w:tcPr>
                  <w:tcW w:w="8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利用处置方式和去向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3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5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垃圾</w:t>
                  </w:r>
                </w:p>
              </w:tc>
              <w:tc>
                <w:tcPr>
                  <w:tcW w:w="41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办公、生活</w:t>
                  </w:r>
                </w:p>
              </w:tc>
              <w:tc>
                <w:tcPr>
                  <w:tcW w:w="48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3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22"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0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垃圾箱</w:t>
                  </w:r>
                </w:p>
              </w:tc>
              <w:tc>
                <w:tcPr>
                  <w:tcW w:w="8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集中收集后由环卫部门统一清运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357"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555"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隔油池废油</w:t>
                  </w:r>
                </w:p>
              </w:tc>
              <w:tc>
                <w:tcPr>
                  <w:tcW w:w="41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w:t>
                  </w:r>
                </w:p>
              </w:tc>
              <w:tc>
                <w:tcPr>
                  <w:tcW w:w="484"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57" w:type="pct"/>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液态</w:t>
                  </w:r>
                </w:p>
              </w:tc>
              <w:tc>
                <w:tcPr>
                  <w:tcW w:w="379"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22"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504" w:type="pct"/>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w:t>
                  </w:r>
                </w:p>
              </w:tc>
              <w:tc>
                <w:tcPr>
                  <w:tcW w:w="52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暂存在一般工业固废暂存间内</w:t>
                  </w:r>
                </w:p>
              </w:tc>
              <w:tc>
                <w:tcPr>
                  <w:tcW w:w="8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委托油脂回收公司处理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357" w:type="pct"/>
                  <w:vAlign w:val="center"/>
                </w:tcPr>
                <w:p>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555" w:type="pct"/>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不合</w:t>
                  </w:r>
                </w:p>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格品</w:t>
                  </w:r>
                </w:p>
              </w:tc>
              <w:tc>
                <w:tcPr>
                  <w:tcW w:w="417" w:type="pct"/>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生产过程</w:t>
                  </w:r>
                </w:p>
              </w:tc>
              <w:tc>
                <w:tcPr>
                  <w:tcW w:w="484"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一般工业固体废物</w:t>
                  </w:r>
                </w:p>
              </w:tc>
              <w:tc>
                <w:tcPr>
                  <w:tcW w:w="4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3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900-999-99</w:t>
                  </w:r>
                </w:p>
              </w:tc>
              <w:tc>
                <w:tcPr>
                  <w:tcW w:w="422"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504" w:type="pct"/>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5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98"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357"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555" w:type="pct"/>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除尘器收集粉尘</w:t>
                  </w:r>
                </w:p>
              </w:tc>
              <w:tc>
                <w:tcPr>
                  <w:tcW w:w="417" w:type="pct"/>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废气处理</w:t>
                  </w:r>
                </w:p>
              </w:tc>
              <w:tc>
                <w:tcPr>
                  <w:tcW w:w="484" w:type="pct"/>
                  <w:vMerge w:val="continue"/>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57" w:type="pct"/>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固态</w:t>
                  </w:r>
                </w:p>
              </w:tc>
              <w:tc>
                <w:tcPr>
                  <w:tcW w:w="379" w:type="pct"/>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900-999-99</w:t>
                  </w:r>
                </w:p>
              </w:tc>
              <w:tc>
                <w:tcPr>
                  <w:tcW w:w="422" w:type="pct"/>
                  <w:vMerge w:val="continue"/>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04" w:type="pct"/>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415.24</w:t>
                  </w:r>
                </w:p>
              </w:tc>
              <w:tc>
                <w:tcPr>
                  <w:tcW w:w="5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98"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357"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5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沉淀池沉渣</w:t>
                  </w:r>
                </w:p>
              </w:tc>
              <w:tc>
                <w:tcPr>
                  <w:tcW w:w="41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沉淀池</w:t>
                  </w:r>
                </w:p>
              </w:tc>
              <w:tc>
                <w:tcPr>
                  <w:tcW w:w="484"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4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3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900-999-99</w:t>
                  </w:r>
                </w:p>
              </w:tc>
              <w:tc>
                <w:tcPr>
                  <w:tcW w:w="422"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50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29.75</w:t>
                  </w:r>
                </w:p>
              </w:tc>
              <w:tc>
                <w:tcPr>
                  <w:tcW w:w="52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98"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357" w:type="pct"/>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55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w:t>
                  </w:r>
                </w:p>
              </w:tc>
              <w:tc>
                <w:tcPr>
                  <w:tcW w:w="41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设备维护</w:t>
                  </w:r>
                </w:p>
              </w:tc>
              <w:tc>
                <w:tcPr>
                  <w:tcW w:w="48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45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w:t>
                  </w:r>
                </w:p>
              </w:tc>
              <w:tc>
                <w:tcPr>
                  <w:tcW w:w="3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w:t>
                  </w:r>
                  <w:r>
                    <w:rPr>
                      <w:rFonts w:hint="eastAsia"/>
                      <w:color w:val="000000" w:themeColor="text1"/>
                      <w:sz w:val="21"/>
                      <w:szCs w:val="21"/>
                      <w:lang w:eastAsia="zh-CN"/>
                      <w14:textFill>
                        <w14:solidFill>
                          <w14:schemeClr w14:val="tx1"/>
                        </w14:solidFill>
                      </w14:textFill>
                    </w:rPr>
                    <w:t>214</w:t>
                  </w:r>
                  <w:r>
                    <w:rPr>
                      <w:color w:val="000000" w:themeColor="text1"/>
                      <w:sz w:val="21"/>
                      <w:szCs w:val="21"/>
                      <w14:textFill>
                        <w14:solidFill>
                          <w14:schemeClr w14:val="tx1"/>
                        </w14:solidFill>
                      </w14:textFill>
                    </w:rPr>
                    <w:t>-08</w:t>
                  </w:r>
                </w:p>
              </w:tc>
              <w:tc>
                <w:tcPr>
                  <w:tcW w:w="422"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T，I</w:t>
                  </w:r>
                </w:p>
              </w:tc>
              <w:tc>
                <w:tcPr>
                  <w:tcW w:w="50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5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暂存危废暂存间</w:t>
                  </w:r>
                </w:p>
              </w:tc>
              <w:tc>
                <w:tcPr>
                  <w:tcW w:w="8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定期交由有资质的危险废物处理单位处置</w:t>
                  </w:r>
                </w:p>
              </w:tc>
            </w:tr>
          </w:tbl>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4.2环境管理要求</w:t>
            </w:r>
          </w:p>
          <w:p>
            <w:pPr>
              <w:ind w:firstLine="0" w:firstLineChars="0"/>
              <w:rPr>
                <w:b/>
                <w:color w:val="000000" w:themeColor="text1"/>
                <w:lang w:bidi="ar"/>
                <w14:textFill>
                  <w14:solidFill>
                    <w14:schemeClr w14:val="tx1"/>
                  </w14:solidFill>
                </w14:textFill>
              </w:rPr>
            </w:pPr>
            <w:r>
              <w:rPr>
                <w:b/>
                <w:color w:val="000000" w:themeColor="text1"/>
                <w:lang w:bidi="ar"/>
                <w14:textFill>
                  <w14:solidFill>
                    <w14:schemeClr w14:val="tx1"/>
                  </w14:solidFill>
                </w14:textFill>
              </w:rPr>
              <w:t>4.2.1 一般固废管理要求</w:t>
            </w:r>
          </w:p>
          <w:p>
            <w:pPr>
              <w:widowControl/>
              <w:autoSpaceDE w:val="0"/>
              <w:ind w:firstLine="480"/>
              <w:rPr>
                <w:b/>
                <w:color w:val="000000" w:themeColor="text1"/>
                <w:kern w:val="0"/>
                <w14:textFill>
                  <w14:solidFill>
                    <w14:schemeClr w14:val="tx1"/>
                  </w14:solidFill>
                </w14:textFill>
              </w:rPr>
            </w:pPr>
            <w:r>
              <w:rPr>
                <w:bCs/>
                <w:color w:val="000000" w:themeColor="text1"/>
                <w:kern w:val="0"/>
                <w:lang w:bidi="ar"/>
                <w14:textFill>
                  <w14:solidFill>
                    <w14:schemeClr w14:val="tx1"/>
                  </w14:solidFill>
                </w14:textFill>
              </w:rPr>
              <w:t>为避免本项目产生的一般工业固废对环境造成的影响，主要是做好固废的收集、转运等环节，</w:t>
            </w:r>
            <w:r>
              <w:rPr>
                <w:color w:val="000000" w:themeColor="text1"/>
                <w14:textFill>
                  <w14:solidFill>
                    <w14:schemeClr w14:val="tx1"/>
                  </w14:solidFill>
                </w14:textFill>
              </w:rPr>
              <w:t>一般固废暂存间位于厂区北侧，面积约5m</w:t>
            </w:r>
            <w:r>
              <w:rPr>
                <w:color w:val="000000" w:themeColor="text1"/>
                <w:vertAlign w:val="superscript"/>
                <w14:textFill>
                  <w14:solidFill>
                    <w14:schemeClr w14:val="tx1"/>
                  </w14:solidFill>
                </w14:textFill>
              </w:rPr>
              <w:t>2</w:t>
            </w:r>
            <w:r>
              <w:rPr>
                <w:bCs/>
                <w:color w:val="000000" w:themeColor="text1"/>
                <w:kern w:val="0"/>
                <w:lang w:bidi="ar"/>
                <w14:textFill>
                  <w14:solidFill>
                    <w14:schemeClr w14:val="tx1"/>
                  </w14:solidFill>
                </w14:textFill>
              </w:rPr>
              <w:t>。一般固废堆场按照《一般工业固体废物贮存和填埋污染控制标准》（GB18599-2020）相关要求建设，地面基础及内墙采取防渗措施（其中内墙防渗层做到0.5m高），使用防水混凝土，地面做防滑处理，一般固体废物临时贮存房渗透系数达1.0×10</w:t>
            </w:r>
            <w:r>
              <w:rPr>
                <w:bCs/>
                <w:color w:val="000000" w:themeColor="text1"/>
                <w:kern w:val="0"/>
                <w:vertAlign w:val="superscript"/>
                <w:lang w:bidi="ar"/>
                <w14:textFill>
                  <w14:solidFill>
                    <w14:schemeClr w14:val="tx1"/>
                  </w14:solidFill>
                </w14:textFill>
              </w:rPr>
              <w:t>-7</w:t>
            </w:r>
            <w:r>
              <w:rPr>
                <w:bCs/>
                <w:color w:val="000000" w:themeColor="text1"/>
                <w:kern w:val="0"/>
                <w:lang w:bidi="ar"/>
                <w14:textFill>
                  <w14:solidFill>
                    <w14:schemeClr w14:val="tx1"/>
                  </w14:solidFill>
                </w14:textFill>
              </w:rPr>
              <w:t>厘米/秒，并定期处置。</w:t>
            </w:r>
          </w:p>
          <w:p>
            <w:pPr>
              <w:autoSpaceDE w:val="0"/>
              <w:ind w:firstLine="480"/>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企业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企业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pPr>
              <w:ind w:firstLine="0" w:firstLineChars="0"/>
              <w:rPr>
                <w:b/>
                <w:color w:val="000000" w:themeColor="text1"/>
                <w:lang w:bidi="ar"/>
                <w14:textFill>
                  <w14:solidFill>
                    <w14:schemeClr w14:val="tx1"/>
                  </w14:solidFill>
                </w14:textFill>
              </w:rPr>
            </w:pPr>
            <w:r>
              <w:rPr>
                <w:b/>
                <w:color w:val="000000" w:themeColor="text1"/>
                <w:lang w:bidi="ar"/>
                <w14:textFill>
                  <w14:solidFill>
                    <w14:schemeClr w14:val="tx1"/>
                  </w14:solidFill>
                </w14:textFill>
              </w:rPr>
              <w:t>4.2.2 危险废物管理要求</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本项目产生的危险废物暂存于危废暂存间，危废暂存间位于厂区北侧，面积约5m</w:t>
            </w:r>
            <w:r>
              <w:rPr>
                <w:rFonts w:hint="default" w:ascii="Times New Roman"/>
                <w:color w:val="000000" w:themeColor="text1"/>
                <w:vertAlign w:val="superscript"/>
                <w14:textFill>
                  <w14:solidFill>
                    <w14:schemeClr w14:val="tx1"/>
                  </w14:solidFill>
                </w14:textFill>
              </w:rPr>
              <w:t>2</w:t>
            </w:r>
            <w:r>
              <w:rPr>
                <w:rFonts w:hint="default" w:ascii="Times New Roman"/>
                <w:color w:val="000000" w:themeColor="text1"/>
                <w14:textFill>
                  <w14:solidFill>
                    <w14:schemeClr w14:val="tx1"/>
                  </w14:solidFill>
                </w14:textFill>
              </w:rPr>
              <w:t>，贮存及产生危险废物的暂存、运输应严格按照《危险废物收集、贮存、运输技术规范》（HJ2025-2012）和《危险废物贮存污染控制标准》（GB18597-20</w:t>
            </w:r>
            <w:r>
              <w:rPr>
                <w:rFonts w:hint="eastAsia" w:ascii="Times New Roman"/>
                <w:color w:val="000000" w:themeColor="text1"/>
                <w:lang w:val="en-US" w:eastAsia="zh-CN"/>
                <w14:textFill>
                  <w14:solidFill>
                    <w14:schemeClr w14:val="tx1"/>
                  </w14:solidFill>
                </w14:textFill>
              </w:rPr>
              <w:t>23</w:t>
            </w:r>
            <w:r>
              <w:rPr>
                <w:rFonts w:hint="default" w:ascii="Times New Roman"/>
                <w:color w:val="000000" w:themeColor="text1"/>
                <w14:textFill>
                  <w14:solidFill>
                    <w14:schemeClr w14:val="tx1"/>
                  </w14:solidFill>
                </w14:textFill>
              </w:rPr>
              <w:t>）要求进行。危险废物的收集、贮存、外运，应采取下述措施：</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 xml:space="preserve">①企业应制定详细的危险废物收集操作规程，内容包括适用范围、操作程序和方法、专用设备和工具、转移和交换、安全保障和应急防护等；收集和转运人员应根据需要配置必备的个人防护设备，如手套、防护镜、防护服和口罩等。     </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②危险废物的收集和转运过程中，应采取相应的安全防护和污染防治措施，包括防泄漏、防雨或其它防止污染环境的措施。</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③及时将生产过程中产生的各种危险废物进行处理，在未处理期间，应集中收集，集中贮存。</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④危废暂存区应满足《危险废物贮存污染控制标准》（GB18597-20</w:t>
            </w:r>
            <w:r>
              <w:rPr>
                <w:rFonts w:hint="eastAsia" w:ascii="Times New Roman"/>
                <w:color w:val="000000" w:themeColor="text1"/>
                <w:lang w:val="en-US" w:eastAsia="zh-CN"/>
                <w14:textFill>
                  <w14:solidFill>
                    <w14:schemeClr w14:val="tx1"/>
                  </w14:solidFill>
                </w14:textFill>
              </w:rPr>
              <w:t>23</w:t>
            </w:r>
            <w:r>
              <w:rPr>
                <w:rFonts w:hint="default" w:ascii="Times New Roman"/>
                <w:color w:val="000000" w:themeColor="text1"/>
                <w14:textFill>
                  <w14:solidFill>
                    <w14:schemeClr w14:val="tx1"/>
                  </w14:solidFill>
                </w14:textFill>
              </w:rPr>
              <w:t>）要求：</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a、地面为耐腐蚀的硬化地面，且表面无裂痕；</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b、设计堵截泄漏的裙脚，地面与裙脚所围建的容积不低于堵截最大容器的最大储量或总储量的五分之一；</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c、危废暂存区的防渗层为2mm厚高密度聚乙烯或至少2mm厚的其他人工材料，渗透系数≤10</w:t>
            </w:r>
            <w:r>
              <w:rPr>
                <w:rFonts w:hint="default" w:ascii="Times New Roman"/>
                <w:color w:val="000000" w:themeColor="text1"/>
                <w:vertAlign w:val="superscript"/>
                <w14:textFill>
                  <w14:solidFill>
                    <w14:schemeClr w14:val="tx1"/>
                  </w14:solidFill>
                </w14:textFill>
              </w:rPr>
              <w:t>-10</w:t>
            </w:r>
            <w:r>
              <w:rPr>
                <w:rFonts w:hint="default" w:ascii="Times New Roman"/>
                <w:color w:val="000000" w:themeColor="text1"/>
                <w14:textFill>
                  <w14:solidFill>
                    <w14:schemeClr w14:val="tx1"/>
                  </w14:solidFill>
                </w14:textFill>
              </w:rPr>
              <w:t>cm/s；</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d、设置防渗漏、防锐器穿透的专用容器，并有明显的警示标识和警示说明；</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e、危废暂存区必须防风、防雨、防晒；</w:t>
            </w:r>
          </w:p>
          <w:p>
            <w:pPr>
              <w:pStyle w:val="37"/>
              <w:ind w:firstLine="480"/>
              <w:rPr>
                <w:rFonts w:hint="default" w:ascii="Times New Roman"/>
                <w:color w:val="000000" w:themeColor="text1"/>
                <w14:textFill>
                  <w14:solidFill>
                    <w14:schemeClr w14:val="tx1"/>
                  </w14:solidFill>
                </w14:textFill>
              </w:rPr>
            </w:pPr>
            <w:r>
              <w:rPr>
                <w:rFonts w:hint="default" w:ascii="Times New Roman"/>
                <w:color w:val="000000" w:themeColor="text1"/>
                <w14:textFill>
                  <w14:solidFill>
                    <w14:schemeClr w14:val="tx1"/>
                  </w14:solidFill>
                </w14:textFill>
              </w:rPr>
              <w:t>f、危废暂存区必须设置危险废物警示标志；</w:t>
            </w:r>
          </w:p>
          <w:p>
            <w:pPr>
              <w:autoSpaceDE w:val="0"/>
              <w:autoSpaceDN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g、应当对危废进行登记，登记内容应当包括来源、种类、重量或者数量、交接时间、处置方法、最终去向以及经办人签名等项目，登记资料至少保存3年；</w:t>
            </w:r>
          </w:p>
          <w:p>
            <w:pPr>
              <w:autoSpaceDE w:val="0"/>
              <w:autoSpaceDN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h、定期对包装容器和危险废物暂存区进行检查，发现破损及时采取措施更换。</w:t>
            </w:r>
          </w:p>
          <w:p>
            <w:pPr>
              <w:autoSpaceDE w:val="0"/>
              <w:autoSpaceDN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 xml:space="preserve">⑤危险废物的转移和运输应按《危险废物转移管理办法》的规定报批危险废物转移计划，填写好转运联单，并必须交由有资质的单位承运。做好每次外运处置废弃物的运输登记，认真填写危险废物转移联单。 </w:t>
            </w:r>
          </w:p>
          <w:p>
            <w:pPr>
              <w:ind w:firstLine="480"/>
              <w:rPr>
                <w:b/>
                <w:bCs/>
                <w:color w:val="000000" w:themeColor="text1"/>
                <w14:textFill>
                  <w14:solidFill>
                    <w14:schemeClr w14:val="tx1"/>
                  </w14:solidFill>
                </w14:textFill>
              </w:rPr>
            </w:pPr>
            <w:r>
              <w:rPr>
                <w:color w:val="000000" w:themeColor="text1"/>
                <w14:textFill>
                  <w14:solidFill>
                    <w14:schemeClr w14:val="tx1"/>
                  </w14:solidFill>
                </w14:textFill>
              </w:rPr>
              <w:t>综上所述，本项目对危险废物进行了妥善处置，符合《危险废物贮存污染控制标准》（GB18597-20</w:t>
            </w:r>
            <w:r>
              <w:rPr>
                <w:rFonts w:hint="eastAsia"/>
                <w:color w:val="000000" w:themeColor="text1"/>
                <w:lang w:val="en-US" w:eastAsia="zh-CN"/>
                <w14:textFill>
                  <w14:solidFill>
                    <w14:schemeClr w14:val="tx1"/>
                  </w14:solidFill>
                </w14:textFill>
              </w:rPr>
              <w:t>23</w:t>
            </w:r>
            <w:r>
              <w:rPr>
                <w:color w:val="000000" w:themeColor="text1"/>
                <w14:textFill>
                  <w14:solidFill>
                    <w14:schemeClr w14:val="tx1"/>
                  </w14:solidFill>
                </w14:textFill>
              </w:rPr>
              <w:t>）的要求，对周围环境影响较小。</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5、对地下水、土壤的影响</w:t>
            </w:r>
          </w:p>
          <w:p>
            <w:pPr>
              <w:autoSpaceDE w:val="0"/>
              <w:autoSpaceDN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本项目对厂区可能泄露污染物的地面进行防渗处理，可有效防治污染物渗入地下及土壤，并及时将渗漏、泄漏的污染物收集并进行集中处理。依据地下水导则中相关分区防控措施，结合项目的性质、包气带岩性结构、污染控制难易程度及地下水环境风险，按照重点防渗区、简单防渗区和一般污染防渗区进行分区防渗，防渗层结构依据不同防渗区要求单独使用一种材料或者多种材料结合使用。根据本项目特点，环评要求项目采取的防渗措施包括：</w:t>
            </w:r>
          </w:p>
          <w:p>
            <w:pPr>
              <w:autoSpaceDE w:val="0"/>
              <w:autoSpaceDN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1）重点防渗区：本项目危废暂存间按危险废物贮存污染控制要求进行防渗处理，建成重点防渗区（不应低于6m厚渗透系数为10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cm/s的</w:t>
            </w:r>
            <w:r>
              <w:rPr>
                <w:color w:val="000000" w:themeColor="text1"/>
                <w:kern w:val="0"/>
                <w14:textFill>
                  <w14:solidFill>
                    <w14:schemeClr w14:val="tx1"/>
                  </w14:solidFill>
                </w14:textFill>
              </w:rPr>
              <w:t>黏土层的防渗性能</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2）一般防渗区：本项目</w:t>
            </w:r>
            <w:r>
              <w:rPr>
                <w:rFonts w:hint="eastAsia"/>
                <w:color w:val="000000" w:themeColor="text1"/>
                <w:lang w:val="en-US" w:eastAsia="zh-CN"/>
                <w14:textFill>
                  <w14:solidFill>
                    <w14:schemeClr w14:val="tx1"/>
                  </w14:solidFill>
                </w14:textFill>
              </w:rPr>
              <w:t>隔油池、沉淀池及</w:t>
            </w:r>
            <w:r>
              <w:rPr>
                <w:color w:val="000000" w:themeColor="text1"/>
                <w14:textFill>
                  <w14:solidFill>
                    <w14:schemeClr w14:val="tx1"/>
                  </w14:solidFill>
                </w14:textFill>
              </w:rPr>
              <w:t>一般固废暂存间建成一般防渗区（不应低于1.5m厚渗透系数为10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cm/s的</w:t>
            </w:r>
            <w:r>
              <w:rPr>
                <w:color w:val="000000" w:themeColor="text1"/>
                <w:kern w:val="0"/>
                <w14:textFill>
                  <w14:solidFill>
                    <w14:schemeClr w14:val="tx1"/>
                  </w14:solidFill>
                </w14:textFill>
              </w:rPr>
              <w:t>黏土层的防渗性能</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3）简单防渗区：厂区主要生产区域主要以地面水泥硬化为主。</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在认真采取以上措施的基础上，一旦发生溢出与渗漏事故，渗漏物质将由于防渗层的保护作用，积聚在地面上，不会对地下水及土壤造成影响。</w:t>
            </w:r>
          </w:p>
          <w:p>
            <w:pPr>
              <w:autoSpaceDE w:val="0"/>
              <w:ind w:firstLine="0" w:firstLineChars="0"/>
              <w:textAlignment w:val="baseline"/>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6、防沙治沙环境影响分析</w:t>
            </w:r>
          </w:p>
          <w:p>
            <w:pPr>
              <w:overflowPunct w:val="0"/>
              <w:autoSpaceDE w:val="0"/>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建设方在运营过程中，应根据《中华人民共和国防沙治沙法》严格执行防沙治沙生态措施。结合项目实际情况，建设单位在运营阶段，拟采取如下防沙治沙生态措施：</w:t>
            </w:r>
          </w:p>
          <w:p>
            <w:pPr>
              <w:overflowPunct w:val="0"/>
              <w:autoSpaceDE w:val="0"/>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（1）本项目运营期的进出入车辆应在规定的现有道路内行驶，不得驶出道路规定范围，造成项目区周边植被破坏。</w:t>
            </w:r>
          </w:p>
          <w:p>
            <w:pPr>
              <w:overflowPunct w:val="0"/>
              <w:autoSpaceDE w:val="0"/>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（2）建设单位履行社会责任，积极参与政府组织的各类防沙治沙活动。</w:t>
            </w:r>
          </w:p>
          <w:p>
            <w:pPr>
              <w:pStyle w:val="46"/>
              <w:rPr>
                <w:color w:val="000000" w:themeColor="text1"/>
                <w14:textFill>
                  <w14:solidFill>
                    <w14:schemeClr w14:val="tx1"/>
                  </w14:solidFill>
                </w14:textFill>
              </w:rPr>
            </w:pPr>
            <w:r>
              <w:rPr>
                <w:color w:val="000000" w:themeColor="text1"/>
                <w:lang w:bidi="ar"/>
                <w14:textFill>
                  <w14:solidFill>
                    <w14:schemeClr w14:val="tx1"/>
                  </w14:solidFill>
                </w14:textFill>
              </w:rPr>
              <w:t>在采取以上措施后，本项目的运营对项目区生态环境会产生一定的正面效应，不会加剧项目区土地的沙化。</w:t>
            </w:r>
          </w:p>
          <w:p>
            <w:pPr>
              <w:overflowPunct w:val="0"/>
              <w:ind w:firstLine="0" w:firstLineChars="0"/>
              <w:rPr>
                <w:b/>
                <w:bCs/>
                <w:color w:val="000000" w:themeColor="text1"/>
                <w14:textFill>
                  <w14:solidFill>
                    <w14:schemeClr w14:val="tx1"/>
                  </w14:solidFill>
                </w14:textFill>
              </w:rPr>
            </w:pPr>
            <w:bookmarkStart w:id="2" w:name="_Toc25008"/>
            <w:r>
              <w:rPr>
                <w:b/>
                <w:bCs/>
                <w:color w:val="000000" w:themeColor="text1"/>
                <w14:textFill>
                  <w14:solidFill>
                    <w14:schemeClr w14:val="tx1"/>
                  </w14:solidFill>
                </w14:textFill>
              </w:rPr>
              <w:t>7、环境风险分析</w:t>
            </w:r>
          </w:p>
          <w:p>
            <w:pPr>
              <w:overflowPunct w:val="0"/>
              <w:ind w:firstLine="480"/>
              <w:rPr>
                <w:color w:val="000000" w:themeColor="text1"/>
                <w14:textFill>
                  <w14:solidFill>
                    <w14:schemeClr w14:val="tx1"/>
                  </w14:solidFill>
                </w14:textFill>
              </w:rPr>
            </w:pPr>
            <w:r>
              <w:rPr>
                <w:color w:val="000000" w:themeColor="text1"/>
                <w:kern w:val="0"/>
                <w:szCs w:val="22"/>
                <w14:textFill>
                  <w14:solidFill>
                    <w14:schemeClr w14:val="tx1"/>
                  </w14:solidFill>
                </w14:textFill>
              </w:rPr>
              <w:t>环境风险评价是对本项目建设期和运行期间发生的可预测突发性事件或事故 （一般不包括人为破坏及自然灾害），引起有毒有害、易燃易爆等物质泄漏，或突发事件产生的新的有毒有害物质，所造成的对人身安全与环境的影响和损害，进行评估，提出防范、应急与减缓措施。</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7.1评价依据</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按照《建设项目环境风险评价导则》（以下简称《导则》）的要求，项目风险识别范围主要包括生产设施风险识别和生产过程涉及的物质风险识别。生产设施主要包括生产工艺、贮运、公用工程设施及作业环境、环保工程、消防等系统。物质风险识别包括主要原材料及辅助材料、燃料、中间产品、最终产品以及生产过程排放的“三废”污染物等。</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评价工作程序见下图：</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drawing>
                <wp:inline distT="0" distB="0" distL="114300" distR="114300">
                  <wp:extent cx="4661535" cy="4606925"/>
                  <wp:effectExtent l="0" t="0" r="5715" b="317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8"/>
                          <a:stretch>
                            <a:fillRect/>
                          </a:stretch>
                        </pic:blipFill>
                        <pic:spPr>
                          <a:xfrm>
                            <a:off x="0" y="0"/>
                            <a:ext cx="4661535" cy="4606925"/>
                          </a:xfrm>
                          <a:prstGeom prst="rect">
                            <a:avLst/>
                          </a:prstGeom>
                          <a:noFill/>
                          <a:ln>
                            <a:noFill/>
                          </a:ln>
                        </pic:spPr>
                      </pic:pic>
                    </a:graphicData>
                  </a:graphic>
                </wp:inline>
              </w:drawing>
            </w:r>
          </w:p>
          <w:p>
            <w:pPr>
              <w:overflowPunct w:val="0"/>
              <w:ind w:firstLine="482"/>
              <w:jc w:val="center"/>
              <w:rPr>
                <w:b/>
                <w:bCs/>
                <w:color w:val="000000" w:themeColor="text1"/>
                <w:kern w:val="0"/>
                <w:szCs w:val="22"/>
                <w14:textFill>
                  <w14:solidFill>
                    <w14:schemeClr w14:val="tx1"/>
                  </w14:solidFill>
                </w14:textFill>
              </w:rPr>
            </w:pPr>
            <w:r>
              <w:rPr>
                <w:b/>
                <w:bCs/>
                <w:color w:val="000000" w:themeColor="text1"/>
                <w:kern w:val="0"/>
                <w:szCs w:val="22"/>
                <w14:textFill>
                  <w14:solidFill>
                    <w14:schemeClr w14:val="tx1"/>
                  </w14:solidFill>
                </w14:textFill>
              </w:rPr>
              <w:t>图4-</w:t>
            </w:r>
            <w:r>
              <w:rPr>
                <w:rFonts w:hint="eastAsia"/>
                <w:b/>
                <w:bCs/>
                <w:color w:val="000000" w:themeColor="text1"/>
                <w:kern w:val="0"/>
                <w:szCs w:val="22"/>
                <w:lang w:val="en-US" w:eastAsia="zh-CN"/>
                <w14:textFill>
                  <w14:solidFill>
                    <w14:schemeClr w14:val="tx1"/>
                  </w14:solidFill>
                </w14:textFill>
              </w:rPr>
              <w:t>2</w:t>
            </w:r>
            <w:r>
              <w:rPr>
                <w:b/>
                <w:bCs/>
                <w:color w:val="000000" w:themeColor="text1"/>
                <w:kern w:val="0"/>
                <w:szCs w:val="22"/>
                <w14:textFill>
                  <w14:solidFill>
                    <w14:schemeClr w14:val="tx1"/>
                  </w14:solidFill>
                </w14:textFill>
              </w:rPr>
              <w:t xml:space="preserve">  评价工作流程图</w:t>
            </w:r>
          </w:p>
          <w:p>
            <w:pPr>
              <w:autoSpaceDE w:val="0"/>
              <w:ind w:firstLine="480"/>
              <w:rPr>
                <w:color w:val="000000" w:themeColor="text1"/>
                <w:lang w:bidi="ar"/>
                <w14:textFill>
                  <w14:solidFill>
                    <w14:schemeClr w14:val="tx1"/>
                  </w14:solidFill>
                </w14:textFill>
              </w:rPr>
            </w:pPr>
            <w:r>
              <w:rPr>
                <w:color w:val="000000" w:themeColor="text1"/>
                <w:kern w:val="0"/>
                <w:szCs w:val="22"/>
                <w14:textFill>
                  <w14:solidFill>
                    <w14:schemeClr w14:val="tx1"/>
                  </w14:solidFill>
                </w14:textFill>
              </w:rPr>
              <w:t>根据本项目的特点和</w:t>
            </w:r>
            <w:r>
              <w:rPr>
                <w:color w:val="000000" w:themeColor="text1"/>
                <w:lang w:bidi="ar"/>
                <w14:textFill>
                  <w14:solidFill>
                    <w14:schemeClr w14:val="tx1"/>
                  </w14:solidFill>
                </w14:textFill>
              </w:rPr>
              <w:t>《建设项目环境风险评价技术导则》（HJ 169—2018）等相关资料，对本项目有关的主要物料的毒性及其风险危害特性进行识别。</w:t>
            </w:r>
          </w:p>
          <w:p>
            <w:pPr>
              <w:autoSpaceDE w:val="0"/>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根据识别，本项目的主要风险源为危废暂存间暂存的废机油。根据风险调查需要分析计算的危险物质，其临界量可按表B.2中推荐值选取，其主要风险因素为生产过程中产生的泄漏等。</w:t>
            </w:r>
          </w:p>
          <w:p>
            <w:pPr>
              <w:autoSpaceDE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   （1）生产单元、储存单元内存在的危险化学品为单一品种，该危险化学品的数量既为单元内危险化学品的总量，若等于或超过相应的临界量，则定为重大危险源。</w:t>
            </w:r>
          </w:p>
          <w:p>
            <w:pPr>
              <w:autoSpaceDE w:val="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   （2）生产单元、储存单元内存在的危险化学品为多品种时，则按式（1）计算，若满足式（1），则定为重大危险源；</w:t>
            </w:r>
          </w:p>
          <w:p>
            <w:pPr>
              <w:keepNext/>
              <w:keepLines/>
              <w:widowControl/>
              <w:ind w:firstLine="0" w:firstLineChars="0"/>
              <w:outlineLvl w:val="2"/>
              <w:rPr>
                <w:b/>
                <w:bCs/>
                <w:color w:val="000000" w:themeColor="text1"/>
                <w:kern w:val="0"/>
                <w:szCs w:val="22"/>
                <w14:textFill>
                  <w14:solidFill>
                    <w14:schemeClr w14:val="tx1"/>
                  </w14:solidFill>
                </w14:textFill>
              </w:rPr>
            </w:pPr>
            <w:r>
              <w:rPr>
                <w:b/>
                <w:bCs/>
                <w:color w:val="000000" w:themeColor="text1"/>
                <w:kern w:val="0"/>
                <w:position w:val="-10"/>
                <w:sz w:val="28"/>
                <w:szCs w:val="28"/>
                <w14:textFill>
                  <w14:solidFill>
                    <w14:schemeClr w14:val="tx1"/>
                  </w14:solidFill>
                </w14:textFill>
              </w:rPr>
              <w:pict>
                <v:shape id="_x0000_s1028" o:spid="_x0000_s1028" o:spt="75" type="#_x0000_t75" style="position:absolute;left:0pt;margin-left:99.6pt;margin-top:8.6pt;height:23.95pt;width:278.3pt;mso-wrap-distance-bottom:0pt;mso-wrap-distance-left:9pt;mso-wrap-distance-right:9pt;mso-wrap-distance-top:0pt;z-index:-251637760;mso-width-relative:page;mso-height-relative:page;" o:ole="t" filled="f" coordsize="21600,21600">
                  <v:path/>
                  <v:fill on="f" focussize="0,0"/>
                  <v:stroke/>
                  <v:imagedata r:id="rId40" o:title=""/>
                  <o:lock v:ext="edit" aspectratio="t"/>
                  <w10:wrap type="square"/>
                </v:shape>
                <o:OLEObject Type="Embed" ProgID="" ShapeID="_x0000_s1028" DrawAspect="Content" ObjectID="_1468075728" r:id="rId39">
                  <o:LockedField>false</o:LockedField>
                </o:OLEObject>
              </w:pict>
            </w:r>
            <w:r>
              <w:rPr>
                <w:b/>
                <w:bCs/>
                <w:color w:val="000000" w:themeColor="text1"/>
                <w:kern w:val="0"/>
                <w:sz w:val="30"/>
                <w:szCs w:val="30"/>
                <w14:textFill>
                  <w14:solidFill>
                    <w14:schemeClr w14:val="tx1"/>
                  </w14:solidFill>
                </w14:textFill>
              </w:rPr>
              <w:t xml:space="preserve">  </w:t>
            </w:r>
            <w:r>
              <w:rPr>
                <w:b/>
                <w:bCs/>
                <w:color w:val="000000" w:themeColor="text1"/>
                <w:kern w:val="0"/>
                <w:sz w:val="28"/>
                <w:szCs w:val="28"/>
                <w14:textFill>
                  <w14:solidFill>
                    <w14:schemeClr w14:val="tx1"/>
                  </w14:solidFill>
                </w14:textFill>
              </w:rPr>
              <w:t xml:space="preserve"> </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 xml:space="preserve">        </w:t>
            </w:r>
          </w:p>
          <w:p>
            <w:pPr>
              <w:overflowPunct w:val="0"/>
              <w:ind w:firstLine="960" w:firstLineChars="40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 xml:space="preserve">式中：S——辨识指标；  </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 xml:space="preserve">          q</w:t>
            </w:r>
            <w:r>
              <w:rPr>
                <w:color w:val="000000" w:themeColor="text1"/>
                <w:kern w:val="0"/>
                <w:szCs w:val="22"/>
                <w:vertAlign w:val="subscript"/>
                <w14:textFill>
                  <w14:solidFill>
                    <w14:schemeClr w14:val="tx1"/>
                  </w14:solidFill>
                </w14:textFill>
              </w:rPr>
              <w:t>1</w:t>
            </w:r>
            <w:r>
              <w:rPr>
                <w:color w:val="000000" w:themeColor="text1"/>
                <w:kern w:val="0"/>
                <w:szCs w:val="22"/>
                <w14:textFill>
                  <w14:solidFill>
                    <w14:schemeClr w14:val="tx1"/>
                  </w14:solidFill>
                </w14:textFill>
              </w:rPr>
              <w:t>、q</w:t>
            </w:r>
            <w:r>
              <w:rPr>
                <w:color w:val="000000" w:themeColor="text1"/>
                <w:kern w:val="0"/>
                <w:szCs w:val="22"/>
                <w:vertAlign w:val="subscript"/>
                <w14:textFill>
                  <w14:solidFill>
                    <w14:schemeClr w14:val="tx1"/>
                  </w14:solidFill>
                </w14:textFill>
              </w:rPr>
              <w:t>2</w:t>
            </w:r>
            <w:r>
              <w:rPr>
                <w:color w:val="000000" w:themeColor="text1"/>
                <w:kern w:val="0"/>
                <w:szCs w:val="22"/>
                <w14:textFill>
                  <w14:solidFill>
                    <w14:schemeClr w14:val="tx1"/>
                  </w14:solidFill>
                </w14:textFill>
              </w:rPr>
              <w:t>、q</w:t>
            </w:r>
            <w:r>
              <w:rPr>
                <w:color w:val="000000" w:themeColor="text1"/>
                <w:kern w:val="0"/>
                <w:szCs w:val="22"/>
                <w:vertAlign w:val="subscript"/>
                <w14:textFill>
                  <w14:solidFill>
                    <w14:schemeClr w14:val="tx1"/>
                  </w14:solidFill>
                </w14:textFill>
              </w:rPr>
              <w:t>n</w:t>
            </w:r>
            <w:r>
              <w:rPr>
                <w:color w:val="000000" w:themeColor="text1"/>
                <w:kern w:val="0"/>
                <w:szCs w:val="22"/>
                <w14:textFill>
                  <w14:solidFill>
                    <w14:schemeClr w14:val="tx1"/>
                  </w14:solidFill>
                </w14:textFill>
              </w:rPr>
              <w:t>——每种危险化学品实际存在量，t。</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 xml:space="preserve">          Q</w:t>
            </w:r>
            <w:r>
              <w:rPr>
                <w:color w:val="000000" w:themeColor="text1"/>
                <w:kern w:val="0"/>
                <w:szCs w:val="22"/>
                <w:vertAlign w:val="subscript"/>
                <w14:textFill>
                  <w14:solidFill>
                    <w14:schemeClr w14:val="tx1"/>
                  </w14:solidFill>
                </w14:textFill>
              </w:rPr>
              <w:t>1</w:t>
            </w:r>
            <w:r>
              <w:rPr>
                <w:color w:val="000000" w:themeColor="text1"/>
                <w:kern w:val="0"/>
                <w:szCs w:val="22"/>
                <w14:textFill>
                  <w14:solidFill>
                    <w14:schemeClr w14:val="tx1"/>
                  </w14:solidFill>
                </w14:textFill>
              </w:rPr>
              <w:t>、Q</w:t>
            </w:r>
            <w:r>
              <w:rPr>
                <w:color w:val="000000" w:themeColor="text1"/>
                <w:kern w:val="0"/>
                <w:szCs w:val="22"/>
                <w:vertAlign w:val="subscript"/>
                <w14:textFill>
                  <w14:solidFill>
                    <w14:schemeClr w14:val="tx1"/>
                  </w14:solidFill>
                </w14:textFill>
              </w:rPr>
              <w:t>2</w:t>
            </w:r>
            <w:r>
              <w:rPr>
                <w:color w:val="000000" w:themeColor="text1"/>
                <w:kern w:val="0"/>
                <w:szCs w:val="22"/>
                <w14:textFill>
                  <w14:solidFill>
                    <w14:schemeClr w14:val="tx1"/>
                  </w14:solidFill>
                </w14:textFill>
              </w:rPr>
              <w:t>、Q</w:t>
            </w:r>
            <w:r>
              <w:rPr>
                <w:color w:val="000000" w:themeColor="text1"/>
                <w:kern w:val="0"/>
                <w:szCs w:val="22"/>
                <w:vertAlign w:val="subscript"/>
                <w14:textFill>
                  <w14:solidFill>
                    <w14:schemeClr w14:val="tx1"/>
                  </w14:solidFill>
                </w14:textFill>
              </w:rPr>
              <w:t>3</w:t>
            </w:r>
            <w:r>
              <w:rPr>
                <w:color w:val="000000" w:themeColor="text1"/>
                <w:kern w:val="0"/>
                <w:szCs w:val="22"/>
                <w14:textFill>
                  <w14:solidFill>
                    <w14:schemeClr w14:val="tx1"/>
                  </w14:solidFill>
                </w14:textFill>
              </w:rPr>
              <w:t>——与每种危险化学品相对应的临界量，t。</w:t>
            </w:r>
          </w:p>
          <w:p>
            <w:pPr>
              <w:overflowPunct w:val="0"/>
              <w:ind w:firstLine="480"/>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根据以上分析，辨识本单位危险化学品重大危险源见表4-</w:t>
            </w:r>
            <w:r>
              <w:rPr>
                <w:rFonts w:hint="eastAsia"/>
                <w:color w:val="000000" w:themeColor="text1"/>
                <w:kern w:val="0"/>
                <w:szCs w:val="22"/>
                <w:lang w:val="en-US" w:eastAsia="zh-CN"/>
                <w14:textFill>
                  <w14:solidFill>
                    <w14:schemeClr w14:val="tx1"/>
                  </w14:solidFill>
                </w14:textFill>
              </w:rPr>
              <w:t>18</w:t>
            </w:r>
            <w:r>
              <w:rPr>
                <w:color w:val="000000" w:themeColor="text1"/>
                <w:kern w:val="0"/>
                <w:szCs w:val="22"/>
                <w14:textFill>
                  <w14:solidFill>
                    <w14:schemeClr w14:val="tx1"/>
                  </w14:solidFill>
                </w14:textFill>
              </w:rPr>
              <w:t>。</w:t>
            </w:r>
          </w:p>
          <w:p>
            <w:pPr>
              <w:autoSpaceDE w:val="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lang w:bidi="ar"/>
                <w14:textFill>
                  <w14:solidFill>
                    <w14:schemeClr w14:val="tx1"/>
                  </w14:solidFill>
                </w14:textFill>
              </w:rPr>
              <w:t>表4-</w:t>
            </w:r>
            <w:r>
              <w:rPr>
                <w:rFonts w:hint="eastAsia"/>
                <w:b/>
                <w:color w:val="000000" w:themeColor="text1"/>
                <w:sz w:val="21"/>
                <w:szCs w:val="21"/>
                <w:lang w:val="en-US" w:eastAsia="zh-CN" w:bidi="ar"/>
                <w14:textFill>
                  <w14:solidFill>
                    <w14:schemeClr w14:val="tx1"/>
                  </w14:solidFill>
                </w14:textFill>
              </w:rPr>
              <w:t>18</w:t>
            </w:r>
            <w:r>
              <w:rPr>
                <w:b/>
                <w:color w:val="000000" w:themeColor="text1"/>
                <w:sz w:val="21"/>
                <w:szCs w:val="21"/>
                <w:lang w:bidi="ar"/>
                <w14:textFill>
                  <w14:solidFill>
                    <w14:schemeClr w14:val="tx1"/>
                  </w14:solidFill>
                </w14:textFill>
              </w:rPr>
              <w:t xml:space="preserve">   危险物质临界量及实际存量</w:t>
            </w:r>
          </w:p>
          <w:tbl>
            <w:tblPr>
              <w:tblStyle w:val="30"/>
              <w:tblW w:w="845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474"/>
              <w:gridCol w:w="2210"/>
              <w:gridCol w:w="1059"/>
              <w:gridCol w:w="1648"/>
              <w:gridCol w:w="1151"/>
              <w:gridCol w:w="19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4" w:hRule="atLeast"/>
                <w:jc w:val="center"/>
              </w:trPr>
              <w:tc>
                <w:tcPr>
                  <w:tcW w:w="474" w:type="dxa"/>
                  <w:vMerge w:val="restart"/>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3269" w:type="dxa"/>
                  <w:gridSpan w:val="2"/>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危险物质</w:t>
                  </w:r>
                </w:p>
              </w:tc>
              <w:tc>
                <w:tcPr>
                  <w:tcW w:w="1648" w:type="dxa"/>
                  <w:vMerge w:val="restart"/>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储存/使用量</w:t>
                  </w:r>
                </w:p>
              </w:tc>
              <w:tc>
                <w:tcPr>
                  <w:tcW w:w="1151" w:type="dxa"/>
                  <w:vMerge w:val="restart"/>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临界量</w:t>
                  </w:r>
                </w:p>
              </w:tc>
              <w:tc>
                <w:tcPr>
                  <w:tcW w:w="1909" w:type="dxa"/>
                  <w:vMerge w:val="restart"/>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该种危险物 </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质Q值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12" w:hRule="atLeast"/>
                <w:jc w:val="center"/>
              </w:trPr>
              <w:tc>
                <w:tcPr>
                  <w:tcW w:w="474" w:type="dxa"/>
                  <w:vMerge w:val="continue"/>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2210"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物质名称</w:t>
                  </w:r>
                </w:p>
              </w:tc>
              <w:tc>
                <w:tcPr>
                  <w:tcW w:w="1059"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rFonts w:eastAsia="Times New Roman"/>
                      <w:color w:val="000000" w:themeColor="text1"/>
                      <w:sz w:val="20"/>
                      <w:szCs w:val="20"/>
                      <w:lang w:bidi="en-US"/>
                      <w14:textFill>
                        <w14:solidFill>
                          <w14:schemeClr w14:val="tx1"/>
                        </w14:solidFill>
                      </w14:textFill>
                    </w:rPr>
                    <w:t>CAS</w:t>
                  </w:r>
                  <w:r>
                    <w:rPr>
                      <w:color w:val="000000" w:themeColor="text1"/>
                      <w:sz w:val="20"/>
                      <w:szCs w:val="20"/>
                      <w14:textFill>
                        <w14:solidFill>
                          <w14:schemeClr w14:val="tx1"/>
                        </w14:solidFill>
                      </w14:textFill>
                    </w:rPr>
                    <w:t>号</w:t>
                  </w:r>
                </w:p>
              </w:tc>
              <w:tc>
                <w:tcPr>
                  <w:tcW w:w="1648" w:type="dxa"/>
                  <w:vMerge w:val="continue"/>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151" w:type="dxa"/>
                  <w:vMerge w:val="continue"/>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909" w:type="dxa"/>
                  <w:vMerge w:val="continue"/>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59" w:hRule="atLeast"/>
                <w:jc w:val="center"/>
              </w:trPr>
              <w:tc>
                <w:tcPr>
                  <w:tcW w:w="474"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210"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w:t>
                  </w:r>
                </w:p>
              </w:tc>
              <w:tc>
                <w:tcPr>
                  <w:tcW w:w="1059"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0"/>
                      <w:szCs w:val="20"/>
                      <w:lang w:bidi="en-US"/>
                      <w14:textFill>
                        <w14:solidFill>
                          <w14:schemeClr w14:val="tx1"/>
                        </w14:solidFill>
                      </w14:textFill>
                    </w:rPr>
                    <w:t>/</w:t>
                  </w:r>
                </w:p>
              </w:tc>
              <w:tc>
                <w:tcPr>
                  <w:tcW w:w="1648"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0.03t/a</w:t>
                  </w:r>
                </w:p>
              </w:tc>
              <w:tc>
                <w:tcPr>
                  <w:tcW w:w="1151"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2500t</w:t>
                  </w:r>
                </w:p>
              </w:tc>
              <w:tc>
                <w:tcPr>
                  <w:tcW w:w="1909"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420" w:hRule="atLeast"/>
                <w:jc w:val="center"/>
              </w:trPr>
              <w:tc>
                <w:tcPr>
                  <w:tcW w:w="474"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068" w:type="dxa"/>
                  <w:gridSpan w:val="4"/>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项目Q值∑</w:t>
                  </w:r>
                </w:p>
              </w:tc>
              <w:tc>
                <w:tcPr>
                  <w:tcW w:w="1909" w:type="dxa"/>
                  <w:tcBorders>
                    <w:tl2br w:val="nil"/>
                    <w:tr2bl w:val="nil"/>
                  </w:tcBorders>
                  <w:tcMar>
                    <w:left w:w="108" w:type="dxa"/>
                    <w:right w:w="108" w:type="dxa"/>
                  </w:tcMar>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0.00002</w:t>
                  </w:r>
                </w:p>
              </w:tc>
            </w:tr>
          </w:tbl>
          <w:p>
            <w:pPr>
              <w:autoSpaceDE w:val="0"/>
              <w:ind w:firstLine="464"/>
              <w:rPr>
                <w:color w:val="000000" w:themeColor="text1"/>
                <w:spacing w:val="-4"/>
                <w:lang w:bidi="ar"/>
                <w14:textFill>
                  <w14:solidFill>
                    <w14:schemeClr w14:val="tx1"/>
                  </w14:solidFill>
                </w14:textFill>
              </w:rPr>
            </w:pPr>
            <w:r>
              <w:rPr>
                <w:color w:val="000000" w:themeColor="text1"/>
                <w:spacing w:val="-4"/>
                <w:lang w:bidi="ar"/>
                <w14:textFill>
                  <w14:solidFill>
                    <w14:schemeClr w14:val="tx1"/>
                  </w14:solidFill>
                </w14:textFill>
              </w:rPr>
              <w:t>根据表4-</w:t>
            </w:r>
            <w:r>
              <w:rPr>
                <w:rFonts w:hint="eastAsia"/>
                <w:color w:val="000000" w:themeColor="text1"/>
                <w:spacing w:val="-4"/>
                <w:lang w:val="en-US" w:eastAsia="zh-CN" w:bidi="ar"/>
                <w14:textFill>
                  <w14:solidFill>
                    <w14:schemeClr w14:val="tx1"/>
                  </w14:solidFill>
                </w14:textFill>
              </w:rPr>
              <w:t>18</w:t>
            </w:r>
            <w:r>
              <w:rPr>
                <w:color w:val="000000" w:themeColor="text1"/>
                <w:spacing w:val="-4"/>
                <w:lang w:bidi="ar"/>
                <w14:textFill>
                  <w14:solidFill>
                    <w14:schemeClr w14:val="tx1"/>
                  </w14:solidFill>
                </w14:textFill>
              </w:rPr>
              <w:t>数据计算得出Q=0.00002＜1，</w:t>
            </w:r>
            <w:r>
              <w:rPr>
                <w:color w:val="000000" w:themeColor="text1"/>
                <w:lang w:bidi="ar"/>
                <w14:textFill>
                  <w14:solidFill>
                    <w14:schemeClr w14:val="tx1"/>
                  </w14:solidFill>
                </w14:textFill>
              </w:rPr>
              <w:t>本</w:t>
            </w:r>
            <w:r>
              <w:rPr>
                <w:color w:val="000000" w:themeColor="text1"/>
                <w:spacing w:val="-4"/>
                <w:lang w:bidi="ar"/>
                <w14:textFill>
                  <w14:solidFill>
                    <w14:schemeClr w14:val="tx1"/>
                  </w14:solidFill>
                </w14:textFill>
              </w:rPr>
              <w:t>项目所在地非环境敏感区，本项目危险物质的最大存放量不构成重大危险源。</w:t>
            </w:r>
          </w:p>
          <w:p>
            <w:pPr>
              <w:autoSpaceDE w:val="0"/>
              <w:ind w:firstLine="464"/>
              <w:jc w:val="left"/>
              <w:rPr>
                <w:b/>
                <w:color w:val="000000" w:themeColor="text1"/>
                <w:sz w:val="21"/>
                <w:szCs w:val="21"/>
                <w14:textFill>
                  <w14:solidFill>
                    <w14:schemeClr w14:val="tx1"/>
                  </w14:solidFill>
                </w14:textFill>
              </w:rPr>
            </w:pPr>
            <w:r>
              <w:rPr>
                <w:color w:val="000000" w:themeColor="text1"/>
                <w:spacing w:val="-4"/>
                <w:lang w:bidi="ar"/>
                <w14:textFill>
                  <w14:solidFill>
                    <w14:schemeClr w14:val="tx1"/>
                  </w14:solidFill>
                </w14:textFill>
              </w:rPr>
              <w:t>依据《建设项目环境风险评价技术导则》（HJ169-2018），建设项目环境风险评价工作级别按表4-</w:t>
            </w:r>
            <w:r>
              <w:rPr>
                <w:rFonts w:hint="eastAsia"/>
                <w:color w:val="000000" w:themeColor="text1"/>
                <w:spacing w:val="-4"/>
                <w:lang w:val="en-US" w:eastAsia="zh-CN" w:bidi="ar"/>
                <w14:textFill>
                  <w14:solidFill>
                    <w14:schemeClr w14:val="tx1"/>
                  </w14:solidFill>
                </w14:textFill>
              </w:rPr>
              <w:t>19</w:t>
            </w:r>
            <w:r>
              <w:rPr>
                <w:color w:val="000000" w:themeColor="text1"/>
                <w:spacing w:val="-4"/>
                <w:lang w:bidi="ar"/>
                <w14:textFill>
                  <w14:solidFill>
                    <w14:schemeClr w14:val="tx1"/>
                  </w14:solidFill>
                </w14:textFill>
              </w:rPr>
              <w:t>进行划分。</w:t>
            </w:r>
          </w:p>
          <w:p>
            <w:pPr>
              <w:tabs>
                <w:tab w:val="left" w:pos="438"/>
              </w:tabs>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19</w:t>
            </w:r>
            <w:r>
              <w:rPr>
                <w:b/>
                <w:color w:val="000000" w:themeColor="text1"/>
                <w:sz w:val="21"/>
                <w:szCs w:val="21"/>
                <w14:textFill>
                  <w14:solidFill>
                    <w14:schemeClr w14:val="tx1"/>
                  </w14:solidFill>
                </w14:textFill>
              </w:rPr>
              <w:t xml:space="preserve">  评价工作级别</w:t>
            </w:r>
          </w:p>
          <w:tbl>
            <w:tblPr>
              <w:tblStyle w:val="30"/>
              <w:tblW w:w="8447"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243"/>
              <w:gridCol w:w="1742"/>
              <w:gridCol w:w="2036"/>
              <w:gridCol w:w="1901"/>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03" w:type="pct"/>
                  <w:tcBorders>
                    <w:top w:val="single" w:color="auto" w:sz="12" w:space="0"/>
                    <w:left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环境风险潜势</w:t>
                  </w:r>
                </w:p>
              </w:tc>
              <w:tc>
                <w:tcPr>
                  <w:tcW w:w="736" w:type="pct"/>
                  <w:tcBorders>
                    <w:top w:val="single" w:color="auto" w:sz="12" w:space="0"/>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Ⅳ、 Ⅳ</w:t>
                  </w:r>
                  <w:r>
                    <w:rPr>
                      <w:color w:val="000000" w:themeColor="text1"/>
                      <w:sz w:val="21"/>
                      <w:szCs w:val="21"/>
                      <w:vertAlign w:val="superscript"/>
                      <w14:textFill>
                        <w14:solidFill>
                          <w14:schemeClr w14:val="tx1"/>
                        </w14:solidFill>
                      </w14:textFill>
                    </w:rPr>
                    <w:t>+</w:t>
                  </w:r>
                  <w:r>
                    <w:rPr>
                      <w:color w:val="000000" w:themeColor="text1"/>
                      <w:sz w:val="21"/>
                      <w:szCs w:val="21"/>
                      <w14:textFill>
                        <w14:solidFill>
                          <w14:schemeClr w14:val="tx1"/>
                        </w14:solidFill>
                      </w14:textFill>
                    </w:rPr>
                    <w:t xml:space="preserve"> </w:t>
                  </w:r>
                </w:p>
              </w:tc>
              <w:tc>
                <w:tcPr>
                  <w:tcW w:w="1031" w:type="pct"/>
                  <w:tcBorders>
                    <w:top w:val="single" w:color="auto" w:sz="12" w:space="0"/>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Ⅲ  </w:t>
                  </w:r>
                </w:p>
              </w:tc>
              <w:tc>
                <w:tcPr>
                  <w:tcW w:w="1205" w:type="pct"/>
                  <w:tcBorders>
                    <w:top w:val="single" w:color="auto" w:sz="12" w:space="0"/>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w:t>
                  </w:r>
                </w:p>
              </w:tc>
              <w:tc>
                <w:tcPr>
                  <w:tcW w:w="1122" w:type="pct"/>
                  <w:tcBorders>
                    <w:top w:val="single" w:color="auto" w:sz="12" w:space="0"/>
                    <w:right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Ⅰ</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03" w:type="pct"/>
                  <w:tcBorders>
                    <w:left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评价工作等级</w:t>
                  </w:r>
                </w:p>
              </w:tc>
              <w:tc>
                <w:tcPr>
                  <w:tcW w:w="736"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w:t>
                  </w:r>
                </w:p>
              </w:tc>
              <w:tc>
                <w:tcPr>
                  <w:tcW w:w="1031"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w:t>
                  </w:r>
                </w:p>
              </w:tc>
              <w:tc>
                <w:tcPr>
                  <w:tcW w:w="1205"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w:t>
                  </w:r>
                </w:p>
              </w:tc>
              <w:tc>
                <w:tcPr>
                  <w:tcW w:w="1122" w:type="pct"/>
                  <w:tcBorders>
                    <w:right w:val="nil"/>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简单分析</w:t>
                  </w:r>
                  <w:r>
                    <w:rPr>
                      <w:color w:val="000000" w:themeColor="text1"/>
                      <w:sz w:val="21"/>
                      <w:szCs w:val="21"/>
                      <w:vertAlign w:val="superscript"/>
                      <w14:textFill>
                        <w14:solidFill>
                          <w14:schemeClr w14:val="tx1"/>
                        </w14:solidFill>
                      </w14:textFill>
                    </w:rPr>
                    <w:t>a</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000" w:type="pct"/>
                  <w:gridSpan w:val="5"/>
                  <w:tcBorders>
                    <w:left w:val="nil"/>
                    <w:bottom w:val="single" w:color="auto" w:sz="12" w:space="0"/>
                    <w:right w:val="nil"/>
                  </w:tcBorders>
                  <w:vAlign w:val="center"/>
                </w:tcPr>
                <w:p>
                  <w:pPr>
                    <w:spacing w:line="240" w:lineRule="auto"/>
                    <w:ind w:firstLine="0" w:firstLineChars="0"/>
                    <w:jc w:val="left"/>
                    <w:textAlignment w:val="baseline"/>
                    <w:rPr>
                      <w:color w:val="000000" w:themeColor="text1"/>
                      <w:sz w:val="21"/>
                      <w:szCs w:val="21"/>
                      <w14:textFill>
                        <w14:solidFill>
                          <w14:schemeClr w14:val="tx1"/>
                        </w14:solidFill>
                      </w14:textFill>
                    </w:rPr>
                  </w:pPr>
                  <w:r>
                    <w:rPr>
                      <w:color w:val="000000" w:themeColor="text1"/>
                      <w:sz w:val="21"/>
                      <w:szCs w:val="21"/>
                      <w:vertAlign w:val="superscript"/>
                      <w14:textFill>
                        <w14:solidFill>
                          <w14:schemeClr w14:val="tx1"/>
                        </w14:solidFill>
                      </w14:textFill>
                    </w:rPr>
                    <w:t>a</w:t>
                  </w:r>
                  <w:r>
                    <w:rPr>
                      <w:color w:val="000000" w:themeColor="text1"/>
                      <w:sz w:val="21"/>
                      <w:szCs w:val="21"/>
                      <w14:textFill>
                        <w14:solidFill>
                          <w14:schemeClr w14:val="tx1"/>
                        </w14:solidFill>
                      </w14:textFill>
                    </w:rPr>
                    <w:t>是相对于详细评价工作内容而言，在描述危险物质、环境影响途径、环境危害后果、风险防范措施等方面给出定性说明</w:t>
                  </w:r>
                </w:p>
              </w:tc>
            </w:tr>
          </w:tbl>
          <w:p>
            <w:pPr>
              <w:autoSpaceDE w:val="0"/>
              <w:ind w:firstLine="464"/>
              <w:rPr>
                <w:color w:val="000000" w:themeColor="text1"/>
                <w:spacing w:val="-4"/>
                <w:lang w:bidi="ar"/>
                <w14:textFill>
                  <w14:solidFill>
                    <w14:schemeClr w14:val="tx1"/>
                  </w14:solidFill>
                </w14:textFill>
              </w:rPr>
            </w:pPr>
            <w:r>
              <w:rPr>
                <w:color w:val="000000" w:themeColor="text1"/>
                <w:spacing w:val="-4"/>
                <w:lang w:bidi="ar"/>
                <w14:textFill>
                  <w14:solidFill>
                    <w14:schemeClr w14:val="tx1"/>
                  </w14:solidFill>
                </w14:textFill>
              </w:rPr>
              <w:t>根据导则附录C中计算物质的Q值为0.00002＜1，同时，附录C中规定“当Q＜1时，该项目环境风险潜势为Ⅰ”。</w:t>
            </w:r>
          </w:p>
          <w:p>
            <w:pPr>
              <w:autoSpaceDE w:val="0"/>
              <w:ind w:firstLine="464"/>
              <w:rPr>
                <w:color w:val="000000" w:themeColor="text1"/>
                <w:spacing w:val="-4"/>
                <w:lang w:bidi="ar"/>
                <w14:textFill>
                  <w14:solidFill>
                    <w14:schemeClr w14:val="tx1"/>
                  </w14:solidFill>
                </w14:textFill>
              </w:rPr>
            </w:pPr>
            <w:r>
              <w:rPr>
                <w:color w:val="000000" w:themeColor="text1"/>
                <w:spacing w:val="-4"/>
                <w:lang w:bidi="ar"/>
                <w14:textFill>
                  <w14:solidFill>
                    <w14:schemeClr w14:val="tx1"/>
                  </w14:solidFill>
                </w14:textFill>
              </w:rPr>
              <w:t>根据表4-</w:t>
            </w:r>
            <w:r>
              <w:rPr>
                <w:rFonts w:hint="eastAsia"/>
                <w:color w:val="000000" w:themeColor="text1"/>
                <w:spacing w:val="-4"/>
                <w:lang w:val="en-US" w:eastAsia="zh-CN" w:bidi="ar"/>
                <w14:textFill>
                  <w14:solidFill>
                    <w14:schemeClr w14:val="tx1"/>
                  </w14:solidFill>
                </w14:textFill>
              </w:rPr>
              <w:t>19</w:t>
            </w:r>
            <w:r>
              <w:rPr>
                <w:color w:val="000000" w:themeColor="text1"/>
                <w:spacing w:val="-4"/>
                <w:lang w:bidi="ar"/>
                <w14:textFill>
                  <w14:solidFill>
                    <w14:schemeClr w14:val="tx1"/>
                  </w14:solidFill>
                </w14:textFill>
              </w:rPr>
              <w:t>规定，本次评价只对环境风险进行简单分析。</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7.2 环境敏感目标概况</w:t>
            </w:r>
          </w:p>
          <w:p>
            <w:pPr>
              <w:autoSpaceDE w:val="0"/>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本项目区周边500m范围内无环境敏感目标。</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7.3环境风险识别</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依据《建设项目环境风险评价技术导则》（HJ169-2018），结合本项目实际情况，项目环境风险识别情况见下表。</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20</w:t>
            </w:r>
            <w:r>
              <w:rPr>
                <w:b/>
                <w:bCs/>
                <w:color w:val="000000" w:themeColor="text1"/>
                <w:sz w:val="21"/>
                <w:szCs w:val="21"/>
                <w14:textFill>
                  <w14:solidFill>
                    <w14:schemeClr w14:val="tx1"/>
                  </w14:solidFill>
                </w14:textFill>
              </w:rPr>
              <w:t xml:space="preserve">  环境风险识别一览表</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3"/>
              <w:gridCol w:w="1151"/>
              <w:gridCol w:w="1164"/>
              <w:gridCol w:w="1734"/>
              <w:gridCol w:w="1324"/>
              <w:gridCol w:w="18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74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危险单元</w:t>
                  </w:r>
                </w:p>
              </w:tc>
              <w:tc>
                <w:tcPr>
                  <w:tcW w:w="6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风险源</w:t>
                  </w:r>
                </w:p>
              </w:tc>
              <w:tc>
                <w:tcPr>
                  <w:tcW w:w="68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主要危险物质</w:t>
                  </w:r>
                </w:p>
              </w:tc>
              <w:tc>
                <w:tcPr>
                  <w:tcW w:w="10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环境风险类型</w:t>
                  </w:r>
                </w:p>
              </w:tc>
              <w:tc>
                <w:tcPr>
                  <w:tcW w:w="782"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环境影响</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途径</w:t>
                  </w:r>
                </w:p>
              </w:tc>
              <w:tc>
                <w:tcPr>
                  <w:tcW w:w="1081"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45"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暂存间</w:t>
                  </w:r>
                </w:p>
              </w:tc>
              <w:tc>
                <w:tcPr>
                  <w:tcW w:w="679"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暂存间</w:t>
                  </w:r>
                </w:p>
              </w:tc>
              <w:tc>
                <w:tcPr>
                  <w:tcW w:w="687"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w:t>
                  </w:r>
                </w:p>
              </w:tc>
              <w:tc>
                <w:tcPr>
                  <w:tcW w:w="102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泄漏引发的次生污染</w:t>
                  </w:r>
                </w:p>
              </w:tc>
              <w:tc>
                <w:tcPr>
                  <w:tcW w:w="782"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地下水、大气、土壤</w:t>
                  </w:r>
                </w:p>
              </w:tc>
              <w:tc>
                <w:tcPr>
                  <w:tcW w:w="1081"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项目区及周边</w:t>
                  </w:r>
                </w:p>
              </w:tc>
            </w:tr>
          </w:tbl>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7.4 环境风险分析</w:t>
            </w:r>
          </w:p>
          <w:p>
            <w:pPr>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表4-2</w:t>
            </w: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 xml:space="preserve"> 本项目环境风险一览表</w:t>
            </w:r>
          </w:p>
          <w:tbl>
            <w:tblPr>
              <w:tblStyle w:val="30"/>
              <w:tblW w:w="836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8"/>
              <w:gridCol w:w="612"/>
              <w:gridCol w:w="880"/>
              <w:gridCol w:w="1385"/>
              <w:gridCol w:w="1630"/>
              <w:gridCol w:w="34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418"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492" w:type="dxa"/>
                  <w:gridSpan w:val="2"/>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风险源</w:t>
                  </w:r>
                </w:p>
              </w:tc>
              <w:tc>
                <w:tcPr>
                  <w:tcW w:w="1385"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风险类型</w:t>
                  </w:r>
                </w:p>
              </w:tc>
              <w:tc>
                <w:tcPr>
                  <w:tcW w:w="1630"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主要污染途径</w:t>
                  </w:r>
                </w:p>
              </w:tc>
              <w:tc>
                <w:tcPr>
                  <w:tcW w:w="3436"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可能造成的危害后果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35" w:hRule="atLeast"/>
                <w:jc w:val="center"/>
              </w:trPr>
              <w:tc>
                <w:tcPr>
                  <w:tcW w:w="418"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612" w:type="dxa"/>
                  <w:vMerge w:val="restar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危废暂存间</w:t>
                  </w:r>
                </w:p>
              </w:tc>
              <w:tc>
                <w:tcPr>
                  <w:tcW w:w="880" w:type="dxa"/>
                  <w:vMerge w:val="restart"/>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w:t>
                  </w:r>
                </w:p>
              </w:tc>
              <w:tc>
                <w:tcPr>
                  <w:tcW w:w="1385"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废机油发生火灾、爆炸引发伴生/次生污染物排放</w:t>
                  </w:r>
                </w:p>
              </w:tc>
              <w:tc>
                <w:tcPr>
                  <w:tcW w:w="1630"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废机油泄漏→发生火灾爆炸→燃烧形成的伴生/次生污染物随风速和风向扩散到大气环境；</w:t>
                  </w:r>
                </w:p>
              </w:tc>
              <w:tc>
                <w:tcPr>
                  <w:tcW w:w="3436"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发生火灾、爆炸事件时会产生大量的NOx、CO 等可能引发伴生/次生污染的物质，造成厂区周边大气环境明显污染及人员伤亡；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2" w:hRule="atLeast"/>
                <w:jc w:val="center"/>
              </w:trPr>
              <w:tc>
                <w:tcPr>
                  <w:tcW w:w="418"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612" w:type="dxa"/>
                  <w:vMerge w:val="continue"/>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80" w:type="dxa"/>
                  <w:vMerge w:val="continue"/>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385"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w:t>
                  </w:r>
                </w:p>
              </w:tc>
              <w:tc>
                <w:tcPr>
                  <w:tcW w:w="1630"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废机油/消防水→随地表径流进入地表水体→通过破损的地面等下渗经包气带进入浅层地下水造成污染</w:t>
                  </w:r>
                </w:p>
              </w:tc>
              <w:tc>
                <w:tcPr>
                  <w:tcW w:w="3436" w:type="dxa"/>
                  <w:tcBorders>
                    <w:tl2br w:val="nil"/>
                    <w:tr2bl w:val="nil"/>
                  </w:tcBorders>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①一般情况下，废机油泄漏产生的泄漏液和火灾产生的消防废水可能流入到地表水环境中对地表水体造成污染，进而通过破损的地面等下渗经包气带进入浅层地下水造成污染；②暴雨等异常天气下，泄漏液、消防废水和被污染的雨水等导致产生更多的污染水可能流入到地表水环境对地表水体造成污染，进而通过破损的地面等下渗经包气带进入浅层地下水造成污染。</w:t>
                  </w:r>
                </w:p>
              </w:tc>
            </w:tr>
          </w:tbl>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7.5环境风险防范措施及应急要求</w:t>
            </w:r>
          </w:p>
          <w:p>
            <w:pPr>
              <w:widowControl/>
              <w:tabs>
                <w:tab w:val="left" w:pos="334"/>
              </w:tabs>
              <w:ind w:firstLine="0" w:firstLineChars="0"/>
              <w:jc w:val="left"/>
              <w:rPr>
                <w:b/>
                <w:bCs/>
                <w:color w:val="000000" w:themeColor="text1"/>
                <w14:textFill>
                  <w14:solidFill>
                    <w14:schemeClr w14:val="tx1"/>
                  </w14:solidFill>
                </w14:textFill>
              </w:rPr>
            </w:pPr>
            <w:r>
              <w:rPr>
                <w:b/>
                <w:bCs/>
                <w:color w:val="000000" w:themeColor="text1"/>
                <w:kern w:val="0"/>
                <w:lang w:bidi="ar"/>
                <w14:textFill>
                  <w14:solidFill>
                    <w14:schemeClr w14:val="tx1"/>
                  </w14:solidFill>
                </w14:textFill>
              </w:rPr>
              <w:t>7.5.1 环境风险事故防范措施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本项目风险物质为废机油泄漏和火灾，根据实际情况，评价提出以下风险防范措施。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（1）废机油泄漏风险防范措施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1）废油所在危废暂存间地面须采取硬化防渗、防腐措施，各类危险化学品应分类贮存并张贴相应的危化品标识，健全库管制度，建立进出库台账记录；</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2）在贮存期内，定期检查，发现其品质变化、包装破损、渗漏等应及时处理；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3）危废暂存间应配备有相应的足量应急物资、消防设施等，如防毒面具、喷淋设施、砂土等，并配备经过培训的应急人员。</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对区域内容易引发重大突发环境事件的环境危险源、危险区域进行调查、登记、风险评估，对环境危险源、危险区域定期组织（每月不得少于一次）进行检查、监控，并采取安全防范措施，对突发环境事件进行预防，公司设置专人每天进行巡检，定期对各环保设施进行巡查，一旦发现破损，及时检修。</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5）危险废物应严格按照《危险废物贮存污染控制标准》及其修改单进行储存，危险废物分类分区在危废贮存间暂存，交由有危险废物处置资质的单位定期进行回收处理。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6）危险废物暂存间要防风、防雨、防晒、防渗，不得堆放在露天场地，避免遭受雨淋水浸；不得存放在阳光直接照射、高温及潮湿的地方。</w:t>
            </w:r>
          </w:p>
          <w:p>
            <w:pPr>
              <w:autoSpaceDE w:val="0"/>
              <w:autoSpaceDN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7）危废暂存间应做地面防渗处理，防渗层为至少1m厚粘土层（渗透系数≤10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cm/s），或至少2mm厚的其它人工材料，渗透系数≤10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8）危险废物暂存间应设专人管理，管理人员须具备相关方面的专业知识，并定期组织应急演练，了解消防、环保常识。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9）存放至危险废物暂存间的危险废物需进行登记，严格填写危险废物贮存台账，注明名称、来源、数量、特性和包装容器的类别、入库日期、存放库位、废物出库日期及接收单位名称，危险废物处置建立健全转移联单制度。</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（2）火灾防范措施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在运营期使用的机械设备都是利用电能，如果管理维护不当发生线路老化、短路等现象，可导致粉尘爆炸。因此本项目在运营期间，应加强对生产运营设备的维护管理，保证通风设备以及除尘设施的正常运行，定期进行检修，同时加强员工的管理以及风险防范意识，通过设置短路保护电路等措施，及时发现设备及线路中存在的问题，消除隐患，并配备相应的消防器材和应急设备。</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（3）污染物事故性排放防范措施</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加强生产区域的管理，加强环保设施的运营维护与保养，提高员工的风险防范意识，定期组织员工进行演练，提高员工的实际操作技能。</w:t>
            </w:r>
          </w:p>
          <w:p>
            <w:pPr>
              <w:widowControl/>
              <w:ind w:firstLine="0" w:firstLineChars="0"/>
              <w:jc w:val="left"/>
              <w:rPr>
                <w:b/>
                <w:bCs/>
                <w:color w:val="000000" w:themeColor="text1"/>
                <w14:textFill>
                  <w14:solidFill>
                    <w14:schemeClr w14:val="tx1"/>
                  </w14:solidFill>
                </w14:textFill>
              </w:rPr>
            </w:pPr>
            <w:r>
              <w:rPr>
                <w:b/>
                <w:bCs/>
                <w:color w:val="000000" w:themeColor="text1"/>
                <w:kern w:val="0"/>
                <w:lang w:bidi="ar"/>
                <w14:textFill>
                  <w14:solidFill>
                    <w14:schemeClr w14:val="tx1"/>
                  </w14:solidFill>
                </w14:textFill>
              </w:rPr>
              <w:t>7.5.2 环境风险管理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（1）树立环境风险意识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该项目客观上存在着一定的不安全因素，对周围环境存在着潜在的威胁。发生环境安全事故后，对周围环境有难以弥补的损害，所以在贯彻“安全第一，预防为主”的方针同时，应树立环境风险意识，强化环境风险责任，体现出环境保护的内容。</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（2）实行全面环境安全管理制度</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在生产过程中有可能发生各种事故，事故发生后均会对环境造成不同程度的污染，因此应该针对该项目开展全面、全员、全过程的系数安全管理，把环境安全工作的重点放在消除系统的潜在危险上，并从整体和全局上促进该项目各个环节的环境安全运作，并建立监察、管理、检测、信息系统和科学决策体系，实行环境安全目标管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（3）加强资料的日常记录与管理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加强对生产过程中的各项操作参数等资料的日常记录及管理，及时发现问题并采取减缓危害的措施。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（4）应对措施</w:t>
            </w:r>
          </w:p>
          <w:p>
            <w:pPr>
              <w:ind w:firstLine="48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采取必要的事故应急措施</w:t>
            </w:r>
            <w:r>
              <w:rPr>
                <w:rFonts w:hint="eastAsia"/>
                <w:color w:val="000000" w:themeColor="text1"/>
                <w:lang w:eastAsia="zh-CN"/>
                <w14:textFill>
                  <w14:solidFill>
                    <w14:schemeClr w14:val="tx1"/>
                  </w14:solidFill>
                </w14:textFill>
              </w:rPr>
              <w:t>。</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7.5.3 应急预案</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事故应急预案是在发生事故后，按照预先制订的方案采取的一系列的措施，将事故的损失降低到最小程度。本工程应急预案重点如下：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A、必须制定应急计划、方案和程序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为了使突发事故发生后能有条不紊的处理事故，在工程投产之前就应制定好事故应急计划和方案，以备在发生事故后有备无患。</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B、成立重大事故应急救援小组</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成立由厂长、分管厂长及生产、安全、环保、保卫等部门组成的重大事故应急救援小组，一旦发生事故，救援小组便及时例行其相应的职责，处理事故。</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C、事故发生后应采取紧急隔离和疏散措施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一旦发生突发事故，应及时发出警报，并在救援小组的领导下，紧急隔离危险物品，切断电源，疏散人群，抢救受害人员。</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7.6 分析结论</w:t>
            </w:r>
          </w:p>
          <w:p>
            <w:pPr>
              <w:ind w:firstLine="480"/>
              <w:rPr>
                <w:b/>
                <w:color w:val="000000" w:themeColor="text1"/>
                <w:sz w:val="21"/>
                <w:szCs w:val="21"/>
                <w14:textFill>
                  <w14:solidFill>
                    <w14:schemeClr w14:val="tx1"/>
                  </w14:solidFill>
                </w14:textFill>
              </w:rPr>
            </w:pPr>
            <w:r>
              <w:rPr>
                <w:color w:val="000000" w:themeColor="text1"/>
                <w14:textFill>
                  <w14:solidFill>
                    <w14:schemeClr w14:val="tx1"/>
                  </w14:solidFill>
                </w14:textFill>
              </w:rPr>
              <w:t>建设单位须进一步加强风险管理，严格风险管理机制，落实本评价提出的环境风险防范措施和应急措施，并应经常或定期开展应急救援培训和演练，一旦发生事故，能够及时启动应急预案，将风险事故的影响降到较低水平。在此基础上，本项目环境风险可接受。</w:t>
            </w:r>
          </w:p>
          <w:p>
            <w:pPr>
              <w:tabs>
                <w:tab w:val="left" w:pos="438"/>
              </w:tabs>
              <w:spacing w:line="240" w:lineRule="auto"/>
              <w:ind w:firstLine="0" w:firstLineChars="0"/>
              <w:jc w:val="center"/>
              <w:rPr>
                <w:color w:val="000000" w:themeColor="text1"/>
                <w14:textFill>
                  <w14:solidFill>
                    <w14:schemeClr w14:val="tx1"/>
                  </w14:solidFill>
                </w14:textFill>
              </w:rPr>
            </w:pPr>
            <w:r>
              <w:rPr>
                <w:b/>
                <w:color w:val="000000" w:themeColor="text1"/>
                <w:sz w:val="21"/>
                <w:szCs w:val="21"/>
                <w14:textFill>
                  <w14:solidFill>
                    <w14:schemeClr w14:val="tx1"/>
                  </w14:solidFill>
                </w14:textFill>
              </w:rPr>
              <w:t xml:space="preserve"> 表4-2</w:t>
            </w:r>
            <w:r>
              <w:rPr>
                <w:rFonts w:hint="eastAsia"/>
                <w:b/>
                <w:color w:val="000000" w:themeColor="text1"/>
                <w:sz w:val="21"/>
                <w:szCs w:val="21"/>
                <w:lang w:val="en-US" w:eastAsia="zh-CN"/>
                <w14:textFill>
                  <w14:solidFill>
                    <w14:schemeClr w14:val="tx1"/>
                  </w14:solidFill>
                </w14:textFill>
              </w:rPr>
              <w:t>2</w:t>
            </w:r>
            <w:r>
              <w:rPr>
                <w:b/>
                <w:color w:val="000000" w:themeColor="text1"/>
                <w:sz w:val="21"/>
                <w:szCs w:val="21"/>
                <w14:textFill>
                  <w14:solidFill>
                    <w14:schemeClr w14:val="tx1"/>
                  </w14:solidFill>
                </w14:textFill>
              </w:rPr>
              <w:t xml:space="preserve">    建设项目环境风险简单分析内容表</w:t>
            </w:r>
          </w:p>
          <w:tbl>
            <w:tblPr>
              <w:tblStyle w:val="31"/>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914"/>
              <w:gridCol w:w="1520"/>
              <w:gridCol w:w="1144"/>
              <w:gridCol w:w="23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建设项目名称</w:t>
                  </w:r>
                </w:p>
              </w:tc>
              <w:tc>
                <w:tcPr>
                  <w:tcW w:w="4099" w:type="pct"/>
                  <w:gridSpan w:val="4"/>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克拉玛依西建建材有限责任公司新建混凝土生产线项目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建设地点</w:t>
                  </w:r>
                </w:p>
              </w:tc>
              <w:tc>
                <w:tcPr>
                  <w:tcW w:w="113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新疆生产建设兵团</w:t>
                  </w:r>
                </w:p>
              </w:tc>
              <w:tc>
                <w:tcPr>
                  <w:tcW w:w="898"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第七师</w:t>
                  </w:r>
                </w:p>
              </w:tc>
              <w:tc>
                <w:tcPr>
                  <w:tcW w:w="67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胡杨河市</w:t>
                  </w:r>
                </w:p>
              </w:tc>
              <w:tc>
                <w:tcPr>
                  <w:tcW w:w="139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经济技术开发区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地理坐标</w:t>
                  </w:r>
                </w:p>
              </w:tc>
              <w:tc>
                <w:tcPr>
                  <w:tcW w:w="113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经度</w:t>
                  </w:r>
                </w:p>
              </w:tc>
              <w:tc>
                <w:tcPr>
                  <w:tcW w:w="898"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84°51′27.482″</w:t>
                  </w:r>
                </w:p>
              </w:tc>
              <w:tc>
                <w:tcPr>
                  <w:tcW w:w="676"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纬度</w:t>
                  </w:r>
                </w:p>
              </w:tc>
              <w:tc>
                <w:tcPr>
                  <w:tcW w:w="1394"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44°49′28.270″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主要危险物质及分布</w:t>
                  </w:r>
                </w:p>
              </w:tc>
              <w:tc>
                <w:tcPr>
                  <w:tcW w:w="6941" w:type="dxa"/>
                  <w:gridSpan w:val="4"/>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主要危险物质：废机油</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分布：生产设备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环境影响途径及危害后果</w:t>
                  </w:r>
                </w:p>
              </w:tc>
              <w:tc>
                <w:tcPr>
                  <w:tcW w:w="6941" w:type="dxa"/>
                  <w:gridSpan w:val="4"/>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一旦废机油泄漏、火灾引发的次生污染，将会给附近地下水、大气、土壤带来一定污染，短时间难以得到修复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风险防范措施要求</w:t>
                  </w:r>
                </w:p>
              </w:tc>
              <w:tc>
                <w:tcPr>
                  <w:tcW w:w="6941" w:type="dxa"/>
                  <w:gridSpan w:val="4"/>
                  <w:tcBorders>
                    <w:tl2br w:val="nil"/>
                    <w:tr2bl w:val="nil"/>
                  </w:tcBorders>
                  <w:vAlign w:val="center"/>
                </w:tcPr>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（1）废机油泄漏风险防范措施</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1）废油所在危废暂存间地面须采取硬化防渗、防腐措施，并张贴相应标识，健全库管制度，建立进出库台账记录；</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2）在贮存期内，定期检查，发现其包装破损、渗漏等应及时处理；</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3）危废暂存间应配备有相应的足量应急物资、消防设施等，如防毒面具、喷淋设施、砂土等，并配备经过培训的应急人员。</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对区域内容易引发重大突发环境事件的环境危险源、危险区域进行调查、登记、风险评估，对环境危险源、危险区域定期组织（每月不得少于一次）进行检查、监控，并采取安全防范措施，对突发环境事件进行预防，公司设置专人每天进行巡检，定期对各环保设施进行巡查，一旦发现破损，及时检修。</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5）危险废物应严格按照《危险废物贮存控制标准》进行储存，危险废物分类分区在危废贮存间暂存，交由有危险废物处置资质的单位定期进行回收处理。</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6）危险废物暂存间要防风、防雨、防晒、防渗，不得堆放在露天场地，避免遭受雨淋水浸；不得存放在阳光直接照射、高温及潮湿的地方；</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7）危废暂存间应做地面防渗处理，防渗层为至少1m厚粘土层（渗透系数≤10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cm/s），或至少2mm厚的其它人工材料，渗透系数≤10</w:t>
                  </w:r>
                  <w:r>
                    <w:rPr>
                      <w:color w:val="000000" w:themeColor="text1"/>
                      <w:sz w:val="21"/>
                      <w:szCs w:val="21"/>
                      <w:vertAlign w:val="superscript"/>
                      <w14:textFill>
                        <w14:solidFill>
                          <w14:schemeClr w14:val="tx1"/>
                        </w14:solidFill>
                      </w14:textFill>
                    </w:rPr>
                    <w:t>-10</w:t>
                  </w:r>
                  <w:r>
                    <w:rPr>
                      <w:color w:val="000000" w:themeColor="text1"/>
                      <w:sz w:val="21"/>
                      <w:szCs w:val="21"/>
                      <w14:textFill>
                        <w14:solidFill>
                          <w14:schemeClr w14:val="tx1"/>
                        </w14:solidFill>
                      </w14:textFill>
                    </w:rPr>
                    <w:t>cm/s。</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8）危险废物暂存间应设专人管理，管理人员须具备相关方面的专业知识，并定期组织应急演练，了解消防、环保常识。</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存放至危险废物暂存间的危险废物需进行登记，严格填写危险废物贮存台账，注明名称、来源、数量、特性和包装容器的类别、入库日期、存放库位、废物出库日期及接收单位名称，危险废物处置建立健全转移联单制度。</w:t>
                  </w:r>
                </w:p>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（2）火灾防范措施</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在运营期使用的机械设备都是利用电能，如果管理维护不当发生线路老化、短路等现象。因此本项目在运营期间，应加强对生产运营设备的维护管理，保证通风设备以及除尘设施的正常运行，定期进行检修，同时加强员工的管理以及风险防范意识，通过设置短路保护电路等措施，及时发现设备及线路中存在的问题，消除隐患，并配备相应的消防器材和应急设备。</w:t>
                  </w:r>
                </w:p>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（3）污染物事故性排放防范措施</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加强生产区域的管理，加强环保设施的运营维护与保养，提高员工的风险防范意识，定期组织员工进行演练，提高员工的实际操作技能。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pc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填表说明</w:t>
                  </w:r>
                </w:p>
              </w:tc>
              <w:tc>
                <w:tcPr>
                  <w:tcW w:w="6941" w:type="dxa"/>
                  <w:gridSpan w:val="4"/>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本项目主要是涉及到的危险物质泄露可能性小，所涉及工艺较成熟，危险性较低，环境敏感度较低。并且项目风险潜势为I，可开展简单分析。</w:t>
                  </w:r>
                </w:p>
              </w:tc>
            </w:tr>
          </w:tbl>
          <w:p>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因此，本项目严格采取上述措施以后，运营期间发生环境风险概率较小，所以本项目的事故风险水平是可以接受的。</w:t>
            </w:r>
            <w:bookmarkEnd w:id="2"/>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8、环境管理与监测计划</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8.1环境管理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（1）建立健全环保管理机构，可建立以总经理为组长的环保领导小组，并建立管理网络，具体负责项目的环保、安全生产管理工作；</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（2）制定环境管理和生产制度章程；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（3）负责开展日常的环境监测工作，统计整理有关环境监测资料，编制环境监测报表，按月整理成册，存档保存，并上报地方环保部门，若发现问题，及时采取措施，防止发生环境污染；</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（4）检查监督项目环保措施的运行、维修等管理情况；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（5）提高职工的环保意识，定期对员工进行技术培训，不断提高员工的环保管理水平；</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（6）在项目区进行绿化工作，加强绿化的日常管理，保证一定的成活率，有利于改善环境、净化空气；</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（7）在废气、污水、噪声、固废等排放处设规范化设计。</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8.2 环境治理措施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本项目卸料及运输过程中产生的无组织扬尘，通过洒水降尘进行防治，</w:t>
            </w:r>
            <w:r>
              <w:rPr>
                <w:color w:val="000000" w:themeColor="text1"/>
                <w:kern w:val="0"/>
                <w:szCs w:val="22"/>
                <w14:textFill>
                  <w14:solidFill>
                    <w14:schemeClr w14:val="tx1"/>
                  </w14:solidFill>
                </w14:textFill>
              </w:rPr>
              <w:t>堆存区采用洒水降尘、编织覆盖及半封闭式抑尘，</w:t>
            </w:r>
            <w:r>
              <w:rPr>
                <w:color w:val="000000" w:themeColor="text1"/>
                <w14:textFill>
                  <w14:solidFill>
                    <w14:schemeClr w14:val="tx1"/>
                  </w14:solidFill>
                </w14:textFill>
              </w:rPr>
              <w:t>筒仓设置</w:t>
            </w:r>
            <w:r>
              <w:rPr>
                <w:color w:val="000000" w:themeColor="text1"/>
                <w:kern w:val="0"/>
                <w:lang w:bidi="ar"/>
                <w14:textFill>
                  <w14:solidFill>
                    <w14:schemeClr w14:val="tx1"/>
                  </w14:solidFill>
                </w14:textFill>
              </w:rPr>
              <w:t>滤筒式</w:t>
            </w:r>
            <w:r>
              <w:rPr>
                <w:snapToGrid w:val="0"/>
                <w:color w:val="000000" w:themeColor="text1"/>
                <w14:textFill>
                  <w14:solidFill>
                    <w14:schemeClr w14:val="tx1"/>
                  </w14:solidFill>
                </w14:textFill>
              </w:rPr>
              <w:t>除尘器</w:t>
            </w:r>
            <w:r>
              <w:rPr>
                <w:color w:val="000000" w:themeColor="text1"/>
                <w14:textFill>
                  <w14:solidFill>
                    <w14:schemeClr w14:val="tx1"/>
                  </w14:solidFill>
                </w14:textFill>
              </w:rPr>
              <w:t>，搅拌系统采用袋式除尘器处理后排放，食堂油烟经油烟净化设施处理后排放。</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8.3环境监测计划</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根据有关监测技术规范，结合本项目的污染源及污染物排放特点，监测制度按国家有关规定执行；监测工作按《污染源监测技术规范》进行。</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环境监测机构及职责</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环境监测机构应是国家明文规定的有资质监测机构，按就近、就便的原则，对本项目进行环境监测的机构职责主要有：</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测试、收集环境状况基本资料；</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对环保设施运行状况进行监测；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整理、统计分析监测结果，上报环保局，归档管理。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（2）监测计划</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新建项目的监测计划应包括两部分：一为竣工验收监测，二为营运期的常规监测计划。</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竣工验收监测：项目运行后，建设单位应及时和上级环境行政主管部门取得联系，委托具有相关监测资质的单位组织竣工验收监测，经</w:t>
            </w:r>
            <w:r>
              <w:rPr>
                <w:rFonts w:hint="eastAsia"/>
                <w:color w:val="000000" w:themeColor="text1"/>
                <w:lang w:eastAsia="zh-CN"/>
                <w14:textFill>
                  <w14:solidFill>
                    <w14:schemeClr w14:val="tx1"/>
                  </w14:solidFill>
                </w14:textFill>
              </w:rPr>
              <w:t>自主验收合格后</w:t>
            </w:r>
            <w:r>
              <w:rPr>
                <w:color w:val="000000" w:themeColor="text1"/>
                <w14:textFill>
                  <w14:solidFill>
                    <w14:schemeClr w14:val="tx1"/>
                  </w14:solidFill>
                </w14:textFill>
              </w:rPr>
              <w:t>正常运营。</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营运期的常规监测主要是对建设项目污染源的监测和环境质量监测。结合本项目特点，环境质量监测主要为项目区大气、声环境的质量状况。</w:t>
            </w:r>
          </w:p>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9、排污许可和环境管理台账</w:t>
            </w:r>
          </w:p>
          <w:p>
            <w:pPr>
              <w:widowControl/>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9.1 排污口规范化管理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本项目应按《环境保护图形标志—排放口（源）》（GB15562.1-1995）规定的图形，在各气、水、声排污口（源）挂牌标识，做到各排污口（源）的环保标志明显，便于企业管理和公众监督。</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排污口应便于采样与计量监测，便于日常现场监督检查。排污口位置必须合理确定，按环监[1996]470号文件要求进行规范化管理。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污染物排放口的环保图形标志牌应设置在靠近采样点的醒目位置处，标志牌设置高度为其上缘距地面约2m。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pPr>
              <w:ind w:firstLine="0" w:firstLineChars="0"/>
              <w:rPr>
                <w:color w:val="000000" w:themeColor="text1"/>
                <w14:textFill>
                  <w14:solidFill>
                    <w14:schemeClr w14:val="tx1"/>
                  </w14:solidFill>
                </w14:textFill>
              </w:rPr>
            </w:pPr>
            <w:r>
              <w:rPr>
                <w:b/>
                <w:bCs/>
                <w:color w:val="000000" w:themeColor="text1"/>
                <w14:textFill>
                  <w14:solidFill>
                    <w14:schemeClr w14:val="tx1"/>
                  </w14:solidFill>
                </w14:textFill>
              </w:rPr>
              <w:t>9.2 环境管理台账记录要求</w:t>
            </w:r>
            <w:r>
              <w:rPr>
                <w:color w:val="000000" w:themeColor="text1"/>
                <w14:textFill>
                  <w14:solidFill>
                    <w14:schemeClr w14:val="tx1"/>
                  </w14:solidFill>
                </w14:textFill>
              </w:rPr>
              <w:t xml:space="preserve"> </w:t>
            </w:r>
          </w:p>
          <w:p>
            <w:pPr>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（1）一般原则 </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排污单位应建立环境管理台账记录制度，落实环境管理台账记录的责任部门和责任人，明确工作职责，包括台账的记录、整理、维护和管理等，并对台账记录结果的真实性、完整性和规范性负责。 环境管理台账分为电子台账和纸质台账两种形式。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（2）记录内容</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①污染治理设施运行管理信息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排污单位应记录废气及废水治理设施、固体废物产生及处理处置运行管理信息。</w:t>
            </w:r>
          </w:p>
          <w:p>
            <w:pPr>
              <w:numPr>
                <w:ilvl w:val="0"/>
                <w:numId w:val="3"/>
              </w:num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废气治理设施：应按照废气治理设施类别分别记录设施的实际运行相关 参数和维护记录，包括设施名称、编码、运行参数、运行状态等。 </w:t>
            </w:r>
          </w:p>
          <w:p>
            <w:pPr>
              <w:numPr>
                <w:ilvl w:val="0"/>
                <w:numId w:val="3"/>
              </w:numPr>
              <w:ind w:firstLine="480"/>
              <w:rPr>
                <w:color w:val="000000" w:themeColor="text1"/>
                <w14:textFill>
                  <w14:solidFill>
                    <w14:schemeClr w14:val="tx1"/>
                  </w14:solidFill>
                </w14:textFill>
              </w:rPr>
            </w:pPr>
            <w:r>
              <w:rPr>
                <w:color w:val="000000" w:themeColor="text1"/>
                <w14:textFill>
                  <w14:solidFill>
                    <w14:schemeClr w14:val="tx1"/>
                  </w14:solidFill>
                </w14:textFill>
              </w:rPr>
              <w:t>废水处理设施：包括设施名称、编码、主要参数、废水产生情况、废水排放情况、药剂名称及使用量、投加时间、运行状态等。</w:t>
            </w:r>
          </w:p>
          <w:p>
            <w:pPr>
              <w:numPr>
                <w:ilvl w:val="0"/>
                <w:numId w:val="3"/>
              </w:num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固体废物产生及处理处置：记录固体废物名称、类别、产生及预处理情况、综合利用量、处理处置量等。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异常情况说明包括：事件原因、是否报告、应对措施等。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②监测记录信息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排污单位应建立污染治理设施运行管理监测记录，记录、台账的形式和质量控制参照HJ/T 373、HJ 819 等相关要求执行。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监测记录包括有组织废气污染物监测、无组织废气污染物监测、废水污染物监测。监测记录信息应包括采样时间、监测时间、监测结果、监测期间工况、若有超标记录超标原因。有监测报告的可只记录监测期间工况及超标排放的超标原因。</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（3）记录频次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①污染治理设施运行管理信息</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a）正常情况：污染治理设施运行状况，按照污染治理设施管理单位班制记录，每班记录1次。</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b）异常情况：按照异常情况期记录，1 次/异常情况期。</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②监测记录信息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监测数据的记录频次与本标准规定的废气、废水监测频次一致。 </w:t>
            </w:r>
          </w:p>
          <w:p>
            <w:pPr>
              <w:ind w:left="48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（4）记录存储及保存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①纸质存储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应将纸质台账存放于保护袋、卷夹或保护盒等保存介质中；由专人签字、定点保存；应采取防光、防热、防潮、防细菌及防污染等措施；如有破损应及时修补，并留存备查。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②电子化存储 </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应存放于电子存储介质中，并进行数据备份；可在排污许可管理信息平台填报并保存；由专人定期维护管理。 </w:t>
            </w:r>
          </w:p>
          <w:p>
            <w:pPr>
              <w:adjustRightInd w:val="0"/>
              <w:snapToGrid w:val="0"/>
              <w:ind w:firstLine="0" w:firstLineChars="0"/>
              <w:rPr>
                <w:color w:val="000000" w:themeColor="text1"/>
                <w14:textFill>
                  <w14:solidFill>
                    <w14:schemeClr w14:val="tx1"/>
                  </w14:solidFill>
                </w14:textFill>
              </w:rPr>
            </w:pPr>
            <w:r>
              <w:rPr>
                <w:b/>
                <w:bCs/>
                <w:color w:val="000000" w:themeColor="text1"/>
                <w:kern w:val="0"/>
                <w14:textFill>
                  <w14:solidFill>
                    <w14:schemeClr w14:val="tx1"/>
                  </w14:solidFill>
                </w14:textFill>
              </w:rPr>
              <w:t>10、环保投资情况</w:t>
            </w:r>
          </w:p>
          <w:p>
            <w:pPr>
              <w:spacing w:line="462"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本项目总投资约860万元，工程用于环保的投资估算约57万元，占项目工程总投资的6.63%，各环保设施组成及投资估算详见表4-2</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p>
          <w:p>
            <w:pPr>
              <w:tabs>
                <w:tab w:val="left" w:pos="438"/>
              </w:tabs>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表4-2</w:t>
            </w:r>
            <w:r>
              <w:rPr>
                <w:rFonts w:hint="eastAsia"/>
                <w:b/>
                <w:color w:val="000000" w:themeColor="text1"/>
                <w:sz w:val="21"/>
                <w:szCs w:val="21"/>
                <w:lang w:val="en-US" w:eastAsia="zh-CN"/>
                <w14:textFill>
                  <w14:solidFill>
                    <w14:schemeClr w14:val="tx1"/>
                  </w14:solidFill>
                </w14:textFill>
              </w:rPr>
              <w:t>3</w:t>
            </w:r>
            <w:r>
              <w:rPr>
                <w:b/>
                <w:color w:val="000000" w:themeColor="text1"/>
                <w:sz w:val="21"/>
                <w:szCs w:val="21"/>
                <w14:textFill>
                  <w14:solidFill>
                    <w14:schemeClr w14:val="tx1"/>
                  </w14:solidFill>
                </w14:textFill>
              </w:rPr>
              <w:t xml:space="preserve">    环保投资一览表</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621"/>
              <w:gridCol w:w="4263"/>
              <w:gridCol w:w="1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23" w:type="pct"/>
                  <w:gridSpan w:val="2"/>
                  <w:tcBorders>
                    <w:bottom w:val="single" w:color="auto" w:sz="12" w:space="0"/>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p>
              </w:tc>
              <w:tc>
                <w:tcPr>
                  <w:tcW w:w="2517" w:type="pct"/>
                  <w:tcBorders>
                    <w:bottom w:val="single" w:color="auto" w:sz="12" w:space="0"/>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治理措施</w:t>
                  </w:r>
                </w:p>
              </w:tc>
              <w:tc>
                <w:tcPr>
                  <w:tcW w:w="1059" w:type="pct"/>
                  <w:tcBorders>
                    <w:bottom w:val="single" w:color="auto" w:sz="12" w:space="0"/>
                  </w:tcBorders>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restar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生产区</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洒水降尘，筒仓设置滤筒式除尘器，搅拌系统采用袋式除尘器，堆场覆盖防风抑尘网等</w:t>
                  </w:r>
                </w:p>
              </w:tc>
              <w:tc>
                <w:tcPr>
                  <w:tcW w:w="105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continue"/>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食堂</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油烟净化设施</w:t>
                  </w:r>
                </w:p>
              </w:tc>
              <w:tc>
                <w:tcPr>
                  <w:tcW w:w="105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restar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隔油池</w:t>
                  </w:r>
                </w:p>
              </w:tc>
              <w:tc>
                <w:tcPr>
                  <w:tcW w:w="105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continue"/>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生产废水</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沉淀池</w:t>
                  </w:r>
                </w:p>
              </w:tc>
              <w:tc>
                <w:tcPr>
                  <w:tcW w:w="1059" w:type="pct"/>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restar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生活垃圾箱，定期清运</w:t>
                  </w:r>
                </w:p>
              </w:tc>
              <w:tc>
                <w:tcPr>
                  <w:tcW w:w="105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continue"/>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957" w:type="pct"/>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一般固体废物</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一般固废暂存间</w:t>
                  </w:r>
                </w:p>
              </w:tc>
              <w:tc>
                <w:tcPr>
                  <w:tcW w:w="1059" w:type="pct"/>
                  <w:vAlign w:val="center"/>
                </w:tcPr>
                <w:p>
                  <w:pPr>
                    <w:spacing w:line="240" w:lineRule="auto"/>
                    <w:ind w:firstLine="0" w:firstLineChars="0"/>
                    <w:jc w:val="center"/>
                    <w:textAlignment w:val="baseline"/>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Merge w:val="continue"/>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危废暂存间</w:t>
                  </w:r>
                </w:p>
              </w:tc>
              <w:tc>
                <w:tcPr>
                  <w:tcW w:w="105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设备噪声</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设备基础减振，加强设备维护保养</w:t>
                  </w:r>
                </w:p>
              </w:tc>
              <w:tc>
                <w:tcPr>
                  <w:tcW w:w="1059"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w:t>
                  </w: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w:t>
                  </w:r>
                </w:p>
              </w:tc>
              <w:tc>
                <w:tcPr>
                  <w:tcW w:w="251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地面硬化、防渗、绿化</w:t>
                  </w:r>
                </w:p>
              </w:tc>
              <w:tc>
                <w:tcPr>
                  <w:tcW w:w="1059" w:type="pct"/>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66" w:type="pct"/>
                  <w:vAlign w:val="center"/>
                </w:tcPr>
                <w:p>
                  <w:pPr>
                    <w:spacing w:line="240" w:lineRule="auto"/>
                    <w:ind w:firstLine="0" w:firstLineChars="0"/>
                    <w:jc w:val="center"/>
                    <w:textAlignment w:val="baseline"/>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环境管理</w:t>
                  </w:r>
                </w:p>
              </w:tc>
              <w:tc>
                <w:tcPr>
                  <w:tcW w:w="957" w:type="pc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环境管理</w:t>
                  </w:r>
                </w:p>
              </w:tc>
              <w:tc>
                <w:tcPr>
                  <w:tcW w:w="2517" w:type="pct"/>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环评、验收、排污许可等</w:t>
                  </w:r>
                </w:p>
              </w:tc>
              <w:tc>
                <w:tcPr>
                  <w:tcW w:w="1059" w:type="pct"/>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940" w:type="pct"/>
                  <w:gridSpan w:val="3"/>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1059" w:type="pct"/>
                  <w:vAlign w:val="center"/>
                </w:tcPr>
                <w:p>
                  <w:pPr>
                    <w:spacing w:line="240" w:lineRule="auto"/>
                    <w:ind w:firstLine="0" w:firstLineChars="0"/>
                    <w:jc w:val="center"/>
                    <w:textAlignment w:val="baseline"/>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57</w:t>
                  </w:r>
                  <w:r>
                    <w:rPr>
                      <w:rFonts w:hint="eastAsia"/>
                      <w:color w:val="000000" w:themeColor="text1"/>
                      <w:sz w:val="21"/>
                      <w:szCs w:val="21"/>
                      <w:lang w:val="en-US" w:eastAsia="zh-CN"/>
                      <w14:textFill>
                        <w14:solidFill>
                          <w14:schemeClr w14:val="tx1"/>
                        </w14:solidFill>
                      </w14:textFill>
                    </w:rPr>
                    <w:t>.5</w:t>
                  </w:r>
                </w:p>
              </w:tc>
            </w:tr>
          </w:tbl>
          <w:p>
            <w:pPr>
              <w:ind w:firstLine="0" w:firstLineChars="0"/>
              <w:rPr>
                <w:color w:val="000000" w:themeColor="text1"/>
                <w14:textFill>
                  <w14:solidFill>
                    <w14:schemeClr w14:val="tx1"/>
                  </w14:solidFill>
                </w14:textFill>
              </w:rPr>
            </w:pPr>
          </w:p>
          <w:p>
            <w:pPr>
              <w:pStyle w:val="14"/>
              <w:ind w:left="480"/>
              <w:rPr>
                <w:color w:val="000000" w:themeColor="text1"/>
                <w14:textFill>
                  <w14:solidFill>
                    <w14:schemeClr w14:val="tx1"/>
                  </w14:solidFill>
                </w14:textFill>
              </w:rPr>
            </w:pPr>
          </w:p>
          <w:p>
            <w:pPr>
              <w:pStyle w:val="14"/>
              <w:ind w:left="480"/>
              <w:rPr>
                <w:color w:val="000000" w:themeColor="text1"/>
                <w14:textFill>
                  <w14:solidFill>
                    <w14:schemeClr w14:val="tx1"/>
                  </w14:solidFill>
                </w14:textFill>
              </w:rPr>
            </w:pPr>
          </w:p>
          <w:p>
            <w:pPr>
              <w:pStyle w:val="15"/>
              <w:ind w:firstLine="210"/>
              <w:rPr>
                <w:color w:val="000000" w:themeColor="text1"/>
                <w14:textFill>
                  <w14:solidFill>
                    <w14:schemeClr w14:val="tx1"/>
                  </w14:solidFill>
                </w14:textFill>
              </w:rPr>
            </w:pPr>
          </w:p>
          <w:p>
            <w:pPr>
              <w:pStyle w:val="13"/>
              <w:ind w:left="480" w:firstLine="480"/>
              <w:rPr>
                <w:color w:val="000000" w:themeColor="text1"/>
                <w14:textFill>
                  <w14:solidFill>
                    <w14:schemeClr w14:val="tx1"/>
                  </w14:solidFill>
                </w14:textFill>
              </w:rPr>
            </w:pPr>
          </w:p>
          <w:p>
            <w:pPr>
              <w:pStyle w:val="14"/>
              <w:ind w:left="480"/>
              <w:rPr>
                <w:color w:val="000000" w:themeColor="text1"/>
                <w14:textFill>
                  <w14:solidFill>
                    <w14:schemeClr w14:val="tx1"/>
                  </w14:solidFill>
                </w14:textFill>
              </w:rPr>
            </w:pPr>
          </w:p>
          <w:p>
            <w:pPr>
              <w:pStyle w:val="15"/>
              <w:ind w:firstLine="210"/>
              <w:rPr>
                <w:color w:val="000000" w:themeColor="text1"/>
                <w14:textFill>
                  <w14:solidFill>
                    <w14:schemeClr w14:val="tx1"/>
                  </w14:solidFill>
                </w14:textFill>
              </w:rPr>
            </w:pPr>
          </w:p>
          <w:p>
            <w:pPr>
              <w:pStyle w:val="13"/>
              <w:ind w:left="480" w:firstLine="480"/>
              <w:rPr>
                <w:color w:val="000000" w:themeColor="text1"/>
                <w14:textFill>
                  <w14:solidFill>
                    <w14:schemeClr w14:val="tx1"/>
                  </w14:solidFill>
                </w14:textFill>
              </w:rPr>
            </w:pPr>
          </w:p>
          <w:p>
            <w:pPr>
              <w:pStyle w:val="14"/>
              <w:ind w:left="480"/>
              <w:rPr>
                <w:color w:val="000000" w:themeColor="text1"/>
                <w14:textFill>
                  <w14:solidFill>
                    <w14:schemeClr w14:val="tx1"/>
                  </w14:solidFill>
                </w14:textFill>
              </w:rPr>
            </w:pPr>
          </w:p>
          <w:p>
            <w:pPr>
              <w:pStyle w:val="15"/>
              <w:ind w:firstLine="210"/>
              <w:rPr>
                <w:color w:val="000000" w:themeColor="text1"/>
                <w14:textFill>
                  <w14:solidFill>
                    <w14:schemeClr w14:val="tx1"/>
                  </w14:solidFill>
                </w14:textFill>
              </w:rPr>
            </w:pPr>
          </w:p>
          <w:p>
            <w:pPr>
              <w:pStyle w:val="13"/>
              <w:ind w:left="480" w:firstLine="480"/>
              <w:rPr>
                <w:color w:val="000000" w:themeColor="text1"/>
                <w14:textFill>
                  <w14:solidFill>
                    <w14:schemeClr w14:val="tx1"/>
                  </w14:solidFill>
                </w14:textFill>
              </w:rPr>
            </w:pPr>
          </w:p>
          <w:p>
            <w:pPr>
              <w:pStyle w:val="14"/>
              <w:ind w:left="480"/>
              <w:rPr>
                <w:color w:val="000000" w:themeColor="text1"/>
                <w14:textFill>
                  <w14:solidFill>
                    <w14:schemeClr w14:val="tx1"/>
                  </w14:solidFill>
                </w14:textFill>
              </w:rPr>
            </w:pPr>
          </w:p>
          <w:p>
            <w:pPr>
              <w:pStyle w:val="15"/>
              <w:ind w:left="0" w:firstLine="0" w:firstLineChars="0"/>
              <w:rPr>
                <w:color w:val="000000" w:themeColor="text1"/>
                <w14:textFill>
                  <w14:solidFill>
                    <w14:schemeClr w14:val="tx1"/>
                  </w14:solidFill>
                </w14:textFill>
              </w:rPr>
            </w:pPr>
          </w:p>
          <w:p>
            <w:pPr>
              <w:pStyle w:val="13"/>
              <w:ind w:left="480" w:firstLine="480"/>
              <w:rPr>
                <w:color w:val="000000" w:themeColor="text1"/>
                <w14:textFill>
                  <w14:solidFill>
                    <w14:schemeClr w14:val="tx1"/>
                  </w14:solidFill>
                </w14:textFill>
              </w:rPr>
            </w:pPr>
          </w:p>
          <w:p>
            <w:pPr>
              <w:pStyle w:val="60"/>
              <w:adjustRightInd/>
              <w:snapToGrid/>
              <w:ind w:firstLine="0" w:firstLineChars="0"/>
              <w:jc w:val="both"/>
              <w:rPr>
                <w:color w:val="000000" w:themeColor="text1"/>
                <w14:textFill>
                  <w14:solidFill>
                    <w14:schemeClr w14:val="tx1"/>
                  </w14:solidFill>
                </w14:textFill>
              </w:rPr>
            </w:pPr>
          </w:p>
        </w:tc>
      </w:tr>
    </w:tbl>
    <w:p>
      <w:pPr>
        <w:ind w:firstLine="480"/>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4"/>
        <w:jc w:val="center"/>
        <w:rPr>
          <w:color w:val="000000" w:themeColor="text1"/>
          <w14:textFill>
            <w14:solidFill>
              <w14:schemeClr w14:val="tx1"/>
            </w14:solidFill>
          </w14:textFill>
        </w:rPr>
      </w:pPr>
      <w:r>
        <w:rPr>
          <w:rFonts w:eastAsia="黑体"/>
          <w:b w:val="0"/>
          <w:snapToGrid w:val="0"/>
          <w:color w:val="000000" w:themeColor="text1"/>
          <w:kern w:val="0"/>
          <w:sz w:val="30"/>
          <w:szCs w:val="30"/>
          <w14:textFill>
            <w14:solidFill>
              <w14:schemeClr w14:val="tx1"/>
            </w14:solidFill>
          </w14:textFill>
        </w:rPr>
        <w:t>五、环境保护措施监督检查清单</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12"/>
        <w:gridCol w:w="1028"/>
        <w:gridCol w:w="2383"/>
        <w:gridCol w:w="2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spacing w:line="240" w:lineRule="auto"/>
              <w:ind w:firstLine="84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内容</w:t>
            </w:r>
          </w:p>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要素</w:t>
            </w:r>
          </w:p>
        </w:tc>
        <w:tc>
          <w:tcPr>
            <w:tcW w:w="1512"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排放口(编号、</w:t>
            </w:r>
          </w:p>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名称)/污染源</w:t>
            </w:r>
          </w:p>
        </w:tc>
        <w:tc>
          <w:tcPr>
            <w:tcW w:w="102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污染物项目</w:t>
            </w:r>
          </w:p>
        </w:tc>
        <w:tc>
          <w:tcPr>
            <w:tcW w:w="2383"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环境保护措施</w:t>
            </w:r>
          </w:p>
        </w:tc>
        <w:tc>
          <w:tcPr>
            <w:tcW w:w="2099"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778" w:type="dxa"/>
            <w:vMerge w:val="restart"/>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1512" w:type="dxa"/>
            <w:vAlign w:val="center"/>
          </w:tcPr>
          <w:p>
            <w:pPr>
              <w:adjustRightInd w:val="0"/>
              <w:snapToGri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筒仓排气筒DA001</w:t>
            </w:r>
            <w:r>
              <w:rPr>
                <w:rFonts w:hint="eastAsia"/>
                <w:color w:val="000000" w:themeColor="text1"/>
                <w:sz w:val="21"/>
                <w:szCs w:val="21"/>
                <w:lang w:val="en-US" w:eastAsia="zh-CN"/>
                <w14:textFill>
                  <w14:solidFill>
                    <w14:schemeClr w14:val="tx1"/>
                  </w14:solidFill>
                </w14:textFill>
              </w:rPr>
              <w:t>~DA008</w:t>
            </w:r>
          </w:p>
        </w:tc>
        <w:tc>
          <w:tcPr>
            <w:tcW w:w="1028" w:type="dxa"/>
            <w:vAlign w:val="center"/>
          </w:tcPr>
          <w:p>
            <w:pPr>
              <w:spacing w:line="2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383" w:type="dxa"/>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筒仓各设置1套滤筒式除尘器（共8套）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经</w:t>
            </w:r>
            <w:r>
              <w:rPr>
                <w:color w:val="000000" w:themeColor="text1"/>
                <w:sz w:val="21"/>
                <w:szCs w:val="21"/>
                <w14:textFill>
                  <w14:solidFill>
                    <w14:schemeClr w14:val="tx1"/>
                  </w14:solidFill>
                </w14:textFill>
              </w:rPr>
              <w:t>15m高排气筒排放</w:t>
            </w:r>
          </w:p>
        </w:tc>
        <w:tc>
          <w:tcPr>
            <w:tcW w:w="2099" w:type="dxa"/>
            <w:vMerge w:val="restart"/>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《水泥工业大气污染物排放标准》（GB4915-2013）中表</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中相关标准</w:t>
            </w:r>
          </w:p>
          <w:p>
            <w:pPr>
              <w:spacing w:line="240" w:lineRule="auto"/>
              <w:ind w:firstLine="0" w:firstLineChars="0"/>
              <w:jc w:val="center"/>
              <w:textAlignment w:val="baseline"/>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778" w:type="dxa"/>
            <w:vMerge w:val="continue"/>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2" w:type="dxa"/>
            <w:vAlign w:val="center"/>
          </w:tcPr>
          <w:p>
            <w:pPr>
              <w:adjustRightInd w:val="0"/>
              <w:snapToGri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搅拌楼排气筒DA00</w:t>
            </w:r>
            <w:r>
              <w:rPr>
                <w:rFonts w:hint="eastAsia"/>
                <w:color w:val="000000" w:themeColor="text1"/>
                <w:sz w:val="21"/>
                <w:szCs w:val="21"/>
                <w:lang w:val="en-US" w:eastAsia="zh-CN"/>
                <w14:textFill>
                  <w14:solidFill>
                    <w14:schemeClr w14:val="tx1"/>
                  </w14:solidFill>
                </w14:textFill>
              </w:rPr>
              <w:t>9</w:t>
            </w:r>
          </w:p>
        </w:tc>
        <w:tc>
          <w:tcPr>
            <w:tcW w:w="1028" w:type="dxa"/>
            <w:vAlign w:val="center"/>
          </w:tcPr>
          <w:p>
            <w:pPr>
              <w:spacing w:line="2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383" w:type="dxa"/>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搅拌系统采用袋式除尘器+15m排气筒排放</w:t>
            </w:r>
          </w:p>
        </w:tc>
        <w:tc>
          <w:tcPr>
            <w:tcW w:w="2099" w:type="dxa"/>
            <w:vMerge w:val="continue"/>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1778" w:type="dxa"/>
            <w:vMerge w:val="continue"/>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2"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w:t>
            </w:r>
          </w:p>
        </w:tc>
        <w:tc>
          <w:tcPr>
            <w:tcW w:w="1028" w:type="dxa"/>
            <w:vAlign w:val="center"/>
          </w:tcPr>
          <w:p>
            <w:pPr>
              <w:spacing w:line="2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383" w:type="dxa"/>
            <w:vAlign w:val="center"/>
          </w:tcPr>
          <w:p>
            <w:pPr>
              <w:spacing w:line="240" w:lineRule="auto"/>
              <w:ind w:firstLine="0" w:firstLineChars="0"/>
              <w:jc w:val="center"/>
              <w:textAlignment w:val="baseline"/>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卸料及运输过程中产生的无组织扬尘，通过洒水降尘进行防治，堆存区采用洒水降尘、编织覆盖及半封闭式抑尘</w:t>
            </w:r>
            <w:r>
              <w:rPr>
                <w:rFonts w:hint="eastAsia"/>
                <w:color w:val="000000" w:themeColor="text1"/>
                <w:sz w:val="21"/>
                <w:szCs w:val="21"/>
                <w:lang w:eastAsia="zh-CN"/>
                <w14:textFill>
                  <w14:solidFill>
                    <w14:schemeClr w14:val="tx1"/>
                  </w14:solidFill>
                </w14:textFill>
              </w:rPr>
              <w:t>，项目生产线进料口和传送带采用全封闭方式</w:t>
            </w:r>
          </w:p>
        </w:tc>
        <w:tc>
          <w:tcPr>
            <w:tcW w:w="2099" w:type="dxa"/>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《水泥工业大气污染物排放标准》（GB4915-2013）中表3中相关标准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778" w:type="dxa"/>
            <w:vMerge w:val="continue"/>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1512"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食堂</w:t>
            </w:r>
          </w:p>
        </w:tc>
        <w:tc>
          <w:tcPr>
            <w:tcW w:w="1028" w:type="dxa"/>
            <w:vAlign w:val="center"/>
          </w:tcPr>
          <w:p>
            <w:pPr>
              <w:spacing w:line="2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油烟</w:t>
            </w:r>
          </w:p>
        </w:tc>
        <w:tc>
          <w:tcPr>
            <w:tcW w:w="2383" w:type="dxa"/>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经油烟净化设施处理经</w:t>
            </w:r>
            <w:r>
              <w:rPr>
                <w:rFonts w:hint="eastAsia"/>
                <w:color w:val="000000" w:themeColor="text1"/>
                <w:sz w:val="21"/>
                <w:szCs w:val="21"/>
                <w:lang w:val="en-US" w:eastAsia="zh-CN"/>
                <w14:textFill>
                  <w14:solidFill>
                    <w14:schemeClr w14:val="tx1"/>
                  </w14:solidFill>
                </w14:textFill>
              </w:rPr>
              <w:t>油烟专用</w:t>
            </w:r>
            <w:r>
              <w:rPr>
                <w:color w:val="000000" w:themeColor="text1"/>
                <w:sz w:val="21"/>
                <w:szCs w:val="21"/>
                <w14:textFill>
                  <w14:solidFill>
                    <w14:schemeClr w14:val="tx1"/>
                  </w14:solidFill>
                </w14:textFill>
              </w:rPr>
              <w:t>排气筒排放</w:t>
            </w:r>
          </w:p>
        </w:tc>
        <w:tc>
          <w:tcPr>
            <w:tcW w:w="2099" w:type="dxa"/>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《饮食业油烟排放标准（试行）》（GB18483-2001）排放标准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77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w:t>
            </w:r>
          </w:p>
        </w:tc>
        <w:tc>
          <w:tcPr>
            <w:tcW w:w="1512"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项目区</w:t>
            </w:r>
          </w:p>
        </w:tc>
        <w:tc>
          <w:tcPr>
            <w:tcW w:w="102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CODcr、BOD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、SS、氨氮、动植物油</w:t>
            </w:r>
          </w:p>
        </w:tc>
        <w:tc>
          <w:tcPr>
            <w:tcW w:w="2383" w:type="dxa"/>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隔油池</w:t>
            </w:r>
          </w:p>
        </w:tc>
        <w:tc>
          <w:tcPr>
            <w:tcW w:w="2099"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《污水综合排放标 准》（GB8978-1996）中的三级标准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1512"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项目区</w:t>
            </w:r>
          </w:p>
        </w:tc>
        <w:tc>
          <w:tcPr>
            <w:tcW w:w="102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 A 声级</w:t>
            </w:r>
          </w:p>
        </w:tc>
        <w:tc>
          <w:tcPr>
            <w:tcW w:w="2383"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设备基础减振，</w:t>
            </w:r>
          </w:p>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加强设备维护保养</w:t>
            </w:r>
          </w:p>
        </w:tc>
        <w:tc>
          <w:tcPr>
            <w:tcW w:w="2099"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《工业企业厂界环境噪声排放标准》（GB12348-2008）中3类标准限值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电磁辐射</w:t>
            </w:r>
          </w:p>
        </w:tc>
        <w:tc>
          <w:tcPr>
            <w:tcW w:w="1512"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2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83"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099"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77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7022" w:type="dxa"/>
            <w:gridSpan w:val="4"/>
            <w:vAlign w:val="center"/>
          </w:tcPr>
          <w:p>
            <w:pPr>
              <w:spacing w:line="240" w:lineRule="auto"/>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生活垃圾经集中收集后，由环卫部门统一集中清运</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隔油池废油单独收集后委托油脂回收公司处理</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不合格品、</w:t>
            </w:r>
            <w:r>
              <w:rPr>
                <w:color w:val="000000" w:themeColor="text1"/>
                <w:sz w:val="21"/>
                <w:szCs w:val="21"/>
                <w14:textFill>
                  <w14:solidFill>
                    <w14:schemeClr w14:val="tx1"/>
                  </w14:solidFill>
                </w14:textFill>
              </w:rPr>
              <w:t>除尘器收集粉尘及沉淀池沉渣收集后回用于生产；废机油暂存于危废暂存间（危废暂存间位于厂区北侧，面积约5m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），定期交由有资质的危险废物处理单位处置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土壤及地下水</w:t>
            </w:r>
          </w:p>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污染防治措施</w:t>
            </w:r>
          </w:p>
        </w:tc>
        <w:tc>
          <w:tcPr>
            <w:tcW w:w="7022" w:type="dxa"/>
            <w:gridSpan w:val="4"/>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危废暂存间建成重点防渗区（不应低于6m厚渗透系数为10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cm/s的黏土层的防渗性能）；</w:t>
            </w:r>
            <w:r>
              <w:rPr>
                <w:rFonts w:hint="eastAsia"/>
                <w:color w:val="000000" w:themeColor="text1"/>
                <w:sz w:val="21"/>
                <w:szCs w:val="21"/>
                <w:lang w:val="en-US" w:eastAsia="zh-CN"/>
                <w14:textFill>
                  <w14:solidFill>
                    <w14:schemeClr w14:val="tx1"/>
                  </w14:solidFill>
                </w14:textFill>
              </w:rPr>
              <w:t>隔油池、沉淀池及</w:t>
            </w:r>
            <w:r>
              <w:rPr>
                <w:color w:val="000000" w:themeColor="text1"/>
                <w:sz w:val="21"/>
                <w:szCs w:val="21"/>
                <w14:textFill>
                  <w14:solidFill>
                    <w14:schemeClr w14:val="tx1"/>
                  </w14:solidFill>
                </w14:textFill>
              </w:rPr>
              <w:t>一般固废暂存间建成一般防渗区（不应低于1.5m厚渗透系数为10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cm/s的黏土层的防渗性能）；厂区主要生产区域主要以地面水泥硬化为主；绿化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778" w:type="dxa"/>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生态保护措施</w:t>
            </w:r>
          </w:p>
        </w:tc>
        <w:tc>
          <w:tcPr>
            <w:tcW w:w="7022" w:type="dxa"/>
            <w:gridSpan w:val="4"/>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pPr>
              <w:adjustRightInd w:val="0"/>
              <w:snapToGrid w:val="0"/>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环境风险</w:t>
            </w:r>
          </w:p>
          <w:p>
            <w:pPr>
              <w:adjustRightInd w:val="0"/>
              <w:snapToGrid w:val="0"/>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防范措施</w:t>
            </w:r>
          </w:p>
        </w:tc>
        <w:tc>
          <w:tcPr>
            <w:tcW w:w="7022" w:type="dxa"/>
            <w:gridSpan w:val="4"/>
          </w:tcPr>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（1）废机油泄漏风险防范措施</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1）废油所在危废暂存间地面须采取硬化防渗、防腐措施，并张贴相应标识，健全库管制度，建立进出库台账记录；</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2）在贮存期内，定期检查，发现包装破损、渗漏等应及时处理；</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3）危废暂存间应配备有相应的足量应急物资、消防设施等，如防毒面具、喷淋设施、砂土等，并配备经过培训的应急人员。</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对区域内容易引发重大突发环境事件的环境危险源、危险区域进行调查、登记、风险评估，对环境危险源、危险区域定期组织（每月不得少于一次）进行检查、监控，并采取安全防范措施，对突发环境事件进行预防，公司设置专人每天进行巡检，定期对各环保设施进行巡查，一旦发现破损，及时检修。</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5）危险废物应严格按照《危险废物贮存控制标准》进行储存，危险废物分类分区在危废贮存间暂存，交由有危险废物处置资质的单位定期进行回收处理。</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6）危险废物暂存间要防风、防雨、防晒、防渗，不得堆放在露天场地，避免遭受雨淋水浸；不得存放在阳光直接照射、高温及潮湿的地方；</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7）危废暂存间应做地面防渗处理，防渗层为至少1m厚粘土层（渗透系数≤10</w:t>
            </w:r>
            <w:r>
              <w:rPr>
                <w:color w:val="000000" w:themeColor="text1"/>
                <w:sz w:val="21"/>
                <w:szCs w:val="21"/>
                <w:vertAlign w:val="superscript"/>
                <w14:textFill>
                  <w14:solidFill>
                    <w14:schemeClr w14:val="tx1"/>
                  </w14:solidFill>
                </w14:textFill>
              </w:rPr>
              <w:t>-7</w:t>
            </w:r>
            <w:r>
              <w:rPr>
                <w:color w:val="000000" w:themeColor="text1"/>
                <w:sz w:val="21"/>
                <w:szCs w:val="21"/>
                <w14:textFill>
                  <w14:solidFill>
                    <w14:schemeClr w14:val="tx1"/>
                  </w14:solidFill>
                </w14:textFill>
              </w:rPr>
              <w:t>cm/s），或至少2mm厚的其它人工材料，渗透系数≤10</w:t>
            </w:r>
            <w:r>
              <w:rPr>
                <w:color w:val="000000" w:themeColor="text1"/>
                <w:sz w:val="21"/>
                <w:szCs w:val="21"/>
                <w:vertAlign w:val="superscript"/>
                <w14:textFill>
                  <w14:solidFill>
                    <w14:schemeClr w14:val="tx1"/>
                  </w14:solidFill>
                </w14:textFill>
              </w:rPr>
              <w:t>-10</w:t>
            </w:r>
            <w:r>
              <w:rPr>
                <w:color w:val="000000" w:themeColor="text1"/>
                <w:sz w:val="21"/>
                <w:szCs w:val="21"/>
                <w14:textFill>
                  <w14:solidFill>
                    <w14:schemeClr w14:val="tx1"/>
                  </w14:solidFill>
                </w14:textFill>
              </w:rPr>
              <w:t>cm/s。</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8）危险废物暂存间应设专人管理，管理人员须具备相关方面的专业知识，并定期组织应急演练，了解消防、环保常识。</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存放至危险废物暂存间的危险废物需进行登记，严格填写危险废物贮存台账，注明名称、来源、数量、特性和包装容器的类别、入库日期、存放库位、废物出库日期及接收单位名称，危险废物处置建立健全转移联单制度。</w:t>
            </w:r>
          </w:p>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（2）火灾防范措施</w:t>
            </w:r>
          </w:p>
          <w:p>
            <w:pPr>
              <w:adjustRightInd w:val="0"/>
              <w:snapToGrid w:val="0"/>
              <w:spacing w:line="240" w:lineRule="auto"/>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在运营期使用的机械设备都是利用电能，如果管理维护不当发生线路老化、短路等现象。因此本项目在运营期间，应加强对生产运营设备的维护管理，保证通风设备以及除尘设施的正常运行，定期进行检修，同时加强员工的管理以及风险防范意识，通过设置短路保护电路等措施，及时发现设备及线路中存在的问题，消除隐患，并配备相应的消防器材和应急设备。</w:t>
            </w:r>
          </w:p>
          <w:p>
            <w:pPr>
              <w:adjustRightInd w:val="0"/>
              <w:snapToGrid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（3）污染物事故性排放防范措施</w:t>
            </w:r>
          </w:p>
          <w:p>
            <w:pPr>
              <w:spacing w:line="240" w:lineRule="auto"/>
              <w:ind w:firstLine="420"/>
              <w:jc w:val="left"/>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加强生产区域的管理，加强环保设施的运营维护与保养，提高员工的风险防范意识，定期组织员工进行演练，提高员工的实际操作技能。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778" w:type="dxa"/>
            <w:vAlign w:val="center"/>
          </w:tcPr>
          <w:p>
            <w:pPr>
              <w:adjustRightInd w:val="0"/>
              <w:snapToGrid w:val="0"/>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其他环境</w:t>
            </w:r>
          </w:p>
          <w:p>
            <w:pPr>
              <w:adjustRightInd w:val="0"/>
              <w:snapToGrid w:val="0"/>
              <w:spacing w:line="240" w:lineRule="auto"/>
              <w:ind w:firstLine="0" w:firstLineChars="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管理要求</w:t>
            </w:r>
          </w:p>
        </w:tc>
        <w:tc>
          <w:tcPr>
            <w:tcW w:w="7022" w:type="dxa"/>
            <w:gridSpan w:val="4"/>
            <w:vAlign w:val="center"/>
          </w:tcPr>
          <w:p>
            <w:pPr>
              <w:spacing w:line="240" w:lineRule="auto"/>
              <w:ind w:firstLine="0" w:firstLineChars="0"/>
              <w:jc w:val="left"/>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1、在项目施工期负责监督环保设施的施工、安装、调试等，落实“三同时”制度。</w:t>
            </w:r>
          </w:p>
          <w:p>
            <w:pPr>
              <w:spacing w:line="240" w:lineRule="auto"/>
              <w:ind w:firstLine="0" w:firstLineChars="0"/>
              <w:jc w:val="left"/>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2、制订企业环保管理制度和责任制，明确各专兼职环保管理人员的环保责任和任务，对环保工作进行的监督和管理。</w:t>
            </w:r>
          </w:p>
          <w:p>
            <w:pPr>
              <w:spacing w:line="240" w:lineRule="auto"/>
              <w:ind w:firstLine="0" w:firstLineChars="0"/>
              <w:jc w:val="left"/>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3、负责环境监测工作，及时掌握污染状况，整理监测数据，建立台账。</w:t>
            </w:r>
          </w:p>
          <w:p>
            <w:pPr>
              <w:spacing w:line="240" w:lineRule="auto"/>
              <w:ind w:firstLine="0" w:firstLineChars="0"/>
              <w:jc w:val="left"/>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4、项目竣工后应及时自主进行竣工环保验收。</w:t>
            </w:r>
          </w:p>
        </w:tc>
      </w:tr>
    </w:tbl>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both"/>
        <w:outlineLvl w:val="0"/>
        <w:rPr>
          <w:rFonts w:ascii="Times New Roman" w:hAnsi="Times New Roman" w:eastAsia="黑体"/>
          <w:snapToGrid w:val="0"/>
          <w:color w:val="000000" w:themeColor="text1"/>
          <w:sz w:val="30"/>
          <w:szCs w:val="30"/>
          <w14:textFill>
            <w14:solidFill>
              <w14:schemeClr w14:val="tx1"/>
            </w14:solidFill>
          </w14:textFill>
        </w:rPr>
      </w:pPr>
    </w:p>
    <w:p>
      <w:pPr>
        <w:pStyle w:val="28"/>
        <w:spacing w:line="240" w:lineRule="auto"/>
        <w:ind w:firstLine="0" w:firstLineChars="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六、结论</w:t>
      </w:r>
    </w:p>
    <w:tbl>
      <w:tblPr>
        <w:tblStyle w:val="30"/>
        <w:tblW w:w="92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8" w:hRule="atLeast"/>
        </w:trPr>
        <w:tc>
          <w:tcPr>
            <w:tcW w:w="9289" w:type="dxa"/>
          </w:tcPr>
          <w:p>
            <w:pPr>
              <w:ind w:firstLine="480"/>
              <w:rPr>
                <w:color w:val="000000" w:themeColor="text1"/>
                <w:szCs w:val="21"/>
                <w14:textFill>
                  <w14:solidFill>
                    <w14:schemeClr w14:val="tx1"/>
                  </w14:solidFill>
                </w14:textFill>
              </w:rPr>
            </w:pPr>
            <w:r>
              <w:rPr>
                <w:color w:val="000000" w:themeColor="text1"/>
                <w14:textFill>
                  <w14:solidFill>
                    <w14:schemeClr w14:val="tx1"/>
                  </w14:solidFill>
                </w14:textFill>
              </w:rPr>
              <w:t>本项目所产生的废气、废水、噪声、固体废物等，在全面落实本报告表提出的各项环境保护措施的基础上，切实做到“三同时”，并在营运期内持之以恒加强环境管理的前提下，从环境保护角度，本项目环境影响可行。</w:t>
            </w:r>
          </w:p>
        </w:tc>
      </w:tr>
    </w:tbl>
    <w:p>
      <w:pPr>
        <w:pStyle w:val="16"/>
        <w:ind w:left="0" w:firstLine="0" w:firstLineChars="0"/>
        <w:rPr>
          <w:color w:val="000000" w:themeColor="text1"/>
          <w14:textFill>
            <w14:solidFill>
              <w14:schemeClr w14:val="tx1"/>
            </w14:solidFill>
          </w14:textFill>
        </w:rPr>
      </w:pPr>
    </w:p>
    <w:p>
      <w:pPr>
        <w:pStyle w:val="16"/>
        <w:ind w:firstLine="560"/>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widowControl/>
        <w:adjustRightInd w:val="0"/>
        <w:snapToGrid w:val="0"/>
        <w:spacing w:line="648" w:lineRule="auto"/>
        <w:ind w:firstLine="640"/>
        <w:jc w:val="left"/>
        <w:outlineLvl w:val="0"/>
        <w:rPr>
          <w:rFonts w:eastAsia="黑体"/>
          <w:snapToGrid w:val="0"/>
          <w:color w:val="000000" w:themeColor="text1"/>
          <w:kern w:val="0"/>
          <w:sz w:val="32"/>
          <w:szCs w:val="32"/>
          <w14:textFill>
            <w14:solidFill>
              <w14:schemeClr w14:val="tx1"/>
            </w14:solidFill>
          </w14:textFill>
        </w:rPr>
      </w:pPr>
      <w:r>
        <w:rPr>
          <w:rFonts w:eastAsia="黑体"/>
          <w:snapToGrid w:val="0"/>
          <w:color w:val="000000" w:themeColor="text1"/>
          <w:kern w:val="0"/>
          <w:sz w:val="32"/>
          <w:szCs w:val="32"/>
          <w14:textFill>
            <w14:solidFill>
              <w14:schemeClr w14:val="tx1"/>
            </w14:solidFill>
          </w14:textFill>
        </w:rPr>
        <w:t>附表</w:t>
      </w:r>
    </w:p>
    <w:p>
      <w:pPr>
        <w:widowControl/>
        <w:adjustRightInd w:val="0"/>
        <w:snapToGrid w:val="0"/>
        <w:spacing w:line="480" w:lineRule="auto"/>
        <w:ind w:firstLine="760"/>
        <w:jc w:val="center"/>
        <w:outlineLvl w:val="0"/>
        <w:rPr>
          <w:rFonts w:eastAsia="方正小标宋_GBK"/>
          <w:snapToGrid w:val="0"/>
          <w:color w:val="000000" w:themeColor="text1"/>
          <w:kern w:val="0"/>
          <w:sz w:val="38"/>
          <w:szCs w:val="38"/>
          <w14:textFill>
            <w14:solidFill>
              <w14:schemeClr w14:val="tx1"/>
            </w14:solidFill>
          </w14:textFill>
        </w:rPr>
      </w:pPr>
      <w:r>
        <w:rPr>
          <w:rFonts w:eastAsia="方正小标宋_GBK"/>
          <w:snapToGrid w:val="0"/>
          <w:color w:val="000000" w:themeColor="text1"/>
          <w:kern w:val="0"/>
          <w:sz w:val="38"/>
          <w:szCs w:val="38"/>
          <w14:textFill>
            <w14:solidFill>
              <w14:schemeClr w14:val="tx1"/>
            </w14:solidFill>
          </w14:textFill>
        </w:rPr>
        <w:t xml:space="preserve">建设项目污染物排放量汇总表   </w:t>
      </w:r>
    </w:p>
    <w:tbl>
      <w:tblPr>
        <w:tblStyle w:val="30"/>
        <w:tblW w:w="1404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867"/>
        <w:gridCol w:w="1701"/>
        <w:gridCol w:w="1276"/>
        <w:gridCol w:w="1701"/>
        <w:gridCol w:w="1559"/>
        <w:gridCol w:w="1761"/>
        <w:gridCol w:w="1811"/>
        <w:gridCol w:w="12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38" w:type="dxa"/>
            <w:tcBorders>
              <w:tl2br w:val="single" w:color="auto" w:sz="4" w:space="0"/>
            </w:tcBorders>
            <w:tcMar>
              <w:left w:w="28" w:type="dxa"/>
              <w:right w:w="28" w:type="dxa"/>
            </w:tcMar>
            <w:vAlign w:val="center"/>
          </w:tcPr>
          <w:p>
            <w:pPr>
              <w:adjustRightInd w:val="0"/>
              <w:snapToGrid w:val="0"/>
              <w:spacing w:line="240" w:lineRule="auto"/>
              <w:ind w:firstLine="396"/>
              <w:jc w:val="right"/>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项目</w:t>
            </w:r>
          </w:p>
          <w:p>
            <w:pPr>
              <w:adjustRightInd w:val="0"/>
              <w:snapToGrid w:val="0"/>
              <w:spacing w:line="240" w:lineRule="auto"/>
              <w:ind w:firstLine="0" w:firstLineChars="0"/>
              <w:jc w:val="left"/>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分类</w:t>
            </w:r>
          </w:p>
        </w:tc>
        <w:tc>
          <w:tcPr>
            <w:tcW w:w="1867" w:type="dxa"/>
            <w:tcMar>
              <w:left w:w="28" w:type="dxa"/>
              <w:right w:w="28" w:type="dxa"/>
            </w:tcMar>
            <w:vAlign w:val="center"/>
          </w:tcPr>
          <w:p>
            <w:pPr>
              <w:adjustRightInd w:val="0"/>
              <w:snapToGrid w:val="0"/>
              <w:spacing w:line="240" w:lineRule="auto"/>
              <w:ind w:firstLine="396"/>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污染物名称</w:t>
            </w:r>
          </w:p>
        </w:tc>
        <w:tc>
          <w:tcPr>
            <w:tcW w:w="1701" w:type="dxa"/>
            <w:tcMar>
              <w:left w:w="28" w:type="dxa"/>
              <w:right w:w="28" w:type="dxa"/>
            </w:tcMar>
            <w:vAlign w:val="center"/>
          </w:tcPr>
          <w:p>
            <w:pPr>
              <w:adjustRightInd w:val="0"/>
              <w:snapToGrid w:val="0"/>
              <w:spacing w:line="240" w:lineRule="auto"/>
              <w:ind w:firstLine="0" w:firstLineChars="0"/>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现有工程排放量（固体废物产生量）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1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eastAsia="黑体"/>
                <w:color w:val="000000" w:themeColor="text1"/>
                <w:sz w:val="21"/>
                <w:szCs w:val="21"/>
                <w14:textFill>
                  <w14:solidFill>
                    <w14:schemeClr w14:val="tx1"/>
                  </w14:solidFill>
                </w14:textFill>
              </w:rPr>
              <w:t>①</w:t>
            </w:r>
            <w:r>
              <w:rPr>
                <w:rFonts w:eastAsia="黑体"/>
                <w:snapToGrid w:val="0"/>
                <w:color w:val="000000" w:themeColor="text1"/>
                <w:spacing w:val="-6"/>
                <w:kern w:val="21"/>
                <w:sz w:val="21"/>
                <w:szCs w:val="21"/>
                <w14:textFill>
                  <w14:solidFill>
                    <w14:schemeClr w14:val="tx1"/>
                  </w14:solidFill>
                </w14:textFill>
              </w:rPr>
              <w:fldChar w:fldCharType="end"/>
            </w:r>
          </w:p>
        </w:tc>
        <w:tc>
          <w:tcPr>
            <w:tcW w:w="1276" w:type="dxa"/>
            <w:tcMar>
              <w:left w:w="28" w:type="dxa"/>
              <w:right w:w="28" w:type="dxa"/>
            </w:tcMar>
            <w:vAlign w:val="center"/>
          </w:tcPr>
          <w:p>
            <w:pPr>
              <w:adjustRightInd w:val="0"/>
              <w:snapToGrid w:val="0"/>
              <w:spacing w:line="240" w:lineRule="auto"/>
              <w:ind w:firstLine="0" w:firstLineChars="0"/>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现有工程许可排放量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2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eastAsia="黑体"/>
                <w:snapToGrid w:val="0"/>
                <w:color w:val="000000" w:themeColor="text1"/>
                <w:spacing w:val="-6"/>
                <w:kern w:val="21"/>
                <w:sz w:val="21"/>
                <w:szCs w:val="21"/>
                <w14:textFill>
                  <w14:solidFill>
                    <w14:schemeClr w14:val="tx1"/>
                  </w14:solidFill>
                </w14:textFill>
              </w:rPr>
              <w:t>②</w:t>
            </w:r>
            <w:r>
              <w:rPr>
                <w:rFonts w:eastAsia="黑体"/>
                <w:snapToGrid w:val="0"/>
                <w:color w:val="000000" w:themeColor="text1"/>
                <w:spacing w:val="-6"/>
                <w:kern w:val="21"/>
                <w:sz w:val="21"/>
                <w:szCs w:val="21"/>
                <w14:textFill>
                  <w14:solidFill>
                    <w14:schemeClr w14:val="tx1"/>
                  </w14:solidFill>
                </w14:textFill>
              </w:rPr>
              <w:fldChar w:fldCharType="end"/>
            </w:r>
          </w:p>
        </w:tc>
        <w:tc>
          <w:tcPr>
            <w:tcW w:w="1701" w:type="dxa"/>
            <w:tcMar>
              <w:left w:w="28" w:type="dxa"/>
              <w:right w:w="28" w:type="dxa"/>
            </w:tcMar>
            <w:vAlign w:val="center"/>
          </w:tcPr>
          <w:p>
            <w:pPr>
              <w:adjustRightInd w:val="0"/>
              <w:snapToGrid w:val="0"/>
              <w:spacing w:line="240" w:lineRule="auto"/>
              <w:ind w:firstLine="0" w:firstLineChars="0"/>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在建工程排放量（固体废物产生量）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3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eastAsia="黑体"/>
                <w:color w:val="000000" w:themeColor="text1"/>
                <w:sz w:val="21"/>
                <w:szCs w:val="21"/>
                <w14:textFill>
                  <w14:solidFill>
                    <w14:schemeClr w14:val="tx1"/>
                  </w14:solidFill>
                </w14:textFill>
              </w:rPr>
              <w:t>③</w:t>
            </w:r>
            <w:r>
              <w:rPr>
                <w:rFonts w:eastAsia="黑体"/>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pPr>
              <w:adjustRightInd w:val="0"/>
              <w:snapToGrid w:val="0"/>
              <w:spacing w:line="240" w:lineRule="auto"/>
              <w:ind w:firstLine="0" w:firstLineChars="0"/>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本项目排放量（固体废物产生量）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4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eastAsia="黑体"/>
                <w:color w:val="000000" w:themeColor="text1"/>
                <w:sz w:val="21"/>
                <w:szCs w:val="21"/>
                <w14:textFill>
                  <w14:solidFill>
                    <w14:schemeClr w14:val="tx1"/>
                  </w14:solidFill>
                </w14:textFill>
              </w:rPr>
              <w:t>④</w:t>
            </w:r>
            <w:r>
              <w:rPr>
                <w:rFonts w:eastAsia="黑体"/>
                <w:snapToGrid w:val="0"/>
                <w:color w:val="000000" w:themeColor="text1"/>
                <w:spacing w:val="-6"/>
                <w:kern w:val="21"/>
                <w:sz w:val="21"/>
                <w:szCs w:val="21"/>
                <w14:textFill>
                  <w14:solidFill>
                    <w14:schemeClr w14:val="tx1"/>
                  </w14:solidFill>
                </w14:textFill>
              </w:rPr>
              <w:fldChar w:fldCharType="end"/>
            </w:r>
          </w:p>
        </w:tc>
        <w:tc>
          <w:tcPr>
            <w:tcW w:w="1761" w:type="dxa"/>
            <w:tcMar>
              <w:left w:w="28" w:type="dxa"/>
              <w:right w:w="28" w:type="dxa"/>
            </w:tcMar>
            <w:vAlign w:val="center"/>
          </w:tcPr>
          <w:p>
            <w:pPr>
              <w:adjustRightInd w:val="0"/>
              <w:snapToGrid w:val="0"/>
              <w:spacing w:line="240" w:lineRule="auto"/>
              <w:ind w:firstLine="0" w:firstLineChars="0"/>
              <w:rPr>
                <w:rFonts w:eastAsia="黑体"/>
                <w:snapToGrid w:val="0"/>
                <w:color w:val="000000" w:themeColor="text1"/>
                <w:spacing w:val="-16"/>
                <w:kern w:val="21"/>
                <w:sz w:val="21"/>
                <w:szCs w:val="21"/>
                <w14:textFill>
                  <w14:solidFill>
                    <w14:schemeClr w14:val="tx1"/>
                  </w14:solidFill>
                </w14:textFill>
              </w:rPr>
            </w:pPr>
            <w:r>
              <w:rPr>
                <w:rFonts w:eastAsia="黑体"/>
                <w:snapToGrid w:val="0"/>
                <w:color w:val="000000" w:themeColor="text1"/>
                <w:spacing w:val="-16"/>
                <w:kern w:val="21"/>
                <w:sz w:val="21"/>
                <w:szCs w:val="21"/>
                <w14:textFill>
                  <w14:solidFill>
                    <w14:schemeClr w14:val="tx1"/>
                  </w14:solidFill>
                </w14:textFill>
              </w:rPr>
              <w:t>以新带老削减量（新建项目不填）</w:t>
            </w:r>
            <w:r>
              <w:rPr>
                <w:rFonts w:eastAsia="黑体"/>
                <w:snapToGrid w:val="0"/>
                <w:color w:val="000000" w:themeColor="text1"/>
                <w:spacing w:val="-16"/>
                <w:kern w:val="21"/>
                <w:sz w:val="21"/>
                <w:szCs w:val="21"/>
                <w14:textFill>
                  <w14:solidFill>
                    <w14:schemeClr w14:val="tx1"/>
                  </w14:solidFill>
                </w14:textFill>
              </w:rPr>
              <w:fldChar w:fldCharType="begin"/>
            </w:r>
            <w:r>
              <w:rPr>
                <w:rFonts w:eastAsia="黑体"/>
                <w:snapToGrid w:val="0"/>
                <w:color w:val="000000" w:themeColor="text1"/>
                <w:spacing w:val="-16"/>
                <w:kern w:val="21"/>
                <w:sz w:val="21"/>
                <w:szCs w:val="21"/>
                <w14:textFill>
                  <w14:solidFill>
                    <w14:schemeClr w14:val="tx1"/>
                  </w14:solidFill>
                </w14:textFill>
              </w:rPr>
              <w:instrText xml:space="preserve"> = 5 \* GB3 \* MERGEFORMAT </w:instrText>
            </w:r>
            <w:r>
              <w:rPr>
                <w:rFonts w:eastAsia="黑体"/>
                <w:snapToGrid w:val="0"/>
                <w:color w:val="000000" w:themeColor="text1"/>
                <w:spacing w:val="-16"/>
                <w:kern w:val="21"/>
                <w:sz w:val="21"/>
                <w:szCs w:val="21"/>
                <w14:textFill>
                  <w14:solidFill>
                    <w14:schemeClr w14:val="tx1"/>
                  </w14:solidFill>
                </w14:textFill>
              </w:rPr>
              <w:fldChar w:fldCharType="separate"/>
            </w:r>
            <w:r>
              <w:rPr>
                <w:rFonts w:eastAsia="黑体"/>
                <w:color w:val="000000" w:themeColor="text1"/>
                <w:sz w:val="21"/>
                <w:szCs w:val="21"/>
                <w14:textFill>
                  <w14:solidFill>
                    <w14:schemeClr w14:val="tx1"/>
                  </w14:solidFill>
                </w14:textFill>
              </w:rPr>
              <w:t>⑤</w:t>
            </w:r>
            <w:r>
              <w:rPr>
                <w:rFonts w:eastAsia="黑体"/>
                <w:snapToGrid w:val="0"/>
                <w:color w:val="000000" w:themeColor="text1"/>
                <w:spacing w:val="-16"/>
                <w:kern w:val="21"/>
                <w:sz w:val="21"/>
                <w:szCs w:val="21"/>
                <w14:textFill>
                  <w14:solidFill>
                    <w14:schemeClr w14:val="tx1"/>
                  </w14:solidFill>
                </w14:textFill>
              </w:rPr>
              <w:fldChar w:fldCharType="end"/>
            </w:r>
          </w:p>
        </w:tc>
        <w:tc>
          <w:tcPr>
            <w:tcW w:w="1811" w:type="dxa"/>
            <w:tcMar>
              <w:left w:w="28" w:type="dxa"/>
              <w:right w:w="28" w:type="dxa"/>
            </w:tcMar>
            <w:vAlign w:val="center"/>
          </w:tcPr>
          <w:p>
            <w:pPr>
              <w:adjustRightInd w:val="0"/>
              <w:snapToGrid w:val="0"/>
              <w:spacing w:line="240" w:lineRule="auto"/>
              <w:ind w:firstLine="0" w:firstLineChars="0"/>
              <w:rPr>
                <w:rFonts w:eastAsia="黑体"/>
                <w:snapToGrid w:val="0"/>
                <w:color w:val="000000" w:themeColor="text1"/>
                <w:spacing w:val="-16"/>
                <w:kern w:val="21"/>
                <w:sz w:val="21"/>
                <w:szCs w:val="21"/>
                <w14:textFill>
                  <w14:solidFill>
                    <w14:schemeClr w14:val="tx1"/>
                  </w14:solidFill>
                </w14:textFill>
              </w:rPr>
            </w:pPr>
            <w:r>
              <w:rPr>
                <w:rFonts w:eastAsia="黑体"/>
                <w:snapToGrid w:val="0"/>
                <w:color w:val="000000" w:themeColor="text1"/>
                <w:spacing w:val="-16"/>
                <w:kern w:val="21"/>
                <w:sz w:val="21"/>
                <w:szCs w:val="21"/>
                <w14:textFill>
                  <w14:solidFill>
                    <w14:schemeClr w14:val="tx1"/>
                  </w14:solidFill>
                </w14:textFill>
              </w:rPr>
              <w:t>本项目建成后全厂排放量（固体废物产生量）</w:t>
            </w:r>
            <w:r>
              <w:rPr>
                <w:rFonts w:eastAsia="黑体"/>
                <w:snapToGrid w:val="0"/>
                <w:color w:val="000000" w:themeColor="text1"/>
                <w:spacing w:val="-16"/>
                <w:kern w:val="21"/>
                <w:sz w:val="21"/>
                <w:szCs w:val="21"/>
                <w14:textFill>
                  <w14:solidFill>
                    <w14:schemeClr w14:val="tx1"/>
                  </w14:solidFill>
                </w14:textFill>
              </w:rPr>
              <w:fldChar w:fldCharType="begin"/>
            </w:r>
            <w:r>
              <w:rPr>
                <w:rFonts w:eastAsia="黑体"/>
                <w:snapToGrid w:val="0"/>
                <w:color w:val="000000" w:themeColor="text1"/>
                <w:spacing w:val="-16"/>
                <w:kern w:val="21"/>
                <w:sz w:val="21"/>
                <w:szCs w:val="21"/>
                <w14:textFill>
                  <w14:solidFill>
                    <w14:schemeClr w14:val="tx1"/>
                  </w14:solidFill>
                </w14:textFill>
              </w:rPr>
              <w:instrText xml:space="preserve"> = 6 \* GB3 \* MERGEFORMAT </w:instrText>
            </w:r>
            <w:r>
              <w:rPr>
                <w:rFonts w:eastAsia="黑体"/>
                <w:snapToGrid w:val="0"/>
                <w:color w:val="000000" w:themeColor="text1"/>
                <w:spacing w:val="-16"/>
                <w:kern w:val="21"/>
                <w:sz w:val="21"/>
                <w:szCs w:val="21"/>
                <w14:textFill>
                  <w14:solidFill>
                    <w14:schemeClr w14:val="tx1"/>
                  </w14:solidFill>
                </w14:textFill>
              </w:rPr>
              <w:fldChar w:fldCharType="separate"/>
            </w:r>
            <w:r>
              <w:rPr>
                <w:rFonts w:eastAsia="黑体"/>
                <w:color w:val="000000" w:themeColor="text1"/>
                <w:sz w:val="21"/>
                <w:szCs w:val="21"/>
                <w14:textFill>
                  <w14:solidFill>
                    <w14:schemeClr w14:val="tx1"/>
                  </w14:solidFill>
                </w14:textFill>
              </w:rPr>
              <w:t>⑥</w:t>
            </w:r>
            <w:r>
              <w:rPr>
                <w:rFonts w:eastAsia="黑体"/>
                <w:snapToGrid w:val="0"/>
                <w:color w:val="000000" w:themeColor="text1"/>
                <w:spacing w:val="-16"/>
                <w:kern w:val="21"/>
                <w:sz w:val="21"/>
                <w:szCs w:val="21"/>
                <w14:textFill>
                  <w14:solidFill>
                    <w14:schemeClr w14:val="tx1"/>
                  </w14:solidFill>
                </w14:textFill>
              </w:rPr>
              <w:fldChar w:fldCharType="end"/>
            </w:r>
          </w:p>
        </w:tc>
        <w:tc>
          <w:tcPr>
            <w:tcW w:w="1235" w:type="dxa"/>
            <w:tcMar>
              <w:left w:w="28" w:type="dxa"/>
              <w:right w:w="28" w:type="dxa"/>
            </w:tcMar>
            <w:vAlign w:val="center"/>
          </w:tcPr>
          <w:p>
            <w:pPr>
              <w:adjustRightInd w:val="0"/>
              <w:snapToGrid w:val="0"/>
              <w:spacing w:line="240" w:lineRule="auto"/>
              <w:ind w:firstLine="198" w:firstLineChars="100"/>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变化量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7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eastAsia="黑体"/>
                <w:color w:val="000000" w:themeColor="text1"/>
                <w:sz w:val="21"/>
                <w:szCs w:val="21"/>
                <w14:textFill>
                  <w14:solidFill>
                    <w14:schemeClr w14:val="tx1"/>
                  </w14:solidFill>
                </w14:textFill>
              </w:rPr>
              <w:t>⑦</w:t>
            </w:r>
            <w:r>
              <w:rPr>
                <w:rFonts w:eastAsia="黑体"/>
                <w:snapToGrid w:val="0"/>
                <w:color w:val="000000" w:themeColor="text1"/>
                <w:spacing w:val="-6"/>
                <w:kern w:val="21"/>
                <w:sz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Align w:val="center"/>
          </w:tcPr>
          <w:p>
            <w:pPr>
              <w:adjustRightInd w:val="0"/>
              <w:snapToGrid w:val="0"/>
              <w:spacing w:line="240" w:lineRule="auto"/>
              <w:ind w:firstLine="210" w:firstLineChars="100"/>
              <w:rPr>
                <w:snapToGrid w:val="0"/>
                <w:color w:val="000000" w:themeColor="text1"/>
                <w:kern w:val="2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废气</w:t>
            </w:r>
          </w:p>
        </w:tc>
        <w:tc>
          <w:tcPr>
            <w:tcW w:w="1867" w:type="dxa"/>
            <w:vAlign w:val="center"/>
          </w:tcPr>
          <w:p>
            <w:pPr>
              <w:pStyle w:val="51"/>
              <w:rPr>
                <w:snapToGrid w:val="0"/>
                <w:color w:val="000000" w:themeColor="text1"/>
                <w:kern w:val="2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颗粒物</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276"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559" w:type="dxa"/>
            <w:vAlign w:val="center"/>
          </w:tcPr>
          <w:p>
            <w:pPr>
              <w:pStyle w:val="51"/>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4.298t/a</w:t>
            </w:r>
          </w:p>
        </w:tc>
        <w:tc>
          <w:tcPr>
            <w:tcW w:w="1761"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811" w:type="dxa"/>
            <w:vAlign w:val="center"/>
          </w:tcPr>
          <w:p>
            <w:pPr>
              <w:pStyle w:val="51"/>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4.298t/a</w:t>
            </w:r>
          </w:p>
        </w:tc>
        <w:tc>
          <w:tcPr>
            <w:tcW w:w="1235" w:type="dxa"/>
            <w:vAlign w:val="center"/>
          </w:tcPr>
          <w:p>
            <w:pPr>
              <w:pStyle w:val="51"/>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4.298t/a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Merge w:val="restart"/>
            <w:vAlign w:val="center"/>
          </w:tcPr>
          <w:p>
            <w:pPr>
              <w:adjustRightInd w:val="0"/>
              <w:snapToGrid w:val="0"/>
              <w:spacing w:line="240" w:lineRule="auto"/>
              <w:ind w:firstLine="210" w:firstLineChars="100"/>
              <w:rPr>
                <w:rStyle w:val="59"/>
                <w:rFonts w:eastAsia="宋体"/>
                <w:color w:val="000000" w:themeColor="text1"/>
                <w:lang w:bidi="ar"/>
                <w14:textFill>
                  <w14:solidFill>
                    <w14:schemeClr w14:val="tx1"/>
                  </w14:solidFill>
                </w14:textFill>
              </w:rPr>
            </w:pPr>
            <w:bookmarkStart w:id="3" w:name="_GoBack" w:colFirst="8" w:colLast="8"/>
            <w:r>
              <w:rPr>
                <w:rStyle w:val="59"/>
                <w:rFonts w:eastAsia="宋体"/>
                <w:color w:val="000000" w:themeColor="text1"/>
                <w:lang w:bidi="ar"/>
                <w14:textFill>
                  <w14:solidFill>
                    <w14:schemeClr w14:val="tx1"/>
                  </w14:solidFill>
                </w14:textFill>
              </w:rPr>
              <w:t>废水</w:t>
            </w:r>
          </w:p>
        </w:tc>
        <w:tc>
          <w:tcPr>
            <w:tcW w:w="1867" w:type="dxa"/>
            <w:vAlign w:val="center"/>
          </w:tcPr>
          <w:p>
            <w:pPr>
              <w:adjustRightInd w:val="0"/>
              <w:snapToGrid w:val="0"/>
              <w:spacing w:line="240" w:lineRule="auto"/>
              <w:ind w:firstLine="0" w:firstLineChars="0"/>
              <w:jc w:val="center"/>
              <w:rPr>
                <w:snapToGrid w:val="0"/>
                <w:color w:val="000000" w:themeColor="text1"/>
                <w:kern w:val="2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化学需氧量</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276"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559"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0.</w:t>
            </w:r>
            <w:r>
              <w:rPr>
                <w:rStyle w:val="59"/>
                <w:rFonts w:hint="eastAsia" w:eastAsia="仿宋_GB2312"/>
                <w:color w:val="000000" w:themeColor="text1"/>
                <w:lang w:val="en-US" w:eastAsia="zh-CN" w:bidi="ar"/>
                <w14:textFill>
                  <w14:solidFill>
                    <w14:schemeClr w14:val="tx1"/>
                  </w14:solidFill>
                </w14:textFill>
              </w:rPr>
              <w:t>077</w:t>
            </w:r>
            <w:r>
              <w:rPr>
                <w:rStyle w:val="59"/>
                <w:color w:val="000000" w:themeColor="text1"/>
                <w:lang w:bidi="ar"/>
                <w14:textFill>
                  <w14:solidFill>
                    <w14:schemeClr w14:val="tx1"/>
                  </w14:solidFill>
                </w14:textFill>
              </w:rPr>
              <w:t>t/a</w:t>
            </w:r>
          </w:p>
        </w:tc>
        <w:tc>
          <w:tcPr>
            <w:tcW w:w="1761"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811" w:type="dxa"/>
            <w:vAlign w:val="center"/>
          </w:tcPr>
          <w:p>
            <w:pPr>
              <w:spacing w:line="240" w:lineRule="auto"/>
              <w:ind w:firstLine="0" w:firstLineChars="0"/>
              <w:jc w:val="center"/>
              <w:rPr>
                <w:rFonts w:eastAsia="仿宋_GB2312"/>
                <w:color w:val="000000" w:themeColor="text1"/>
                <w:sz w:val="21"/>
                <w:szCs w:val="21"/>
                <w:lang w:bidi="ar"/>
                <w14:textFill>
                  <w14:solidFill>
                    <w14:schemeClr w14:val="tx1"/>
                  </w14:solidFill>
                </w14:textFill>
              </w:rPr>
            </w:pPr>
            <w:r>
              <w:rPr>
                <w:rStyle w:val="59"/>
                <w:color w:val="000000" w:themeColor="text1"/>
                <w:lang w:bidi="ar"/>
                <w14:textFill>
                  <w14:solidFill>
                    <w14:schemeClr w14:val="tx1"/>
                  </w14:solidFill>
                </w14:textFill>
              </w:rPr>
              <w:t>0.</w:t>
            </w:r>
            <w:r>
              <w:rPr>
                <w:rStyle w:val="59"/>
                <w:rFonts w:hint="eastAsia" w:eastAsia="仿宋_GB2312"/>
                <w:color w:val="000000" w:themeColor="text1"/>
                <w:lang w:val="en-US" w:eastAsia="zh-CN" w:bidi="ar"/>
                <w14:textFill>
                  <w14:solidFill>
                    <w14:schemeClr w14:val="tx1"/>
                  </w14:solidFill>
                </w14:textFill>
              </w:rPr>
              <w:t>077</w:t>
            </w:r>
            <w:r>
              <w:rPr>
                <w:rStyle w:val="59"/>
                <w:color w:val="000000" w:themeColor="text1"/>
                <w:lang w:bidi="ar"/>
                <w14:textFill>
                  <w14:solidFill>
                    <w14:schemeClr w14:val="tx1"/>
                  </w14:solidFill>
                </w14:textFill>
              </w:rPr>
              <w:t>t/a</w:t>
            </w:r>
          </w:p>
        </w:tc>
        <w:tc>
          <w:tcPr>
            <w:tcW w:w="1235"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0.</w:t>
            </w:r>
            <w:r>
              <w:rPr>
                <w:rStyle w:val="59"/>
                <w:rFonts w:hint="eastAsia" w:eastAsia="仿宋_GB2312"/>
                <w:color w:val="000000" w:themeColor="text1"/>
                <w:lang w:val="en-US" w:eastAsia="zh-CN" w:bidi="ar"/>
                <w14:textFill>
                  <w14:solidFill>
                    <w14:schemeClr w14:val="tx1"/>
                  </w14:solidFill>
                </w14:textFill>
              </w:rPr>
              <w:t>077</w:t>
            </w:r>
            <w:r>
              <w:rPr>
                <w:rStyle w:val="59"/>
                <w:color w:val="000000" w:themeColor="text1"/>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Merge w:val="continue"/>
            <w:vAlign w:val="center"/>
          </w:tcPr>
          <w:p>
            <w:pPr>
              <w:adjustRightInd w:val="0"/>
              <w:snapToGrid w:val="0"/>
              <w:spacing w:line="240" w:lineRule="auto"/>
              <w:ind w:firstLine="210" w:firstLineChars="100"/>
              <w:rPr>
                <w:snapToGrid w:val="0"/>
                <w:color w:val="000000" w:themeColor="text1"/>
                <w:kern w:val="21"/>
                <w:sz w:val="21"/>
                <w:szCs w:val="21"/>
                <w14:textFill>
                  <w14:solidFill>
                    <w14:schemeClr w14:val="tx1"/>
                  </w14:solidFill>
                </w14:textFill>
              </w:rPr>
            </w:pPr>
          </w:p>
        </w:tc>
        <w:tc>
          <w:tcPr>
            <w:tcW w:w="1867" w:type="dxa"/>
            <w:vAlign w:val="center"/>
          </w:tcPr>
          <w:p>
            <w:pPr>
              <w:adjustRightInd w:val="0"/>
              <w:snapToGrid w:val="0"/>
              <w:spacing w:line="240" w:lineRule="auto"/>
              <w:ind w:firstLine="0" w:firstLineChars="0"/>
              <w:jc w:val="center"/>
              <w:rPr>
                <w:snapToGrid w:val="0"/>
                <w:color w:val="000000" w:themeColor="text1"/>
                <w:kern w:val="21"/>
                <w:sz w:val="21"/>
                <w:szCs w:val="21"/>
                <w14:textFill>
                  <w14:solidFill>
                    <w14:schemeClr w14:val="tx1"/>
                  </w14:solidFill>
                </w14:textFill>
              </w:rPr>
            </w:pPr>
            <w:r>
              <w:rPr>
                <w:rStyle w:val="59"/>
                <w:rFonts w:eastAsia="宋体"/>
                <w:color w:val="000000" w:themeColor="text1"/>
                <w:lang w:bidi="ar"/>
                <w14:textFill>
                  <w14:solidFill>
                    <w14:schemeClr w14:val="tx1"/>
                  </w14:solidFill>
                </w14:textFill>
              </w:rPr>
              <w:t>氨氮</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276"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559"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0.00</w:t>
            </w:r>
            <w:r>
              <w:rPr>
                <w:rStyle w:val="59"/>
                <w:rFonts w:hint="eastAsia" w:eastAsia="仿宋_GB2312"/>
                <w:color w:val="000000" w:themeColor="text1"/>
                <w:lang w:val="en-US" w:eastAsia="zh-CN" w:bidi="ar"/>
                <w14:textFill>
                  <w14:solidFill>
                    <w14:schemeClr w14:val="tx1"/>
                  </w14:solidFill>
                </w14:textFill>
              </w:rPr>
              <w:t>5</w:t>
            </w:r>
            <w:r>
              <w:rPr>
                <w:rStyle w:val="59"/>
                <w:color w:val="000000" w:themeColor="text1"/>
                <w:lang w:bidi="ar"/>
                <w14:textFill>
                  <w14:solidFill>
                    <w14:schemeClr w14:val="tx1"/>
                  </w14:solidFill>
                </w14:textFill>
              </w:rPr>
              <w:t>t/a</w:t>
            </w:r>
          </w:p>
        </w:tc>
        <w:tc>
          <w:tcPr>
            <w:tcW w:w="1761"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81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0.00</w:t>
            </w:r>
            <w:r>
              <w:rPr>
                <w:rStyle w:val="59"/>
                <w:rFonts w:hint="eastAsia" w:eastAsia="仿宋_GB2312"/>
                <w:color w:val="000000" w:themeColor="text1"/>
                <w:lang w:val="en-US" w:eastAsia="zh-CN" w:bidi="ar"/>
                <w14:textFill>
                  <w14:solidFill>
                    <w14:schemeClr w14:val="tx1"/>
                  </w14:solidFill>
                </w14:textFill>
              </w:rPr>
              <w:t>5</w:t>
            </w:r>
            <w:r>
              <w:rPr>
                <w:rStyle w:val="59"/>
                <w:color w:val="000000" w:themeColor="text1"/>
                <w:lang w:bidi="ar"/>
                <w14:textFill>
                  <w14:solidFill>
                    <w14:schemeClr w14:val="tx1"/>
                  </w14:solidFill>
                </w14:textFill>
              </w:rPr>
              <w:t>t/a</w:t>
            </w:r>
          </w:p>
        </w:tc>
        <w:tc>
          <w:tcPr>
            <w:tcW w:w="1235"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0.00</w:t>
            </w:r>
            <w:r>
              <w:rPr>
                <w:rStyle w:val="59"/>
                <w:rFonts w:hint="eastAsia" w:eastAsia="仿宋_GB2312"/>
                <w:color w:val="000000" w:themeColor="text1"/>
                <w:lang w:val="en-US" w:eastAsia="zh-CN" w:bidi="ar"/>
                <w14:textFill>
                  <w14:solidFill>
                    <w14:schemeClr w14:val="tx1"/>
                  </w14:solidFill>
                </w14:textFill>
              </w:rPr>
              <w:t>5</w:t>
            </w:r>
            <w:r>
              <w:rPr>
                <w:rStyle w:val="59"/>
                <w:color w:val="000000" w:themeColor="text1"/>
                <w:lang w:bidi="ar"/>
                <w14:textFill>
                  <w14:solidFill>
                    <w14:schemeClr w14:val="tx1"/>
                  </w14:solidFill>
                </w14:textFill>
              </w:rPr>
              <w:t>t/a</w:t>
            </w:r>
          </w:p>
        </w:tc>
      </w:tr>
      <w:bookmarkEnd w:id="3"/>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Merge w:val="restart"/>
            <w:vAlign w:val="center"/>
          </w:tcPr>
          <w:p>
            <w:pPr>
              <w:adjustRightInd w:val="0"/>
              <w:snapToGrid w:val="0"/>
              <w:spacing w:line="240" w:lineRule="auto"/>
              <w:ind w:firstLine="0" w:firstLineChars="0"/>
              <w:rPr>
                <w:snapToGrid w:val="0"/>
                <w:color w:val="000000" w:themeColor="text1"/>
                <w:kern w:val="2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一般工业固体废物</w:t>
            </w:r>
          </w:p>
        </w:tc>
        <w:tc>
          <w:tcPr>
            <w:tcW w:w="1867" w:type="dxa"/>
            <w:vAlign w:val="center"/>
          </w:tcPr>
          <w:p>
            <w:pPr>
              <w:spacing w:line="240" w:lineRule="auto"/>
              <w:ind w:firstLine="0" w:firstLineChars="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不合格品</w:t>
            </w:r>
          </w:p>
        </w:tc>
        <w:tc>
          <w:tcPr>
            <w:tcW w:w="1701" w:type="dxa"/>
            <w:vAlign w:val="center"/>
          </w:tcPr>
          <w:p>
            <w:pPr>
              <w:spacing w:line="240" w:lineRule="auto"/>
              <w:ind w:firstLine="0" w:firstLineChars="0"/>
              <w:jc w:val="center"/>
              <w:rPr>
                <w:rStyle w:val="59"/>
                <w:rFonts w:hint="eastAsia" w:eastAsia="仿宋_GB2312"/>
                <w:color w:val="000000" w:themeColor="text1"/>
                <w:lang w:val="en-US" w:eastAsia="zh-CN"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w:t>
            </w:r>
          </w:p>
        </w:tc>
        <w:tc>
          <w:tcPr>
            <w:tcW w:w="1276" w:type="dxa"/>
            <w:vAlign w:val="center"/>
          </w:tcPr>
          <w:p>
            <w:pPr>
              <w:spacing w:line="240" w:lineRule="auto"/>
              <w:ind w:firstLine="0" w:firstLineChars="0"/>
              <w:jc w:val="center"/>
              <w:rPr>
                <w:rStyle w:val="59"/>
                <w:rFonts w:hint="eastAsia" w:eastAsia="仿宋_GB2312"/>
                <w:color w:val="000000" w:themeColor="text1"/>
                <w:lang w:val="en-US" w:eastAsia="zh-CN"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w:t>
            </w:r>
          </w:p>
        </w:tc>
        <w:tc>
          <w:tcPr>
            <w:tcW w:w="1701" w:type="dxa"/>
            <w:vAlign w:val="center"/>
          </w:tcPr>
          <w:p>
            <w:pPr>
              <w:spacing w:line="240" w:lineRule="auto"/>
              <w:ind w:firstLine="0" w:firstLineChars="0"/>
              <w:jc w:val="center"/>
              <w:rPr>
                <w:rStyle w:val="59"/>
                <w:rFonts w:hint="eastAsia" w:eastAsia="仿宋_GB2312"/>
                <w:color w:val="000000" w:themeColor="text1"/>
                <w:lang w:val="en-US" w:eastAsia="zh-CN"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w:t>
            </w:r>
          </w:p>
        </w:tc>
        <w:tc>
          <w:tcPr>
            <w:tcW w:w="1559" w:type="dxa"/>
            <w:vAlign w:val="center"/>
          </w:tcPr>
          <w:p>
            <w:pPr>
              <w:spacing w:line="240" w:lineRule="auto"/>
              <w:ind w:firstLine="0" w:firstLineChars="0"/>
              <w:jc w:val="center"/>
              <w:rPr>
                <w:rStyle w:val="59"/>
                <w:rFonts w:hint="default" w:eastAsia="仿宋_GB2312"/>
                <w:color w:val="000000" w:themeColor="text1"/>
                <w:lang w:val="en-US" w:eastAsia="zh-CN"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200</w:t>
            </w:r>
            <w:r>
              <w:rPr>
                <w:rStyle w:val="59"/>
                <w:color w:val="000000" w:themeColor="text1"/>
                <w:lang w:bidi="ar"/>
                <w14:textFill>
                  <w14:solidFill>
                    <w14:schemeClr w14:val="tx1"/>
                  </w14:solidFill>
                </w14:textFill>
              </w:rPr>
              <w:t>t/a</w:t>
            </w:r>
          </w:p>
        </w:tc>
        <w:tc>
          <w:tcPr>
            <w:tcW w:w="1761" w:type="dxa"/>
            <w:vAlign w:val="center"/>
          </w:tcPr>
          <w:p>
            <w:pPr>
              <w:spacing w:line="240" w:lineRule="auto"/>
              <w:ind w:firstLine="0" w:firstLineChars="0"/>
              <w:jc w:val="center"/>
              <w:rPr>
                <w:rStyle w:val="59"/>
                <w:rFonts w:hint="eastAsia" w:eastAsia="仿宋_GB2312"/>
                <w:color w:val="000000" w:themeColor="text1"/>
                <w:highlight w:val="cyan"/>
                <w:lang w:val="en-US" w:eastAsia="zh-CN"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w:t>
            </w:r>
          </w:p>
        </w:tc>
        <w:tc>
          <w:tcPr>
            <w:tcW w:w="181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200</w:t>
            </w:r>
            <w:r>
              <w:rPr>
                <w:rStyle w:val="59"/>
                <w:color w:val="000000" w:themeColor="text1"/>
                <w:lang w:bidi="ar"/>
                <w14:textFill>
                  <w14:solidFill>
                    <w14:schemeClr w14:val="tx1"/>
                  </w14:solidFill>
                </w14:textFill>
              </w:rPr>
              <w:t>t/a</w:t>
            </w:r>
          </w:p>
        </w:tc>
        <w:tc>
          <w:tcPr>
            <w:tcW w:w="1235"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rFonts w:hint="eastAsia" w:eastAsia="仿宋_GB2312"/>
                <w:color w:val="000000" w:themeColor="text1"/>
                <w:lang w:val="en-US" w:eastAsia="zh-CN" w:bidi="ar"/>
                <w14:textFill>
                  <w14:solidFill>
                    <w14:schemeClr w14:val="tx1"/>
                  </w14:solidFill>
                </w14:textFill>
              </w:rPr>
              <w:t>200</w:t>
            </w:r>
            <w:r>
              <w:rPr>
                <w:rStyle w:val="59"/>
                <w:color w:val="000000" w:themeColor="text1"/>
                <w:lang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Merge w:val="continue"/>
            <w:vAlign w:val="center"/>
          </w:tcPr>
          <w:p>
            <w:pPr>
              <w:adjustRightInd w:val="0"/>
              <w:snapToGrid w:val="0"/>
              <w:spacing w:line="240" w:lineRule="auto"/>
              <w:ind w:firstLine="0" w:firstLineChars="0"/>
              <w:rPr>
                <w:snapToGrid w:val="0"/>
                <w:color w:val="000000" w:themeColor="text1"/>
                <w:kern w:val="21"/>
                <w:sz w:val="21"/>
                <w:szCs w:val="21"/>
                <w14:textFill>
                  <w14:solidFill>
                    <w14:schemeClr w14:val="tx1"/>
                  </w14:solidFill>
                </w14:textFill>
              </w:rPr>
            </w:pPr>
          </w:p>
        </w:tc>
        <w:tc>
          <w:tcPr>
            <w:tcW w:w="1867" w:type="dxa"/>
            <w:vAlign w:val="center"/>
          </w:tcPr>
          <w:p>
            <w:pPr>
              <w:spacing w:line="240" w:lineRule="auto"/>
              <w:ind w:firstLine="0" w:firstLineChars="0"/>
              <w:jc w:val="center"/>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除尘器收集粉尘</w:t>
            </w:r>
          </w:p>
        </w:tc>
        <w:tc>
          <w:tcPr>
            <w:tcW w:w="1701"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lang w:val="en-US" w:eastAsia="zh-CN" w:bidi="ar"/>
                <w14:textFill>
                  <w14:solidFill>
                    <w14:schemeClr w14:val="tx1"/>
                  </w14:solidFill>
                </w14:textFill>
              </w:rPr>
            </w:pPr>
            <w:r>
              <w:rPr>
                <w:rStyle w:val="59"/>
                <w:color w:val="000000" w:themeColor="text1"/>
                <w:lang w:bidi="ar"/>
                <w14:textFill>
                  <w14:solidFill>
                    <w14:schemeClr w14:val="tx1"/>
                  </w14:solidFill>
                </w14:textFill>
              </w:rPr>
              <w:t>/</w:t>
            </w:r>
          </w:p>
        </w:tc>
        <w:tc>
          <w:tcPr>
            <w:tcW w:w="1276"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lang w:val="en-US" w:eastAsia="zh-CN" w:bidi="ar"/>
                <w14:textFill>
                  <w14:solidFill>
                    <w14:schemeClr w14:val="tx1"/>
                  </w14:solidFill>
                </w14:textFill>
              </w:rPr>
            </w:pPr>
            <w:r>
              <w:rPr>
                <w:rStyle w:val="59"/>
                <w:color w:val="000000" w:themeColor="text1"/>
                <w:lang w:bidi="ar"/>
                <w14:textFill>
                  <w14:solidFill>
                    <w14:schemeClr w14:val="tx1"/>
                  </w14:solidFill>
                </w14:textFill>
              </w:rPr>
              <w:t>/</w:t>
            </w:r>
          </w:p>
        </w:tc>
        <w:tc>
          <w:tcPr>
            <w:tcW w:w="1701"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lang w:val="en-US" w:eastAsia="zh-CN" w:bidi="ar"/>
                <w14:textFill>
                  <w14:solidFill>
                    <w14:schemeClr w14:val="tx1"/>
                  </w14:solidFill>
                </w14:textFill>
              </w:rPr>
            </w:pPr>
            <w:r>
              <w:rPr>
                <w:rStyle w:val="59"/>
                <w:color w:val="000000" w:themeColor="text1"/>
                <w:lang w:bidi="ar"/>
                <w14:textFill>
                  <w14:solidFill>
                    <w14:schemeClr w14:val="tx1"/>
                  </w14:solidFill>
                </w14:textFill>
              </w:rPr>
              <w:t>/</w:t>
            </w:r>
          </w:p>
        </w:tc>
        <w:tc>
          <w:tcPr>
            <w:tcW w:w="1559"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lang w:val="en-US" w:eastAsia="zh-CN" w:bidi="ar"/>
                <w14:textFill>
                  <w14:solidFill>
                    <w14:schemeClr w14:val="tx1"/>
                  </w14:solidFill>
                </w14:textFill>
              </w:rPr>
            </w:pPr>
            <w:r>
              <w:rPr>
                <w:rStyle w:val="59"/>
                <w:color w:val="000000" w:themeColor="text1"/>
                <w:lang w:bidi="ar"/>
                <w14:textFill>
                  <w14:solidFill>
                    <w14:schemeClr w14:val="tx1"/>
                  </w14:solidFill>
                </w14:textFill>
              </w:rPr>
              <w:t>415.24t/a</w:t>
            </w:r>
          </w:p>
        </w:tc>
        <w:tc>
          <w:tcPr>
            <w:tcW w:w="1761"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highlight w:val="cyan"/>
                <w:lang w:val="en-US" w:eastAsia="zh-CN" w:bidi="ar"/>
                <w14:textFill>
                  <w14:solidFill>
                    <w14:schemeClr w14:val="tx1"/>
                  </w14:solidFill>
                </w14:textFill>
              </w:rPr>
            </w:pPr>
            <w:r>
              <w:rPr>
                <w:rStyle w:val="59"/>
                <w:color w:val="000000" w:themeColor="text1"/>
                <w:lang w:bidi="ar"/>
                <w14:textFill>
                  <w14:solidFill>
                    <w14:schemeClr w14:val="tx1"/>
                  </w14:solidFill>
                </w14:textFill>
              </w:rPr>
              <w:t>/</w:t>
            </w:r>
          </w:p>
        </w:tc>
        <w:tc>
          <w:tcPr>
            <w:tcW w:w="1811"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lang w:val="en-US" w:eastAsia="zh-CN" w:bidi="ar"/>
                <w14:textFill>
                  <w14:solidFill>
                    <w14:schemeClr w14:val="tx1"/>
                  </w14:solidFill>
                </w14:textFill>
              </w:rPr>
            </w:pPr>
            <w:r>
              <w:rPr>
                <w:rStyle w:val="59"/>
                <w:color w:val="000000" w:themeColor="text1"/>
                <w:lang w:bidi="ar"/>
                <w14:textFill>
                  <w14:solidFill>
                    <w14:schemeClr w14:val="tx1"/>
                  </w14:solidFill>
                </w14:textFill>
              </w:rPr>
              <w:t>415.24t/a</w:t>
            </w:r>
          </w:p>
        </w:tc>
        <w:tc>
          <w:tcPr>
            <w:tcW w:w="1235" w:type="dxa"/>
            <w:vAlign w:val="center"/>
          </w:tcPr>
          <w:p>
            <w:pPr>
              <w:spacing w:line="240" w:lineRule="auto"/>
              <w:ind w:firstLine="0" w:firstLineChars="0"/>
              <w:jc w:val="center"/>
              <w:rPr>
                <w:rFonts w:hint="default" w:ascii="Times New Roman" w:hAnsi="Times New Roman" w:eastAsia="仿宋_GB2312" w:cs="Times New Roman"/>
                <w:color w:val="000000" w:themeColor="text1"/>
                <w:kern w:val="2"/>
                <w:sz w:val="21"/>
                <w:szCs w:val="21"/>
                <w:highlight w:val="cyan"/>
                <w:lang w:val="en-US" w:eastAsia="zh-CN" w:bidi="ar"/>
                <w14:textFill>
                  <w14:solidFill>
                    <w14:schemeClr w14:val="tx1"/>
                  </w14:solidFill>
                </w14:textFill>
              </w:rPr>
            </w:pPr>
            <w:r>
              <w:rPr>
                <w:rStyle w:val="59"/>
                <w:color w:val="000000" w:themeColor="text1"/>
                <w:lang w:bidi="ar"/>
                <w14:textFill>
                  <w14:solidFill>
                    <w14:schemeClr w14:val="tx1"/>
                  </w14:solidFill>
                </w14:textFill>
              </w:rPr>
              <w:t>415.24t/a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Merge w:val="continue"/>
            <w:vAlign w:val="center"/>
          </w:tcPr>
          <w:p>
            <w:pPr>
              <w:adjustRightInd w:val="0"/>
              <w:snapToGrid w:val="0"/>
              <w:spacing w:line="240" w:lineRule="auto"/>
              <w:ind w:firstLine="0" w:firstLineChars="0"/>
              <w:rPr>
                <w:snapToGrid w:val="0"/>
                <w:color w:val="000000" w:themeColor="text1"/>
                <w:kern w:val="21"/>
                <w:sz w:val="21"/>
                <w:szCs w:val="21"/>
                <w14:textFill>
                  <w14:solidFill>
                    <w14:schemeClr w14:val="tx1"/>
                  </w14:solidFill>
                </w14:textFill>
              </w:rPr>
            </w:pPr>
          </w:p>
        </w:tc>
        <w:tc>
          <w:tcPr>
            <w:tcW w:w="1867" w:type="dxa"/>
            <w:vAlign w:val="center"/>
          </w:tcPr>
          <w:p>
            <w:pPr>
              <w:spacing w:line="240" w:lineRule="auto"/>
              <w:ind w:firstLine="0" w:firstLineChars="0"/>
              <w:jc w:val="center"/>
              <w:rPr>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沉淀池沉渣</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276"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559"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29.75t/a</w:t>
            </w:r>
          </w:p>
        </w:tc>
        <w:tc>
          <w:tcPr>
            <w:tcW w:w="1761"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81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29.75t/a</w:t>
            </w:r>
          </w:p>
        </w:tc>
        <w:tc>
          <w:tcPr>
            <w:tcW w:w="1235"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29.75t/a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8" w:type="dxa"/>
            <w:vAlign w:val="center"/>
          </w:tcPr>
          <w:p>
            <w:pPr>
              <w:adjustRightInd w:val="0"/>
              <w:snapToGrid w:val="0"/>
              <w:spacing w:line="240" w:lineRule="auto"/>
              <w:ind w:firstLine="0" w:firstLineChars="0"/>
              <w:rPr>
                <w:snapToGrid w:val="0"/>
                <w:color w:val="000000" w:themeColor="text1"/>
                <w:kern w:val="21"/>
                <w:sz w:val="21"/>
                <w:szCs w:val="21"/>
                <w14:textFill>
                  <w14:solidFill>
                    <w14:schemeClr w14:val="tx1"/>
                  </w14:solidFill>
                </w14:textFill>
              </w:rPr>
            </w:pPr>
            <w:r>
              <w:rPr>
                <w:snapToGrid w:val="0"/>
                <w:color w:val="000000" w:themeColor="text1"/>
                <w:kern w:val="21"/>
                <w:sz w:val="21"/>
                <w:szCs w:val="21"/>
                <w14:textFill>
                  <w14:solidFill>
                    <w14:schemeClr w14:val="tx1"/>
                  </w14:solidFill>
                </w14:textFill>
              </w:rPr>
              <w:t>危险废物</w:t>
            </w:r>
          </w:p>
        </w:tc>
        <w:tc>
          <w:tcPr>
            <w:tcW w:w="1867"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废机油</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276"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701" w:type="dxa"/>
            <w:vAlign w:val="center"/>
          </w:tcPr>
          <w:p>
            <w:pPr>
              <w:spacing w:line="240" w:lineRule="auto"/>
              <w:ind w:firstLine="0" w:firstLineChars="0"/>
              <w:jc w:val="center"/>
              <w:rPr>
                <w:rStyle w:val="59"/>
                <w:color w:val="000000" w:themeColor="text1"/>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55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r>
              <w:rPr>
                <w:rStyle w:val="59"/>
                <w:color w:val="000000" w:themeColor="text1"/>
                <w:lang w:bidi="ar"/>
                <w14:textFill>
                  <w14:solidFill>
                    <w14:schemeClr w14:val="tx1"/>
                  </w14:solidFill>
                </w14:textFill>
              </w:rPr>
              <w:t>t/a</w:t>
            </w:r>
          </w:p>
        </w:tc>
        <w:tc>
          <w:tcPr>
            <w:tcW w:w="1761"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rStyle w:val="59"/>
                <w:color w:val="000000" w:themeColor="text1"/>
                <w:lang w:bidi="ar"/>
                <w14:textFill>
                  <w14:solidFill>
                    <w14:schemeClr w14:val="tx1"/>
                  </w14:solidFill>
                </w14:textFill>
              </w:rPr>
              <w:t>/</w:t>
            </w:r>
          </w:p>
        </w:tc>
        <w:tc>
          <w:tcPr>
            <w:tcW w:w="181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r>
              <w:rPr>
                <w:rStyle w:val="59"/>
                <w:color w:val="000000" w:themeColor="text1"/>
                <w:lang w:bidi="ar"/>
                <w14:textFill>
                  <w14:solidFill>
                    <w14:schemeClr w14:val="tx1"/>
                  </w14:solidFill>
                </w14:textFill>
              </w:rPr>
              <w:t>t/a</w:t>
            </w:r>
          </w:p>
        </w:tc>
        <w:tc>
          <w:tcPr>
            <w:tcW w:w="1235" w:type="dxa"/>
            <w:vAlign w:val="center"/>
          </w:tcPr>
          <w:p>
            <w:pPr>
              <w:spacing w:line="240" w:lineRule="auto"/>
              <w:ind w:firstLine="0" w:firstLineChars="0"/>
              <w:jc w:val="center"/>
              <w:rPr>
                <w:rStyle w:val="59"/>
                <w:color w:val="000000" w:themeColor="text1"/>
                <w:highlight w:val="cyan"/>
                <w:lang w:bidi="ar"/>
                <w14:textFill>
                  <w14:solidFill>
                    <w14:schemeClr w14:val="tx1"/>
                  </w14:solidFill>
                </w14:textFill>
              </w:rPr>
            </w:pPr>
            <w:r>
              <w:rPr>
                <w:color w:val="000000" w:themeColor="text1"/>
                <w:sz w:val="21"/>
                <w:szCs w:val="21"/>
                <w14:textFill>
                  <w14:solidFill>
                    <w14:schemeClr w14:val="tx1"/>
                  </w14:solidFill>
                </w14:textFill>
              </w:rPr>
              <w:t>0.03</w:t>
            </w:r>
            <w:r>
              <w:rPr>
                <w:rStyle w:val="59"/>
                <w:color w:val="000000" w:themeColor="text1"/>
                <w:lang w:bidi="ar"/>
                <w14:textFill>
                  <w14:solidFill>
                    <w14:schemeClr w14:val="tx1"/>
                  </w14:solidFill>
                </w14:textFill>
              </w:rPr>
              <w:t>t/a</w:t>
            </w:r>
          </w:p>
        </w:tc>
      </w:tr>
    </w:tbl>
    <w:p>
      <w:pPr>
        <w:adjustRightInd w:val="0"/>
        <w:snapToGrid w:val="0"/>
        <w:spacing w:before="192" w:beforeLines="80" w:after="24" w:afterLines="10" w:line="259" w:lineRule="auto"/>
        <w:ind w:firstLine="420"/>
        <w:jc w:val="left"/>
        <w:rPr>
          <w:color w:val="000000" w:themeColor="text1"/>
          <w14:textFill>
            <w14:solidFill>
              <w14:schemeClr w14:val="tx1"/>
            </w14:solidFill>
          </w14:textFill>
        </w:rPr>
      </w:pPr>
      <w:r>
        <w:rPr>
          <w:snapToGrid w:val="0"/>
          <w:color w:val="000000" w:themeColor="text1"/>
          <w:kern w:val="21"/>
          <w:sz w:val="21"/>
          <w:szCs w:val="21"/>
          <w14:textFill>
            <w14:solidFill>
              <w14:schemeClr w14:val="tx1"/>
            </w14:solidFill>
          </w14:textFill>
        </w:rPr>
        <w:t>注：</w:t>
      </w:r>
      <w:r>
        <w:rPr>
          <w:snapToGrid w:val="0"/>
          <w:color w:val="000000" w:themeColor="text1"/>
          <w:spacing w:val="-16"/>
          <w:kern w:val="21"/>
          <w:sz w:val="21"/>
          <w:szCs w:val="21"/>
          <w14:textFill>
            <w14:solidFill>
              <w14:schemeClr w14:val="tx1"/>
            </w14:solidFill>
          </w14:textFill>
        </w:rPr>
        <w:fldChar w:fldCharType="begin"/>
      </w:r>
      <w:r>
        <w:rPr>
          <w:snapToGrid w:val="0"/>
          <w:color w:val="000000" w:themeColor="text1"/>
          <w:spacing w:val="-16"/>
          <w:kern w:val="21"/>
          <w:sz w:val="21"/>
          <w:szCs w:val="21"/>
          <w14:textFill>
            <w14:solidFill>
              <w14:schemeClr w14:val="tx1"/>
            </w14:solidFill>
          </w14:textFill>
        </w:rPr>
        <w:instrText xml:space="preserve"> = 6 \* GB3 \* MERGEFORMAT </w:instrText>
      </w:r>
      <w:r>
        <w:rPr>
          <w:snapToGrid w:val="0"/>
          <w:color w:val="000000" w:themeColor="text1"/>
          <w:spacing w:val="-1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⑥</w:t>
      </w:r>
      <w:r>
        <w:rPr>
          <w:snapToGrid w:val="0"/>
          <w:color w:val="000000" w:themeColor="text1"/>
          <w:spacing w:val="-16"/>
          <w:kern w:val="21"/>
          <w:sz w:val="21"/>
          <w:szCs w:val="21"/>
          <w14:textFill>
            <w14:solidFill>
              <w14:schemeClr w14:val="tx1"/>
            </w14:solidFill>
          </w14:textFill>
        </w:rPr>
        <w:fldChar w:fldCharType="end"/>
      </w:r>
      <w:r>
        <w:rPr>
          <w:snapToGrid w:val="0"/>
          <w:color w:val="000000" w:themeColor="text1"/>
          <w:spacing w:val="-16"/>
          <w:kern w:val="21"/>
          <w:sz w:val="21"/>
          <w:szCs w:val="21"/>
          <w14:textFill>
            <w14:solidFill>
              <w14:schemeClr w14:val="tx1"/>
            </w14:solidFill>
          </w14:textFill>
        </w:rPr>
        <w:t>=</w:t>
      </w:r>
      <w:r>
        <w:rPr>
          <w:snapToGrid w:val="0"/>
          <w:color w:val="000000" w:themeColor="text1"/>
          <w:spacing w:val="-6"/>
          <w:kern w:val="21"/>
          <w:sz w:val="21"/>
          <w:szCs w:val="21"/>
          <w14:textFill>
            <w14:solidFill>
              <w14:schemeClr w14:val="tx1"/>
            </w14:solidFill>
          </w14:textFill>
        </w:rPr>
        <w:fldChar w:fldCharType="begin"/>
      </w:r>
      <w:r>
        <w:rPr>
          <w:snapToGrid w:val="0"/>
          <w:color w:val="000000" w:themeColor="text1"/>
          <w:spacing w:val="-6"/>
          <w:kern w:val="21"/>
          <w:sz w:val="21"/>
          <w:szCs w:val="21"/>
          <w14:textFill>
            <w14:solidFill>
              <w14:schemeClr w14:val="tx1"/>
            </w14:solidFill>
          </w14:textFill>
        </w:rPr>
        <w:instrText xml:space="preserve"> = 1 \* GB3 \* MERGEFORMAT </w:instrText>
      </w:r>
      <w:r>
        <w:rPr>
          <w:snapToGrid w:val="0"/>
          <w:color w:val="000000" w:themeColor="text1"/>
          <w:spacing w:val="-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①</w:t>
      </w:r>
      <w:r>
        <w:rPr>
          <w:snapToGrid w:val="0"/>
          <w:color w:val="000000" w:themeColor="text1"/>
          <w:spacing w:val="-6"/>
          <w:kern w:val="21"/>
          <w:sz w:val="21"/>
          <w:szCs w:val="21"/>
          <w14:textFill>
            <w14:solidFill>
              <w14:schemeClr w14:val="tx1"/>
            </w14:solidFill>
          </w14:textFill>
        </w:rPr>
        <w:fldChar w:fldCharType="end"/>
      </w:r>
      <w:r>
        <w:rPr>
          <w:snapToGrid w:val="0"/>
          <w:color w:val="000000" w:themeColor="text1"/>
          <w:spacing w:val="-6"/>
          <w:kern w:val="21"/>
          <w:sz w:val="21"/>
          <w:szCs w:val="21"/>
          <w14:textFill>
            <w14:solidFill>
              <w14:schemeClr w14:val="tx1"/>
            </w14:solidFill>
          </w14:textFill>
        </w:rPr>
        <w:t>+</w:t>
      </w:r>
      <w:r>
        <w:rPr>
          <w:snapToGrid w:val="0"/>
          <w:color w:val="000000" w:themeColor="text1"/>
          <w:spacing w:val="-6"/>
          <w:kern w:val="21"/>
          <w:sz w:val="21"/>
          <w:szCs w:val="21"/>
          <w14:textFill>
            <w14:solidFill>
              <w14:schemeClr w14:val="tx1"/>
            </w14:solidFill>
          </w14:textFill>
        </w:rPr>
        <w:fldChar w:fldCharType="begin"/>
      </w:r>
      <w:r>
        <w:rPr>
          <w:snapToGrid w:val="0"/>
          <w:color w:val="000000" w:themeColor="text1"/>
          <w:spacing w:val="-6"/>
          <w:kern w:val="21"/>
          <w:sz w:val="21"/>
          <w:szCs w:val="21"/>
          <w14:textFill>
            <w14:solidFill>
              <w14:schemeClr w14:val="tx1"/>
            </w14:solidFill>
          </w14:textFill>
        </w:rPr>
        <w:instrText xml:space="preserve"> = 3 \* GB3 \* MERGEFORMAT </w:instrText>
      </w:r>
      <w:r>
        <w:rPr>
          <w:snapToGrid w:val="0"/>
          <w:color w:val="000000" w:themeColor="text1"/>
          <w:spacing w:val="-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③</w:t>
      </w:r>
      <w:r>
        <w:rPr>
          <w:snapToGrid w:val="0"/>
          <w:color w:val="000000" w:themeColor="text1"/>
          <w:spacing w:val="-6"/>
          <w:kern w:val="21"/>
          <w:sz w:val="21"/>
          <w:szCs w:val="21"/>
          <w14:textFill>
            <w14:solidFill>
              <w14:schemeClr w14:val="tx1"/>
            </w14:solidFill>
          </w14:textFill>
        </w:rPr>
        <w:fldChar w:fldCharType="end"/>
      </w:r>
      <w:r>
        <w:rPr>
          <w:snapToGrid w:val="0"/>
          <w:color w:val="000000" w:themeColor="text1"/>
          <w:spacing w:val="-6"/>
          <w:kern w:val="21"/>
          <w:sz w:val="21"/>
          <w:szCs w:val="21"/>
          <w14:textFill>
            <w14:solidFill>
              <w14:schemeClr w14:val="tx1"/>
            </w14:solidFill>
          </w14:textFill>
        </w:rPr>
        <w:t>+</w:t>
      </w:r>
      <w:r>
        <w:rPr>
          <w:snapToGrid w:val="0"/>
          <w:color w:val="000000" w:themeColor="text1"/>
          <w:spacing w:val="-6"/>
          <w:kern w:val="21"/>
          <w:sz w:val="21"/>
          <w:szCs w:val="21"/>
          <w14:textFill>
            <w14:solidFill>
              <w14:schemeClr w14:val="tx1"/>
            </w14:solidFill>
          </w14:textFill>
        </w:rPr>
        <w:fldChar w:fldCharType="begin"/>
      </w:r>
      <w:r>
        <w:rPr>
          <w:snapToGrid w:val="0"/>
          <w:color w:val="000000" w:themeColor="text1"/>
          <w:spacing w:val="-6"/>
          <w:kern w:val="21"/>
          <w:sz w:val="21"/>
          <w:szCs w:val="21"/>
          <w14:textFill>
            <w14:solidFill>
              <w14:schemeClr w14:val="tx1"/>
            </w14:solidFill>
          </w14:textFill>
        </w:rPr>
        <w:instrText xml:space="preserve"> = 4 \* GB3 \* MERGEFORMAT </w:instrText>
      </w:r>
      <w:r>
        <w:rPr>
          <w:snapToGrid w:val="0"/>
          <w:color w:val="000000" w:themeColor="text1"/>
          <w:spacing w:val="-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④</w:t>
      </w:r>
      <w:r>
        <w:rPr>
          <w:snapToGrid w:val="0"/>
          <w:color w:val="000000" w:themeColor="text1"/>
          <w:spacing w:val="-6"/>
          <w:kern w:val="21"/>
          <w:sz w:val="21"/>
          <w:szCs w:val="21"/>
          <w14:textFill>
            <w14:solidFill>
              <w14:schemeClr w14:val="tx1"/>
            </w14:solidFill>
          </w14:textFill>
        </w:rPr>
        <w:fldChar w:fldCharType="end"/>
      </w:r>
      <w:r>
        <w:rPr>
          <w:snapToGrid w:val="0"/>
          <w:color w:val="000000" w:themeColor="text1"/>
          <w:spacing w:val="-6"/>
          <w:kern w:val="21"/>
          <w:sz w:val="21"/>
          <w:szCs w:val="21"/>
          <w14:textFill>
            <w14:solidFill>
              <w14:schemeClr w14:val="tx1"/>
            </w14:solidFill>
          </w14:textFill>
        </w:rPr>
        <w:t>-</w:t>
      </w:r>
      <w:r>
        <w:rPr>
          <w:snapToGrid w:val="0"/>
          <w:color w:val="000000" w:themeColor="text1"/>
          <w:spacing w:val="-16"/>
          <w:kern w:val="21"/>
          <w:sz w:val="21"/>
          <w:szCs w:val="21"/>
          <w14:textFill>
            <w14:solidFill>
              <w14:schemeClr w14:val="tx1"/>
            </w14:solidFill>
          </w14:textFill>
        </w:rPr>
        <w:fldChar w:fldCharType="begin"/>
      </w:r>
      <w:r>
        <w:rPr>
          <w:snapToGrid w:val="0"/>
          <w:color w:val="000000" w:themeColor="text1"/>
          <w:spacing w:val="-16"/>
          <w:kern w:val="21"/>
          <w:sz w:val="21"/>
          <w:szCs w:val="21"/>
          <w14:textFill>
            <w14:solidFill>
              <w14:schemeClr w14:val="tx1"/>
            </w14:solidFill>
          </w14:textFill>
        </w:rPr>
        <w:instrText xml:space="preserve"> = 5 \* GB3 \* MERGEFORMAT </w:instrText>
      </w:r>
      <w:r>
        <w:rPr>
          <w:snapToGrid w:val="0"/>
          <w:color w:val="000000" w:themeColor="text1"/>
          <w:spacing w:val="-1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⑤</w:t>
      </w:r>
      <w:r>
        <w:rPr>
          <w:snapToGrid w:val="0"/>
          <w:color w:val="000000" w:themeColor="text1"/>
          <w:spacing w:val="-16"/>
          <w:kern w:val="21"/>
          <w:sz w:val="21"/>
          <w:szCs w:val="21"/>
          <w14:textFill>
            <w14:solidFill>
              <w14:schemeClr w14:val="tx1"/>
            </w14:solidFill>
          </w14:textFill>
        </w:rPr>
        <w:fldChar w:fldCharType="end"/>
      </w:r>
      <w:r>
        <w:rPr>
          <w:snapToGrid w:val="0"/>
          <w:color w:val="000000" w:themeColor="text1"/>
          <w:spacing w:val="-16"/>
          <w:kern w:val="21"/>
          <w:sz w:val="21"/>
          <w:szCs w:val="21"/>
          <w14:textFill>
            <w14:solidFill>
              <w14:schemeClr w14:val="tx1"/>
            </w14:solidFill>
          </w14:textFill>
        </w:rPr>
        <w:t>；</w:t>
      </w:r>
      <w:r>
        <w:rPr>
          <w:snapToGrid w:val="0"/>
          <w:color w:val="000000" w:themeColor="text1"/>
          <w:spacing w:val="-6"/>
          <w:kern w:val="21"/>
          <w:sz w:val="21"/>
          <w:szCs w:val="21"/>
          <w14:textFill>
            <w14:solidFill>
              <w14:schemeClr w14:val="tx1"/>
            </w14:solidFill>
          </w14:textFill>
        </w:rPr>
        <w:fldChar w:fldCharType="begin"/>
      </w:r>
      <w:r>
        <w:rPr>
          <w:snapToGrid w:val="0"/>
          <w:color w:val="000000" w:themeColor="text1"/>
          <w:spacing w:val="-6"/>
          <w:kern w:val="21"/>
          <w:sz w:val="21"/>
          <w:szCs w:val="21"/>
          <w14:textFill>
            <w14:solidFill>
              <w14:schemeClr w14:val="tx1"/>
            </w14:solidFill>
          </w14:textFill>
        </w:rPr>
        <w:instrText xml:space="preserve"> = 7 \* GB3 \* MERGEFORMAT </w:instrText>
      </w:r>
      <w:r>
        <w:rPr>
          <w:snapToGrid w:val="0"/>
          <w:color w:val="000000" w:themeColor="text1"/>
          <w:spacing w:val="-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⑦</w:t>
      </w:r>
      <w:r>
        <w:rPr>
          <w:snapToGrid w:val="0"/>
          <w:color w:val="000000" w:themeColor="text1"/>
          <w:spacing w:val="-6"/>
          <w:kern w:val="21"/>
          <w:sz w:val="21"/>
          <w:szCs w:val="21"/>
          <w14:textFill>
            <w14:solidFill>
              <w14:schemeClr w14:val="tx1"/>
            </w14:solidFill>
          </w14:textFill>
        </w:rPr>
        <w:fldChar w:fldCharType="end"/>
      </w:r>
      <w:r>
        <w:rPr>
          <w:snapToGrid w:val="0"/>
          <w:color w:val="000000" w:themeColor="text1"/>
          <w:spacing w:val="-6"/>
          <w:kern w:val="21"/>
          <w:sz w:val="21"/>
          <w:szCs w:val="21"/>
          <w14:textFill>
            <w14:solidFill>
              <w14:schemeClr w14:val="tx1"/>
            </w14:solidFill>
          </w14:textFill>
        </w:rPr>
        <w:t>=</w:t>
      </w:r>
      <w:r>
        <w:rPr>
          <w:snapToGrid w:val="0"/>
          <w:color w:val="000000" w:themeColor="text1"/>
          <w:spacing w:val="-16"/>
          <w:kern w:val="21"/>
          <w:sz w:val="21"/>
          <w:szCs w:val="21"/>
          <w14:textFill>
            <w14:solidFill>
              <w14:schemeClr w14:val="tx1"/>
            </w14:solidFill>
          </w14:textFill>
        </w:rPr>
        <w:fldChar w:fldCharType="begin"/>
      </w:r>
      <w:r>
        <w:rPr>
          <w:snapToGrid w:val="0"/>
          <w:color w:val="000000" w:themeColor="text1"/>
          <w:spacing w:val="-16"/>
          <w:kern w:val="21"/>
          <w:sz w:val="21"/>
          <w:szCs w:val="21"/>
          <w14:textFill>
            <w14:solidFill>
              <w14:schemeClr w14:val="tx1"/>
            </w14:solidFill>
          </w14:textFill>
        </w:rPr>
        <w:instrText xml:space="preserve"> = 6 \* GB3 \* MERGEFORMAT </w:instrText>
      </w:r>
      <w:r>
        <w:rPr>
          <w:snapToGrid w:val="0"/>
          <w:color w:val="000000" w:themeColor="text1"/>
          <w:spacing w:val="-1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⑥</w:t>
      </w:r>
      <w:r>
        <w:rPr>
          <w:snapToGrid w:val="0"/>
          <w:color w:val="000000" w:themeColor="text1"/>
          <w:spacing w:val="-16"/>
          <w:kern w:val="21"/>
          <w:sz w:val="21"/>
          <w:szCs w:val="21"/>
          <w14:textFill>
            <w14:solidFill>
              <w14:schemeClr w14:val="tx1"/>
            </w14:solidFill>
          </w14:textFill>
        </w:rPr>
        <w:fldChar w:fldCharType="end"/>
      </w:r>
      <w:r>
        <w:rPr>
          <w:snapToGrid w:val="0"/>
          <w:color w:val="000000" w:themeColor="text1"/>
          <w:spacing w:val="-16"/>
          <w:kern w:val="21"/>
          <w:sz w:val="21"/>
          <w:szCs w:val="21"/>
          <w14:textFill>
            <w14:solidFill>
              <w14:schemeClr w14:val="tx1"/>
            </w14:solidFill>
          </w14:textFill>
        </w:rPr>
        <w:t>-</w:t>
      </w:r>
      <w:r>
        <w:rPr>
          <w:snapToGrid w:val="0"/>
          <w:color w:val="000000" w:themeColor="text1"/>
          <w:spacing w:val="-6"/>
          <w:kern w:val="21"/>
          <w:sz w:val="21"/>
          <w:szCs w:val="21"/>
          <w14:textFill>
            <w14:solidFill>
              <w14:schemeClr w14:val="tx1"/>
            </w14:solidFill>
          </w14:textFill>
        </w:rPr>
        <w:fldChar w:fldCharType="begin"/>
      </w:r>
      <w:r>
        <w:rPr>
          <w:snapToGrid w:val="0"/>
          <w:color w:val="000000" w:themeColor="text1"/>
          <w:spacing w:val="-6"/>
          <w:kern w:val="21"/>
          <w:sz w:val="21"/>
          <w:szCs w:val="21"/>
          <w14:textFill>
            <w14:solidFill>
              <w14:schemeClr w14:val="tx1"/>
            </w14:solidFill>
          </w14:textFill>
        </w:rPr>
        <w:instrText xml:space="preserve"> = 1 \* GB3 \* MERGEFORMAT </w:instrText>
      </w:r>
      <w:r>
        <w:rPr>
          <w:snapToGrid w:val="0"/>
          <w:color w:val="000000" w:themeColor="text1"/>
          <w:spacing w:val="-6"/>
          <w:kern w:val="21"/>
          <w:sz w:val="21"/>
          <w:szCs w:val="21"/>
          <w14:textFill>
            <w14:solidFill>
              <w14:schemeClr w14:val="tx1"/>
            </w14:solidFill>
          </w14:textFill>
        </w:rPr>
        <w:fldChar w:fldCharType="separate"/>
      </w:r>
      <w:r>
        <w:rPr>
          <w:color w:val="000000" w:themeColor="text1"/>
          <w:kern w:val="0"/>
          <w:sz w:val="21"/>
          <w:szCs w:val="21"/>
          <w14:textFill>
            <w14:solidFill>
              <w14:schemeClr w14:val="tx1"/>
            </w14:solidFill>
          </w14:textFill>
        </w:rPr>
        <w:t>①</w:t>
      </w:r>
      <w:r>
        <w:rPr>
          <w:snapToGrid w:val="0"/>
          <w:color w:val="000000" w:themeColor="text1"/>
          <w:spacing w:val="-6"/>
          <w:kern w:val="21"/>
          <w:sz w:val="21"/>
          <w:szCs w:val="21"/>
          <w14:textFill>
            <w14:solidFill>
              <w14:schemeClr w14:val="tx1"/>
            </w14:solidFill>
          </w14:textFill>
        </w:rPr>
        <w:fldChar w:fldCharType="end"/>
      </w:r>
    </w:p>
    <w:p>
      <w:pPr>
        <w:ind w:firstLine="480"/>
        <w:rPr>
          <w:color w:val="000000" w:themeColor="text1"/>
          <w14:textFill>
            <w14:solidFill>
              <w14:schemeClr w14:val="tx1"/>
            </w14:solidFill>
          </w14:textFill>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DF9F53-57D2-47A7-B5E5-73302BFD6D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095E7A36-46EB-48B6-B5F1-F69A5C16590D}"/>
  </w:font>
  <w:font w:name="Calibri">
    <w:panose1 w:val="020F0502020204030204"/>
    <w:charset w:val="00"/>
    <w:family w:val="swiss"/>
    <w:pitch w:val="default"/>
    <w:sig w:usb0="E4002EFF" w:usb1="C000247B" w:usb2="00000009" w:usb3="00000000" w:csb0="200001FF" w:csb1="00000000"/>
    <w:embedRegular r:id="rId3" w:fontKey="{D8AECC5C-7436-4545-8DC6-2D76CC904847}"/>
  </w:font>
  <w:font w:name="仿宋_GB2312">
    <w:altName w:val="仿宋"/>
    <w:panose1 w:val="02010609030101010101"/>
    <w:charset w:val="86"/>
    <w:family w:val="auto"/>
    <w:pitch w:val="default"/>
    <w:sig w:usb0="00000000" w:usb1="00000000" w:usb2="00000000" w:usb3="00000000" w:csb0="00040000" w:csb1="00000000"/>
    <w:embedRegular r:id="rId4" w:fontKey="{13662B5B-C0CB-433B-B8E8-CEEDB60AB9CA}"/>
  </w:font>
  <w:font w:name="Arial Unicode MS">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embedRegular r:id="rId5" w:fontKey="{7D63552F-15B6-4810-A6FA-1D482E11AEF7}"/>
  </w:font>
  <w:font w:name="方正小标宋_GBK">
    <w:panose1 w:val="02000000000000000000"/>
    <w:charset w:val="86"/>
    <w:family w:val="script"/>
    <w:pitch w:val="default"/>
    <w:sig w:usb0="A00002BF" w:usb1="38CF7CFA" w:usb2="00082016" w:usb3="00000000" w:csb0="00040001" w:csb1="00000000"/>
    <w:embedRegular r:id="rId6" w:fontKey="{82CCB6AB-FD1E-4A71-B081-99ADC6972FD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firstLine="360"/>
      <w:rPr>
        <w:rStyle w:val="33"/>
      </w:rPr>
    </w:pPr>
    <w:r>
      <w:fldChar w:fldCharType="begin"/>
    </w:r>
    <w:r>
      <w:rPr>
        <w:rStyle w:val="33"/>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56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60</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1"/>
                      <w:ind w:firstLine="56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60</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56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66</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1"/>
                      <w:ind w:firstLine="56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66</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CA3C82"/>
    <w:multiLevelType w:val="singleLevel"/>
    <w:tmpl w:val="55CA3C82"/>
    <w:lvl w:ilvl="0" w:tentative="0">
      <w:start w:val="1"/>
      <w:numFmt w:val="decimal"/>
      <w:pStyle w:val="18"/>
      <w:lvlText w:val="%1."/>
      <w:lvlJc w:val="left"/>
      <w:pPr>
        <w:tabs>
          <w:tab w:val="left" w:pos="2040"/>
        </w:tabs>
        <w:ind w:left="2040" w:hanging="360"/>
      </w:pPr>
    </w:lvl>
  </w:abstractNum>
  <w:abstractNum w:abstractNumId="1">
    <w:nsid w:val="5876961C"/>
    <w:multiLevelType w:val="singleLevel"/>
    <w:tmpl w:val="5876961C"/>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77616F55"/>
    <w:multiLevelType w:val="singleLevel"/>
    <w:tmpl w:val="77616F55"/>
    <w:lvl w:ilvl="0" w:tentative="0">
      <w:start w:val="1"/>
      <w:numFmt w:val="lowerLetter"/>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lYzMxZDdjYzUyYjY3NTllMDZmZjJmNDA0MzNmNjEifQ=="/>
    <w:docVar w:name="KSO_WPS_MARK_KEY" w:val="1ee75f1f-f3b1-4358-8f34-3df1ccc0254f"/>
  </w:docVars>
  <w:rsids>
    <w:rsidRoot w:val="00172A27"/>
    <w:rsid w:val="00167BB9"/>
    <w:rsid w:val="00172A27"/>
    <w:rsid w:val="001F7E9B"/>
    <w:rsid w:val="00252BCB"/>
    <w:rsid w:val="00481DEF"/>
    <w:rsid w:val="00582437"/>
    <w:rsid w:val="006B6FEB"/>
    <w:rsid w:val="008F296D"/>
    <w:rsid w:val="00B91921"/>
    <w:rsid w:val="00C04879"/>
    <w:rsid w:val="00C847DB"/>
    <w:rsid w:val="00D51C1C"/>
    <w:rsid w:val="00FB2F02"/>
    <w:rsid w:val="010816EE"/>
    <w:rsid w:val="012A61F9"/>
    <w:rsid w:val="016C3D27"/>
    <w:rsid w:val="01927A1A"/>
    <w:rsid w:val="019E22CC"/>
    <w:rsid w:val="01A84B0E"/>
    <w:rsid w:val="01BC657B"/>
    <w:rsid w:val="01C16A7B"/>
    <w:rsid w:val="01CE6FDD"/>
    <w:rsid w:val="01F36CFA"/>
    <w:rsid w:val="01FB677C"/>
    <w:rsid w:val="02020C9A"/>
    <w:rsid w:val="020900AB"/>
    <w:rsid w:val="02924D0B"/>
    <w:rsid w:val="02C060B9"/>
    <w:rsid w:val="02C448A4"/>
    <w:rsid w:val="02FF7F46"/>
    <w:rsid w:val="03655CA8"/>
    <w:rsid w:val="036B099E"/>
    <w:rsid w:val="039B67DE"/>
    <w:rsid w:val="03C47EB8"/>
    <w:rsid w:val="03F44925"/>
    <w:rsid w:val="0420246E"/>
    <w:rsid w:val="04343C09"/>
    <w:rsid w:val="044C2732"/>
    <w:rsid w:val="045C05A4"/>
    <w:rsid w:val="04637BB8"/>
    <w:rsid w:val="049D7063"/>
    <w:rsid w:val="04B3652C"/>
    <w:rsid w:val="04E648E3"/>
    <w:rsid w:val="05253E90"/>
    <w:rsid w:val="05391FF9"/>
    <w:rsid w:val="0591773E"/>
    <w:rsid w:val="0597338D"/>
    <w:rsid w:val="05A370C6"/>
    <w:rsid w:val="05F849A0"/>
    <w:rsid w:val="064717AB"/>
    <w:rsid w:val="06805343"/>
    <w:rsid w:val="06E72BFC"/>
    <w:rsid w:val="07401962"/>
    <w:rsid w:val="074A238C"/>
    <w:rsid w:val="07675BF0"/>
    <w:rsid w:val="07990458"/>
    <w:rsid w:val="07B85827"/>
    <w:rsid w:val="07BA11D1"/>
    <w:rsid w:val="07CE24A3"/>
    <w:rsid w:val="07E1519C"/>
    <w:rsid w:val="080D56D1"/>
    <w:rsid w:val="087755EB"/>
    <w:rsid w:val="089F02E7"/>
    <w:rsid w:val="08ED6B86"/>
    <w:rsid w:val="08FB753F"/>
    <w:rsid w:val="0920611B"/>
    <w:rsid w:val="09314B54"/>
    <w:rsid w:val="093E3FE2"/>
    <w:rsid w:val="09646BC7"/>
    <w:rsid w:val="09787FEA"/>
    <w:rsid w:val="09984DDC"/>
    <w:rsid w:val="09E76E20"/>
    <w:rsid w:val="09F23C5B"/>
    <w:rsid w:val="0A032426"/>
    <w:rsid w:val="0A0D268E"/>
    <w:rsid w:val="0A2973A7"/>
    <w:rsid w:val="0AE76FE3"/>
    <w:rsid w:val="0B094BE4"/>
    <w:rsid w:val="0B1257AD"/>
    <w:rsid w:val="0B3030EB"/>
    <w:rsid w:val="0B3A5BDB"/>
    <w:rsid w:val="0B4C6FE5"/>
    <w:rsid w:val="0B5759DC"/>
    <w:rsid w:val="0BEA2248"/>
    <w:rsid w:val="0C303447"/>
    <w:rsid w:val="0C345E3E"/>
    <w:rsid w:val="0C351AD9"/>
    <w:rsid w:val="0C8D5265"/>
    <w:rsid w:val="0C985009"/>
    <w:rsid w:val="0CD50A3D"/>
    <w:rsid w:val="0D2F4130"/>
    <w:rsid w:val="0D520B1E"/>
    <w:rsid w:val="0D551022"/>
    <w:rsid w:val="0D9A0C44"/>
    <w:rsid w:val="0DB32BEF"/>
    <w:rsid w:val="0E326C74"/>
    <w:rsid w:val="0E416C87"/>
    <w:rsid w:val="0E5B573E"/>
    <w:rsid w:val="0ED600D0"/>
    <w:rsid w:val="0F2714E2"/>
    <w:rsid w:val="0F394BD0"/>
    <w:rsid w:val="0F4B4E3B"/>
    <w:rsid w:val="0F84500E"/>
    <w:rsid w:val="0F9D3D8A"/>
    <w:rsid w:val="0FA23A9B"/>
    <w:rsid w:val="0FDE5D1E"/>
    <w:rsid w:val="10191C87"/>
    <w:rsid w:val="101E5991"/>
    <w:rsid w:val="10EF0B20"/>
    <w:rsid w:val="10F21E36"/>
    <w:rsid w:val="10F73DF8"/>
    <w:rsid w:val="10FD6644"/>
    <w:rsid w:val="11183FB0"/>
    <w:rsid w:val="1125753F"/>
    <w:rsid w:val="1137711F"/>
    <w:rsid w:val="114C5CC7"/>
    <w:rsid w:val="115431C2"/>
    <w:rsid w:val="115B44F0"/>
    <w:rsid w:val="115D3387"/>
    <w:rsid w:val="11923D23"/>
    <w:rsid w:val="11C42D1C"/>
    <w:rsid w:val="11E33181"/>
    <w:rsid w:val="12035A07"/>
    <w:rsid w:val="12144569"/>
    <w:rsid w:val="123056C7"/>
    <w:rsid w:val="12387E2F"/>
    <w:rsid w:val="127E77A7"/>
    <w:rsid w:val="12CE50D5"/>
    <w:rsid w:val="130970F9"/>
    <w:rsid w:val="133566A8"/>
    <w:rsid w:val="134E5148"/>
    <w:rsid w:val="134F664B"/>
    <w:rsid w:val="135A3D20"/>
    <w:rsid w:val="135B5D42"/>
    <w:rsid w:val="13717C1C"/>
    <w:rsid w:val="1385012B"/>
    <w:rsid w:val="13AB372D"/>
    <w:rsid w:val="13CE5D19"/>
    <w:rsid w:val="13D6435C"/>
    <w:rsid w:val="13E0059E"/>
    <w:rsid w:val="14166BAD"/>
    <w:rsid w:val="14175F6A"/>
    <w:rsid w:val="143362E7"/>
    <w:rsid w:val="14587236"/>
    <w:rsid w:val="14AB08FA"/>
    <w:rsid w:val="14C53AED"/>
    <w:rsid w:val="14ED01F3"/>
    <w:rsid w:val="14FE553C"/>
    <w:rsid w:val="14FF27F7"/>
    <w:rsid w:val="150474A7"/>
    <w:rsid w:val="15334554"/>
    <w:rsid w:val="153C4D39"/>
    <w:rsid w:val="1547314C"/>
    <w:rsid w:val="156C5804"/>
    <w:rsid w:val="15A91709"/>
    <w:rsid w:val="16125C47"/>
    <w:rsid w:val="1672090C"/>
    <w:rsid w:val="16BD2FFA"/>
    <w:rsid w:val="16C720BE"/>
    <w:rsid w:val="16CF01E7"/>
    <w:rsid w:val="16DF1F39"/>
    <w:rsid w:val="16EB3960"/>
    <w:rsid w:val="170603BA"/>
    <w:rsid w:val="17230D04"/>
    <w:rsid w:val="173207AB"/>
    <w:rsid w:val="17324FA7"/>
    <w:rsid w:val="174729E5"/>
    <w:rsid w:val="1752680F"/>
    <w:rsid w:val="176048E7"/>
    <w:rsid w:val="17614581"/>
    <w:rsid w:val="17650066"/>
    <w:rsid w:val="178A0EFE"/>
    <w:rsid w:val="17B36400"/>
    <w:rsid w:val="17D44869"/>
    <w:rsid w:val="17E95925"/>
    <w:rsid w:val="181E42B6"/>
    <w:rsid w:val="184C7996"/>
    <w:rsid w:val="185276DF"/>
    <w:rsid w:val="185764FB"/>
    <w:rsid w:val="185A6035"/>
    <w:rsid w:val="188B0FBC"/>
    <w:rsid w:val="189C7DF3"/>
    <w:rsid w:val="189E3436"/>
    <w:rsid w:val="18A37B0A"/>
    <w:rsid w:val="18C923AC"/>
    <w:rsid w:val="18DE0EDA"/>
    <w:rsid w:val="190317D8"/>
    <w:rsid w:val="190C467E"/>
    <w:rsid w:val="192841C8"/>
    <w:rsid w:val="192A3274"/>
    <w:rsid w:val="194E1BC0"/>
    <w:rsid w:val="199B560C"/>
    <w:rsid w:val="19A911CF"/>
    <w:rsid w:val="19B65F09"/>
    <w:rsid w:val="19BB457E"/>
    <w:rsid w:val="19C25540"/>
    <w:rsid w:val="19CA2F79"/>
    <w:rsid w:val="19D54BAD"/>
    <w:rsid w:val="19E27C6F"/>
    <w:rsid w:val="19E91096"/>
    <w:rsid w:val="19EA2004"/>
    <w:rsid w:val="19F15B03"/>
    <w:rsid w:val="1A0815DA"/>
    <w:rsid w:val="1A086BCF"/>
    <w:rsid w:val="1A1F0E4F"/>
    <w:rsid w:val="1A235F40"/>
    <w:rsid w:val="1A2B26FB"/>
    <w:rsid w:val="1A350525"/>
    <w:rsid w:val="1A446BE7"/>
    <w:rsid w:val="1A5838B9"/>
    <w:rsid w:val="1A75540F"/>
    <w:rsid w:val="1A85190B"/>
    <w:rsid w:val="1AAB7D59"/>
    <w:rsid w:val="1AB55B4A"/>
    <w:rsid w:val="1AEB063E"/>
    <w:rsid w:val="1AEC3CC1"/>
    <w:rsid w:val="1AF96B14"/>
    <w:rsid w:val="1B0251FA"/>
    <w:rsid w:val="1B366DE8"/>
    <w:rsid w:val="1B445C40"/>
    <w:rsid w:val="1BCA18BD"/>
    <w:rsid w:val="1BF84BA4"/>
    <w:rsid w:val="1C2F75A5"/>
    <w:rsid w:val="1C343B42"/>
    <w:rsid w:val="1D290C9C"/>
    <w:rsid w:val="1D500B95"/>
    <w:rsid w:val="1D5E2B68"/>
    <w:rsid w:val="1D6152DA"/>
    <w:rsid w:val="1D8446E0"/>
    <w:rsid w:val="1D984893"/>
    <w:rsid w:val="1DA1116D"/>
    <w:rsid w:val="1DDB4E68"/>
    <w:rsid w:val="1DE95221"/>
    <w:rsid w:val="1DFF2B48"/>
    <w:rsid w:val="1E3646E4"/>
    <w:rsid w:val="1E5273E7"/>
    <w:rsid w:val="1E5E0AE4"/>
    <w:rsid w:val="1E5E606E"/>
    <w:rsid w:val="1E8C28F1"/>
    <w:rsid w:val="1EA55764"/>
    <w:rsid w:val="1F0A152E"/>
    <w:rsid w:val="1F356C44"/>
    <w:rsid w:val="1F9D22EE"/>
    <w:rsid w:val="1FC11F70"/>
    <w:rsid w:val="1FD06D31"/>
    <w:rsid w:val="1FE0652D"/>
    <w:rsid w:val="1FF958BE"/>
    <w:rsid w:val="20062DAD"/>
    <w:rsid w:val="201C60AB"/>
    <w:rsid w:val="20306DA0"/>
    <w:rsid w:val="204147F0"/>
    <w:rsid w:val="20B56E2E"/>
    <w:rsid w:val="20D23E19"/>
    <w:rsid w:val="20DE5973"/>
    <w:rsid w:val="20E36C36"/>
    <w:rsid w:val="20F74D7D"/>
    <w:rsid w:val="21186ABB"/>
    <w:rsid w:val="214542D9"/>
    <w:rsid w:val="218406EB"/>
    <w:rsid w:val="21A20A8B"/>
    <w:rsid w:val="22117FD6"/>
    <w:rsid w:val="223D3BE1"/>
    <w:rsid w:val="223E00B3"/>
    <w:rsid w:val="22425881"/>
    <w:rsid w:val="22426C48"/>
    <w:rsid w:val="22462C2D"/>
    <w:rsid w:val="224723E4"/>
    <w:rsid w:val="224A457A"/>
    <w:rsid w:val="2277332A"/>
    <w:rsid w:val="22794E74"/>
    <w:rsid w:val="22887FC3"/>
    <w:rsid w:val="228A21E7"/>
    <w:rsid w:val="22A632A8"/>
    <w:rsid w:val="22C23FC8"/>
    <w:rsid w:val="22CA1736"/>
    <w:rsid w:val="22F305B2"/>
    <w:rsid w:val="22FC75D9"/>
    <w:rsid w:val="22FF18D7"/>
    <w:rsid w:val="23110D84"/>
    <w:rsid w:val="23354E5C"/>
    <w:rsid w:val="23367200"/>
    <w:rsid w:val="23484ABD"/>
    <w:rsid w:val="237A25A7"/>
    <w:rsid w:val="237D4AC4"/>
    <w:rsid w:val="23902DCF"/>
    <w:rsid w:val="23B76527"/>
    <w:rsid w:val="23BC6746"/>
    <w:rsid w:val="23C332DA"/>
    <w:rsid w:val="23D138EF"/>
    <w:rsid w:val="241435D3"/>
    <w:rsid w:val="24151A02"/>
    <w:rsid w:val="242E63D5"/>
    <w:rsid w:val="24316467"/>
    <w:rsid w:val="246C40E2"/>
    <w:rsid w:val="24DE4EE1"/>
    <w:rsid w:val="24EE3D24"/>
    <w:rsid w:val="25011304"/>
    <w:rsid w:val="25495A2D"/>
    <w:rsid w:val="25A541D5"/>
    <w:rsid w:val="25EB1B03"/>
    <w:rsid w:val="25F85162"/>
    <w:rsid w:val="25FC06CC"/>
    <w:rsid w:val="26061B96"/>
    <w:rsid w:val="261C01C5"/>
    <w:rsid w:val="26395B62"/>
    <w:rsid w:val="26436DF9"/>
    <w:rsid w:val="264A1D8E"/>
    <w:rsid w:val="265A3A90"/>
    <w:rsid w:val="2672464D"/>
    <w:rsid w:val="267C448A"/>
    <w:rsid w:val="268C5A66"/>
    <w:rsid w:val="26906C30"/>
    <w:rsid w:val="26B11081"/>
    <w:rsid w:val="26E5170C"/>
    <w:rsid w:val="26E758C1"/>
    <w:rsid w:val="26F615F2"/>
    <w:rsid w:val="272A2899"/>
    <w:rsid w:val="273D750A"/>
    <w:rsid w:val="274857A0"/>
    <w:rsid w:val="27A61441"/>
    <w:rsid w:val="27C81FFF"/>
    <w:rsid w:val="28112030"/>
    <w:rsid w:val="2827007B"/>
    <w:rsid w:val="283E74D1"/>
    <w:rsid w:val="284826A7"/>
    <w:rsid w:val="2865682A"/>
    <w:rsid w:val="286B4638"/>
    <w:rsid w:val="29263300"/>
    <w:rsid w:val="295D01F8"/>
    <w:rsid w:val="2979054A"/>
    <w:rsid w:val="29975D0C"/>
    <w:rsid w:val="299E17DD"/>
    <w:rsid w:val="29F85715"/>
    <w:rsid w:val="29FD219E"/>
    <w:rsid w:val="2A096BAF"/>
    <w:rsid w:val="2A1D06E6"/>
    <w:rsid w:val="2A4E49AB"/>
    <w:rsid w:val="2A553B14"/>
    <w:rsid w:val="2A5A03AF"/>
    <w:rsid w:val="2A9B249C"/>
    <w:rsid w:val="2A9F2516"/>
    <w:rsid w:val="2AAB35B1"/>
    <w:rsid w:val="2AC5493A"/>
    <w:rsid w:val="2AD741FF"/>
    <w:rsid w:val="2AFE7A09"/>
    <w:rsid w:val="2B2745DE"/>
    <w:rsid w:val="2B2B4C60"/>
    <w:rsid w:val="2B2F1DD6"/>
    <w:rsid w:val="2B613ADD"/>
    <w:rsid w:val="2B7C1C8A"/>
    <w:rsid w:val="2B83166C"/>
    <w:rsid w:val="2B882CA7"/>
    <w:rsid w:val="2C1C656A"/>
    <w:rsid w:val="2C3F383B"/>
    <w:rsid w:val="2C5600BE"/>
    <w:rsid w:val="2C63407C"/>
    <w:rsid w:val="2C8275C0"/>
    <w:rsid w:val="2C853958"/>
    <w:rsid w:val="2CCF4C70"/>
    <w:rsid w:val="2D0F218F"/>
    <w:rsid w:val="2D4A0F17"/>
    <w:rsid w:val="2E0205B9"/>
    <w:rsid w:val="2E063F8E"/>
    <w:rsid w:val="2E1343CF"/>
    <w:rsid w:val="2E1F41A7"/>
    <w:rsid w:val="2E3E2289"/>
    <w:rsid w:val="2E783612"/>
    <w:rsid w:val="2E811DE7"/>
    <w:rsid w:val="2E9E6E04"/>
    <w:rsid w:val="2EC844E6"/>
    <w:rsid w:val="2ECF4658"/>
    <w:rsid w:val="2F094303"/>
    <w:rsid w:val="2F234777"/>
    <w:rsid w:val="2F404D28"/>
    <w:rsid w:val="2F86271D"/>
    <w:rsid w:val="2FD63D85"/>
    <w:rsid w:val="2FE84E84"/>
    <w:rsid w:val="2FF46EDF"/>
    <w:rsid w:val="300C6A10"/>
    <w:rsid w:val="3013254B"/>
    <w:rsid w:val="30244B8D"/>
    <w:rsid w:val="30982B54"/>
    <w:rsid w:val="309A4DBA"/>
    <w:rsid w:val="30A657FC"/>
    <w:rsid w:val="30D36566"/>
    <w:rsid w:val="30F960DF"/>
    <w:rsid w:val="313B183F"/>
    <w:rsid w:val="31413290"/>
    <w:rsid w:val="3143068C"/>
    <w:rsid w:val="314B46FC"/>
    <w:rsid w:val="315D0E30"/>
    <w:rsid w:val="316A1CEE"/>
    <w:rsid w:val="31B72718"/>
    <w:rsid w:val="31C776CF"/>
    <w:rsid w:val="31CF1598"/>
    <w:rsid w:val="322D5E7C"/>
    <w:rsid w:val="3241298F"/>
    <w:rsid w:val="33251449"/>
    <w:rsid w:val="33735FF2"/>
    <w:rsid w:val="337B3FB6"/>
    <w:rsid w:val="33A1724E"/>
    <w:rsid w:val="33C029FB"/>
    <w:rsid w:val="33C9078A"/>
    <w:rsid w:val="33CF57AA"/>
    <w:rsid w:val="33D676C5"/>
    <w:rsid w:val="33F56865"/>
    <w:rsid w:val="3411456D"/>
    <w:rsid w:val="34163DE0"/>
    <w:rsid w:val="342504A8"/>
    <w:rsid w:val="343436BB"/>
    <w:rsid w:val="34353B60"/>
    <w:rsid w:val="346A5EFB"/>
    <w:rsid w:val="346E2ACF"/>
    <w:rsid w:val="3492016D"/>
    <w:rsid w:val="34A47165"/>
    <w:rsid w:val="34DB5CAF"/>
    <w:rsid w:val="35117F5D"/>
    <w:rsid w:val="353A1D60"/>
    <w:rsid w:val="35580353"/>
    <w:rsid w:val="3562392E"/>
    <w:rsid w:val="359636EF"/>
    <w:rsid w:val="35AD6803"/>
    <w:rsid w:val="35C357C5"/>
    <w:rsid w:val="35D45504"/>
    <w:rsid w:val="35E10B8E"/>
    <w:rsid w:val="35F4499B"/>
    <w:rsid w:val="36071AF1"/>
    <w:rsid w:val="363C0F60"/>
    <w:rsid w:val="365A1EC0"/>
    <w:rsid w:val="36891A1C"/>
    <w:rsid w:val="36B33FD3"/>
    <w:rsid w:val="36D527D4"/>
    <w:rsid w:val="36DF1779"/>
    <w:rsid w:val="37012888"/>
    <w:rsid w:val="372F131D"/>
    <w:rsid w:val="37723387"/>
    <w:rsid w:val="3793586B"/>
    <w:rsid w:val="380F7C75"/>
    <w:rsid w:val="385860DB"/>
    <w:rsid w:val="38825EF2"/>
    <w:rsid w:val="388A5F37"/>
    <w:rsid w:val="390362CA"/>
    <w:rsid w:val="391061F6"/>
    <w:rsid w:val="39E41315"/>
    <w:rsid w:val="39F25771"/>
    <w:rsid w:val="3A064DE8"/>
    <w:rsid w:val="3A0705C6"/>
    <w:rsid w:val="3A435E84"/>
    <w:rsid w:val="3A514441"/>
    <w:rsid w:val="3A5279F4"/>
    <w:rsid w:val="3A8550FF"/>
    <w:rsid w:val="3AAF22FB"/>
    <w:rsid w:val="3ABF6C5F"/>
    <w:rsid w:val="3AC763CF"/>
    <w:rsid w:val="3ACD2E07"/>
    <w:rsid w:val="3B136099"/>
    <w:rsid w:val="3B6D220D"/>
    <w:rsid w:val="3B8A1254"/>
    <w:rsid w:val="3BCA17A5"/>
    <w:rsid w:val="3BFC64A2"/>
    <w:rsid w:val="3C061639"/>
    <w:rsid w:val="3C1131D2"/>
    <w:rsid w:val="3C2A0BEF"/>
    <w:rsid w:val="3C3B7BF5"/>
    <w:rsid w:val="3C504F28"/>
    <w:rsid w:val="3CB808E0"/>
    <w:rsid w:val="3CBA0CB4"/>
    <w:rsid w:val="3CBD7976"/>
    <w:rsid w:val="3CDD5262"/>
    <w:rsid w:val="3CF34D92"/>
    <w:rsid w:val="3CFD18A7"/>
    <w:rsid w:val="3D5500C0"/>
    <w:rsid w:val="3D5516DF"/>
    <w:rsid w:val="3D603E56"/>
    <w:rsid w:val="3D704A53"/>
    <w:rsid w:val="3DAD2116"/>
    <w:rsid w:val="3DFD2C31"/>
    <w:rsid w:val="3E8E19FB"/>
    <w:rsid w:val="3EA846BF"/>
    <w:rsid w:val="3EAA3113"/>
    <w:rsid w:val="3EDD7F40"/>
    <w:rsid w:val="3EF410F1"/>
    <w:rsid w:val="3F3E6DD2"/>
    <w:rsid w:val="3F7D2886"/>
    <w:rsid w:val="3F804416"/>
    <w:rsid w:val="3F941B52"/>
    <w:rsid w:val="3F9609BC"/>
    <w:rsid w:val="3FB32F49"/>
    <w:rsid w:val="3FB53AF3"/>
    <w:rsid w:val="3FC74BDB"/>
    <w:rsid w:val="3FD31531"/>
    <w:rsid w:val="3FDD2D53"/>
    <w:rsid w:val="40353CFA"/>
    <w:rsid w:val="408D747F"/>
    <w:rsid w:val="40CD6260"/>
    <w:rsid w:val="40EA6991"/>
    <w:rsid w:val="40F63393"/>
    <w:rsid w:val="410C46CE"/>
    <w:rsid w:val="41340D99"/>
    <w:rsid w:val="413F5EE3"/>
    <w:rsid w:val="419531C7"/>
    <w:rsid w:val="419962EE"/>
    <w:rsid w:val="41B01021"/>
    <w:rsid w:val="41D8291D"/>
    <w:rsid w:val="41DA40EC"/>
    <w:rsid w:val="42050927"/>
    <w:rsid w:val="421040D0"/>
    <w:rsid w:val="422E4002"/>
    <w:rsid w:val="428E107E"/>
    <w:rsid w:val="429D2FC6"/>
    <w:rsid w:val="42A54D42"/>
    <w:rsid w:val="42D36E48"/>
    <w:rsid w:val="42D4708E"/>
    <w:rsid w:val="42DB1728"/>
    <w:rsid w:val="42E5773E"/>
    <w:rsid w:val="4301618E"/>
    <w:rsid w:val="431840E5"/>
    <w:rsid w:val="431B41DD"/>
    <w:rsid w:val="432345EB"/>
    <w:rsid w:val="43342C4B"/>
    <w:rsid w:val="433E56B4"/>
    <w:rsid w:val="4345757C"/>
    <w:rsid w:val="434838D6"/>
    <w:rsid w:val="435761A1"/>
    <w:rsid w:val="435E6750"/>
    <w:rsid w:val="436112E1"/>
    <w:rsid w:val="43640BED"/>
    <w:rsid w:val="43664B49"/>
    <w:rsid w:val="438457A6"/>
    <w:rsid w:val="440D45CB"/>
    <w:rsid w:val="44352E99"/>
    <w:rsid w:val="446A7B59"/>
    <w:rsid w:val="446D4709"/>
    <w:rsid w:val="44A2649D"/>
    <w:rsid w:val="44AB4F09"/>
    <w:rsid w:val="44AD37AA"/>
    <w:rsid w:val="44B103D0"/>
    <w:rsid w:val="44C71703"/>
    <w:rsid w:val="45417AAB"/>
    <w:rsid w:val="45563514"/>
    <w:rsid w:val="45744489"/>
    <w:rsid w:val="45D51619"/>
    <w:rsid w:val="46056F63"/>
    <w:rsid w:val="461058D9"/>
    <w:rsid w:val="4618037D"/>
    <w:rsid w:val="461E757B"/>
    <w:rsid w:val="464E7722"/>
    <w:rsid w:val="46872FF9"/>
    <w:rsid w:val="46B4220E"/>
    <w:rsid w:val="46B80744"/>
    <w:rsid w:val="46C270FB"/>
    <w:rsid w:val="46D0716A"/>
    <w:rsid w:val="46EB02AF"/>
    <w:rsid w:val="47401925"/>
    <w:rsid w:val="47743068"/>
    <w:rsid w:val="47BE0342"/>
    <w:rsid w:val="480B220E"/>
    <w:rsid w:val="48267092"/>
    <w:rsid w:val="483D6EE9"/>
    <w:rsid w:val="484D0BA9"/>
    <w:rsid w:val="485F6343"/>
    <w:rsid w:val="486232EE"/>
    <w:rsid w:val="48642F3D"/>
    <w:rsid w:val="486C3982"/>
    <w:rsid w:val="48930F84"/>
    <w:rsid w:val="489A06C7"/>
    <w:rsid w:val="48AC4C78"/>
    <w:rsid w:val="48AD73BC"/>
    <w:rsid w:val="48BB43EF"/>
    <w:rsid w:val="48BC551F"/>
    <w:rsid w:val="48D658CA"/>
    <w:rsid w:val="48E453B3"/>
    <w:rsid w:val="48FE2AC7"/>
    <w:rsid w:val="494826EF"/>
    <w:rsid w:val="49710135"/>
    <w:rsid w:val="499222F6"/>
    <w:rsid w:val="49E240BB"/>
    <w:rsid w:val="49E72EB5"/>
    <w:rsid w:val="4A04542B"/>
    <w:rsid w:val="4A67726F"/>
    <w:rsid w:val="4A723401"/>
    <w:rsid w:val="4A745D9D"/>
    <w:rsid w:val="4AAD0BF2"/>
    <w:rsid w:val="4B2E3259"/>
    <w:rsid w:val="4B8649EB"/>
    <w:rsid w:val="4B944753"/>
    <w:rsid w:val="4B97700A"/>
    <w:rsid w:val="4BA90431"/>
    <w:rsid w:val="4BBB4F76"/>
    <w:rsid w:val="4C0B35DF"/>
    <w:rsid w:val="4C725341"/>
    <w:rsid w:val="4C750E37"/>
    <w:rsid w:val="4CB535A9"/>
    <w:rsid w:val="4CDB3086"/>
    <w:rsid w:val="4CF65053"/>
    <w:rsid w:val="4D3266EB"/>
    <w:rsid w:val="4D655D2A"/>
    <w:rsid w:val="4D9B1F93"/>
    <w:rsid w:val="4DBF1555"/>
    <w:rsid w:val="4DC33D85"/>
    <w:rsid w:val="4E083BEE"/>
    <w:rsid w:val="4E2844EA"/>
    <w:rsid w:val="4E7F2E01"/>
    <w:rsid w:val="4E835D45"/>
    <w:rsid w:val="4E94692B"/>
    <w:rsid w:val="4E980963"/>
    <w:rsid w:val="4EA50722"/>
    <w:rsid w:val="4EAD044A"/>
    <w:rsid w:val="4EEE2F79"/>
    <w:rsid w:val="4F06254F"/>
    <w:rsid w:val="4F130BBF"/>
    <w:rsid w:val="4F420B08"/>
    <w:rsid w:val="4F5B3CEE"/>
    <w:rsid w:val="4FC04A4D"/>
    <w:rsid w:val="4FC236C2"/>
    <w:rsid w:val="4FC53FFE"/>
    <w:rsid w:val="4FCD6E5C"/>
    <w:rsid w:val="4FD40A19"/>
    <w:rsid w:val="4FDC7693"/>
    <w:rsid w:val="4FE20227"/>
    <w:rsid w:val="4FE657C0"/>
    <w:rsid w:val="4FFC06F4"/>
    <w:rsid w:val="500A2850"/>
    <w:rsid w:val="505F5644"/>
    <w:rsid w:val="50A3033D"/>
    <w:rsid w:val="50A83408"/>
    <w:rsid w:val="50EC62C7"/>
    <w:rsid w:val="51215AC8"/>
    <w:rsid w:val="516138D4"/>
    <w:rsid w:val="51675B5C"/>
    <w:rsid w:val="518D63C9"/>
    <w:rsid w:val="51915211"/>
    <w:rsid w:val="51A73F45"/>
    <w:rsid w:val="51B52AFB"/>
    <w:rsid w:val="51C10464"/>
    <w:rsid w:val="51E01F4E"/>
    <w:rsid w:val="51E73A6E"/>
    <w:rsid w:val="52046900"/>
    <w:rsid w:val="521260B8"/>
    <w:rsid w:val="521E197C"/>
    <w:rsid w:val="52266F3D"/>
    <w:rsid w:val="523856E1"/>
    <w:rsid w:val="52D6334B"/>
    <w:rsid w:val="5318233C"/>
    <w:rsid w:val="531B6C9A"/>
    <w:rsid w:val="532154D5"/>
    <w:rsid w:val="536C369C"/>
    <w:rsid w:val="539364B7"/>
    <w:rsid w:val="53BA2875"/>
    <w:rsid w:val="53F303BA"/>
    <w:rsid w:val="53F50F05"/>
    <w:rsid w:val="54040694"/>
    <w:rsid w:val="542B50EC"/>
    <w:rsid w:val="543640C4"/>
    <w:rsid w:val="545C0325"/>
    <w:rsid w:val="54744602"/>
    <w:rsid w:val="54E449C6"/>
    <w:rsid w:val="55883C4E"/>
    <w:rsid w:val="558D101C"/>
    <w:rsid w:val="55905357"/>
    <w:rsid w:val="55AD5357"/>
    <w:rsid w:val="55CF086B"/>
    <w:rsid w:val="55D56740"/>
    <w:rsid w:val="55F71726"/>
    <w:rsid w:val="55FF0679"/>
    <w:rsid w:val="5603520B"/>
    <w:rsid w:val="560E6D65"/>
    <w:rsid w:val="56155125"/>
    <w:rsid w:val="56487863"/>
    <w:rsid w:val="565C6CA5"/>
    <w:rsid w:val="56610A15"/>
    <w:rsid w:val="567B09E8"/>
    <w:rsid w:val="570614D8"/>
    <w:rsid w:val="57100CE9"/>
    <w:rsid w:val="57690D4E"/>
    <w:rsid w:val="577675F9"/>
    <w:rsid w:val="57955AB3"/>
    <w:rsid w:val="580C1960"/>
    <w:rsid w:val="58136BCF"/>
    <w:rsid w:val="581D6138"/>
    <w:rsid w:val="581D725C"/>
    <w:rsid w:val="58242DCD"/>
    <w:rsid w:val="585672AC"/>
    <w:rsid w:val="58580DA9"/>
    <w:rsid w:val="589B3554"/>
    <w:rsid w:val="58C95AC4"/>
    <w:rsid w:val="58DF3E21"/>
    <w:rsid w:val="58EF47E8"/>
    <w:rsid w:val="59011258"/>
    <w:rsid w:val="59203C3B"/>
    <w:rsid w:val="592D04E1"/>
    <w:rsid w:val="59B23096"/>
    <w:rsid w:val="59CA69CA"/>
    <w:rsid w:val="5A203C86"/>
    <w:rsid w:val="5A2B4343"/>
    <w:rsid w:val="5A435583"/>
    <w:rsid w:val="5A765391"/>
    <w:rsid w:val="5A886246"/>
    <w:rsid w:val="5AEA02D4"/>
    <w:rsid w:val="5AF2092F"/>
    <w:rsid w:val="5B3B4532"/>
    <w:rsid w:val="5B5F4B50"/>
    <w:rsid w:val="5B6E7605"/>
    <w:rsid w:val="5B9621A7"/>
    <w:rsid w:val="5BA26FE2"/>
    <w:rsid w:val="5BB43DE4"/>
    <w:rsid w:val="5BBA34DE"/>
    <w:rsid w:val="5BD05BC6"/>
    <w:rsid w:val="5BDE1843"/>
    <w:rsid w:val="5BE917F0"/>
    <w:rsid w:val="5C172872"/>
    <w:rsid w:val="5C1E13B2"/>
    <w:rsid w:val="5C30151F"/>
    <w:rsid w:val="5C324926"/>
    <w:rsid w:val="5C7978AC"/>
    <w:rsid w:val="5CF25791"/>
    <w:rsid w:val="5D306727"/>
    <w:rsid w:val="5D3F6D46"/>
    <w:rsid w:val="5D4B0BE0"/>
    <w:rsid w:val="5D4F76E7"/>
    <w:rsid w:val="5D634B73"/>
    <w:rsid w:val="5D6D5C2A"/>
    <w:rsid w:val="5D8A2470"/>
    <w:rsid w:val="5DA5050E"/>
    <w:rsid w:val="5DA628A6"/>
    <w:rsid w:val="5DC4007C"/>
    <w:rsid w:val="5DFB7C9F"/>
    <w:rsid w:val="5DFC68F7"/>
    <w:rsid w:val="5E1D4234"/>
    <w:rsid w:val="5EA044D6"/>
    <w:rsid w:val="5EE906B0"/>
    <w:rsid w:val="5F0829D0"/>
    <w:rsid w:val="5F0C0349"/>
    <w:rsid w:val="5F220E3F"/>
    <w:rsid w:val="5F2223F5"/>
    <w:rsid w:val="5F2A1C24"/>
    <w:rsid w:val="5F3467C7"/>
    <w:rsid w:val="5F3B4639"/>
    <w:rsid w:val="5F833A37"/>
    <w:rsid w:val="5F8F14D4"/>
    <w:rsid w:val="5FE44F80"/>
    <w:rsid w:val="5FE90A48"/>
    <w:rsid w:val="5FF951D1"/>
    <w:rsid w:val="5FF95F96"/>
    <w:rsid w:val="5FFF5DA4"/>
    <w:rsid w:val="600E6BBD"/>
    <w:rsid w:val="609E7554"/>
    <w:rsid w:val="60A0558C"/>
    <w:rsid w:val="60A54E25"/>
    <w:rsid w:val="60D019CB"/>
    <w:rsid w:val="610E535D"/>
    <w:rsid w:val="61366B30"/>
    <w:rsid w:val="615F79E0"/>
    <w:rsid w:val="617C15E9"/>
    <w:rsid w:val="61AD5EF8"/>
    <w:rsid w:val="62041452"/>
    <w:rsid w:val="62044C6F"/>
    <w:rsid w:val="621F229B"/>
    <w:rsid w:val="62481D22"/>
    <w:rsid w:val="624855B0"/>
    <w:rsid w:val="625961B3"/>
    <w:rsid w:val="627E6991"/>
    <w:rsid w:val="62983616"/>
    <w:rsid w:val="62AD1066"/>
    <w:rsid w:val="62AE1007"/>
    <w:rsid w:val="62D6268C"/>
    <w:rsid w:val="630217D7"/>
    <w:rsid w:val="631230E6"/>
    <w:rsid w:val="634E71DD"/>
    <w:rsid w:val="638C60B8"/>
    <w:rsid w:val="644233D7"/>
    <w:rsid w:val="644A0021"/>
    <w:rsid w:val="649A6843"/>
    <w:rsid w:val="64B15994"/>
    <w:rsid w:val="64C25BFE"/>
    <w:rsid w:val="64C34F47"/>
    <w:rsid w:val="64DD7271"/>
    <w:rsid w:val="64E442D4"/>
    <w:rsid w:val="65055D37"/>
    <w:rsid w:val="650D5260"/>
    <w:rsid w:val="651C69BF"/>
    <w:rsid w:val="651E18B5"/>
    <w:rsid w:val="6571677F"/>
    <w:rsid w:val="658D15A8"/>
    <w:rsid w:val="659C2005"/>
    <w:rsid w:val="65D002E8"/>
    <w:rsid w:val="65F05759"/>
    <w:rsid w:val="66406B23"/>
    <w:rsid w:val="669F060C"/>
    <w:rsid w:val="66DF7CFA"/>
    <w:rsid w:val="67195EB8"/>
    <w:rsid w:val="675453C8"/>
    <w:rsid w:val="6795538D"/>
    <w:rsid w:val="67971638"/>
    <w:rsid w:val="67BB5A78"/>
    <w:rsid w:val="67F63DC6"/>
    <w:rsid w:val="681E4CE0"/>
    <w:rsid w:val="683A1FCC"/>
    <w:rsid w:val="68892179"/>
    <w:rsid w:val="68924802"/>
    <w:rsid w:val="68E249B9"/>
    <w:rsid w:val="69114E6A"/>
    <w:rsid w:val="691C2E30"/>
    <w:rsid w:val="69764EEB"/>
    <w:rsid w:val="69BE319A"/>
    <w:rsid w:val="6A657E01"/>
    <w:rsid w:val="6A9D59E5"/>
    <w:rsid w:val="6ABB104F"/>
    <w:rsid w:val="6AFC2BC5"/>
    <w:rsid w:val="6B0F5943"/>
    <w:rsid w:val="6B11562C"/>
    <w:rsid w:val="6B3C50BF"/>
    <w:rsid w:val="6B5640D7"/>
    <w:rsid w:val="6B926770"/>
    <w:rsid w:val="6BC015A0"/>
    <w:rsid w:val="6BE91FA6"/>
    <w:rsid w:val="6C69753A"/>
    <w:rsid w:val="6C7F0680"/>
    <w:rsid w:val="6CF917DA"/>
    <w:rsid w:val="6D4D7806"/>
    <w:rsid w:val="6D5B1109"/>
    <w:rsid w:val="6D705F5A"/>
    <w:rsid w:val="6D797557"/>
    <w:rsid w:val="6DD662A4"/>
    <w:rsid w:val="6DEE5F30"/>
    <w:rsid w:val="6E3C476A"/>
    <w:rsid w:val="6E5957B5"/>
    <w:rsid w:val="6E61419F"/>
    <w:rsid w:val="6E8C2E06"/>
    <w:rsid w:val="6E974DC1"/>
    <w:rsid w:val="6EB722D7"/>
    <w:rsid w:val="6ED065B3"/>
    <w:rsid w:val="6ED255CF"/>
    <w:rsid w:val="6ED92F4C"/>
    <w:rsid w:val="6EEB040F"/>
    <w:rsid w:val="6EF12CDA"/>
    <w:rsid w:val="6F6C5930"/>
    <w:rsid w:val="6F7B0042"/>
    <w:rsid w:val="6F8F1549"/>
    <w:rsid w:val="6F997F95"/>
    <w:rsid w:val="6FDA0E79"/>
    <w:rsid w:val="6FE34F11"/>
    <w:rsid w:val="6FEE0509"/>
    <w:rsid w:val="6FF807CA"/>
    <w:rsid w:val="70082960"/>
    <w:rsid w:val="700902F0"/>
    <w:rsid w:val="700E38C4"/>
    <w:rsid w:val="70103F5A"/>
    <w:rsid w:val="70121783"/>
    <w:rsid w:val="702E032B"/>
    <w:rsid w:val="70306872"/>
    <w:rsid w:val="706F3643"/>
    <w:rsid w:val="70785B24"/>
    <w:rsid w:val="708B4CE8"/>
    <w:rsid w:val="70D56CE6"/>
    <w:rsid w:val="70DE382D"/>
    <w:rsid w:val="70F7042B"/>
    <w:rsid w:val="71015D2D"/>
    <w:rsid w:val="71155631"/>
    <w:rsid w:val="711F7639"/>
    <w:rsid w:val="71332393"/>
    <w:rsid w:val="713325C9"/>
    <w:rsid w:val="713531A7"/>
    <w:rsid w:val="71404D77"/>
    <w:rsid w:val="71675208"/>
    <w:rsid w:val="7179329F"/>
    <w:rsid w:val="717A227C"/>
    <w:rsid w:val="717B5924"/>
    <w:rsid w:val="7194572B"/>
    <w:rsid w:val="719B62D8"/>
    <w:rsid w:val="71A75CDD"/>
    <w:rsid w:val="71EC53EA"/>
    <w:rsid w:val="7200557B"/>
    <w:rsid w:val="720810EC"/>
    <w:rsid w:val="722809B6"/>
    <w:rsid w:val="722C7A25"/>
    <w:rsid w:val="72487562"/>
    <w:rsid w:val="72703CD8"/>
    <w:rsid w:val="727C199C"/>
    <w:rsid w:val="729354DF"/>
    <w:rsid w:val="72A26CE7"/>
    <w:rsid w:val="72B345F3"/>
    <w:rsid w:val="72BE2A62"/>
    <w:rsid w:val="72EB1F64"/>
    <w:rsid w:val="73032243"/>
    <w:rsid w:val="731534B1"/>
    <w:rsid w:val="732E1F5A"/>
    <w:rsid w:val="734C246B"/>
    <w:rsid w:val="736B68CA"/>
    <w:rsid w:val="73907D65"/>
    <w:rsid w:val="73A07A27"/>
    <w:rsid w:val="73C61F6C"/>
    <w:rsid w:val="73F837B7"/>
    <w:rsid w:val="73FC2A52"/>
    <w:rsid w:val="74095D8A"/>
    <w:rsid w:val="74130383"/>
    <w:rsid w:val="74273CFD"/>
    <w:rsid w:val="7430574A"/>
    <w:rsid w:val="743C524E"/>
    <w:rsid w:val="745F2ADB"/>
    <w:rsid w:val="74643291"/>
    <w:rsid w:val="74867791"/>
    <w:rsid w:val="74A154DF"/>
    <w:rsid w:val="74D06EA1"/>
    <w:rsid w:val="74D774D1"/>
    <w:rsid w:val="74FA16E9"/>
    <w:rsid w:val="7500007B"/>
    <w:rsid w:val="75024F63"/>
    <w:rsid w:val="750312F5"/>
    <w:rsid w:val="751B2D8A"/>
    <w:rsid w:val="751C6C75"/>
    <w:rsid w:val="75291731"/>
    <w:rsid w:val="755B3B1B"/>
    <w:rsid w:val="7560480F"/>
    <w:rsid w:val="756D6E94"/>
    <w:rsid w:val="75825236"/>
    <w:rsid w:val="758D7C7A"/>
    <w:rsid w:val="75A16CCF"/>
    <w:rsid w:val="75A92EC7"/>
    <w:rsid w:val="762C4C61"/>
    <w:rsid w:val="762E1891"/>
    <w:rsid w:val="763122E9"/>
    <w:rsid w:val="76325A21"/>
    <w:rsid w:val="764A376A"/>
    <w:rsid w:val="765525DD"/>
    <w:rsid w:val="76D21D73"/>
    <w:rsid w:val="76D84D7F"/>
    <w:rsid w:val="76D85876"/>
    <w:rsid w:val="76DC37BC"/>
    <w:rsid w:val="7701722F"/>
    <w:rsid w:val="770E4CD5"/>
    <w:rsid w:val="771F2614"/>
    <w:rsid w:val="77662349"/>
    <w:rsid w:val="77762CD4"/>
    <w:rsid w:val="77774A06"/>
    <w:rsid w:val="77913F59"/>
    <w:rsid w:val="77AF3BEF"/>
    <w:rsid w:val="77EE6A87"/>
    <w:rsid w:val="77F155D3"/>
    <w:rsid w:val="77F86242"/>
    <w:rsid w:val="77FB6308"/>
    <w:rsid w:val="783721E5"/>
    <w:rsid w:val="7846439B"/>
    <w:rsid w:val="789B6A68"/>
    <w:rsid w:val="79032302"/>
    <w:rsid w:val="79406111"/>
    <w:rsid w:val="797C59AE"/>
    <w:rsid w:val="79F52814"/>
    <w:rsid w:val="7A000556"/>
    <w:rsid w:val="7A33682E"/>
    <w:rsid w:val="7A5360E7"/>
    <w:rsid w:val="7A6027FD"/>
    <w:rsid w:val="7A6F48E9"/>
    <w:rsid w:val="7A7B1B13"/>
    <w:rsid w:val="7AAC1777"/>
    <w:rsid w:val="7ABB4647"/>
    <w:rsid w:val="7AD1051F"/>
    <w:rsid w:val="7AF77B2E"/>
    <w:rsid w:val="7AFB293B"/>
    <w:rsid w:val="7B2A2214"/>
    <w:rsid w:val="7B3F12B7"/>
    <w:rsid w:val="7B530B01"/>
    <w:rsid w:val="7B56229E"/>
    <w:rsid w:val="7B687EDF"/>
    <w:rsid w:val="7BBF0DCC"/>
    <w:rsid w:val="7BE677C4"/>
    <w:rsid w:val="7BF13F8D"/>
    <w:rsid w:val="7BFF1130"/>
    <w:rsid w:val="7C0536E6"/>
    <w:rsid w:val="7C1118EB"/>
    <w:rsid w:val="7C181F36"/>
    <w:rsid w:val="7C2D6233"/>
    <w:rsid w:val="7C323877"/>
    <w:rsid w:val="7C353E49"/>
    <w:rsid w:val="7C4F5DF1"/>
    <w:rsid w:val="7C9D33C3"/>
    <w:rsid w:val="7CB977AA"/>
    <w:rsid w:val="7CE65EFE"/>
    <w:rsid w:val="7D1F4538"/>
    <w:rsid w:val="7D3F3AEF"/>
    <w:rsid w:val="7DDA70CE"/>
    <w:rsid w:val="7DE710EF"/>
    <w:rsid w:val="7E08365D"/>
    <w:rsid w:val="7EB46D21"/>
    <w:rsid w:val="7EDA3591"/>
    <w:rsid w:val="7EF712F8"/>
    <w:rsid w:val="7EF85E73"/>
    <w:rsid w:val="7F0C21E3"/>
    <w:rsid w:val="7F187E4A"/>
    <w:rsid w:val="7F3E2A62"/>
    <w:rsid w:val="7F440278"/>
    <w:rsid w:val="7F5C1AA4"/>
    <w:rsid w:val="7F691F80"/>
    <w:rsid w:val="7F9A66E9"/>
    <w:rsid w:val="7FBB3986"/>
    <w:rsid w:val="7FD65946"/>
    <w:rsid w:val="7FDF671E"/>
    <w:rsid w:val="7FEB3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53"/>
    <w:qFormat/>
    <w:uiPriority w:val="0"/>
    <w:pPr>
      <w:ind w:firstLine="0" w:firstLineChars="0"/>
      <w:jc w:val="center"/>
      <w:outlineLvl w:val="0"/>
    </w:pPr>
    <w:rPr>
      <w:rFonts w:hint="eastAsia"/>
      <w:b/>
      <w:bCs/>
      <w:sz w:val="44"/>
      <w:szCs w:val="44"/>
    </w:rPr>
  </w:style>
  <w:style w:type="paragraph" w:styleId="4">
    <w:name w:val="heading 2"/>
    <w:basedOn w:val="1"/>
    <w:next w:val="1"/>
    <w:link w:val="43"/>
    <w:unhideWhenUsed/>
    <w:qFormat/>
    <w:uiPriority w:val="0"/>
    <w:pPr>
      <w:keepNext/>
      <w:keepLines/>
      <w:ind w:firstLine="0" w:firstLineChars="0"/>
      <w:outlineLvl w:val="1"/>
    </w:pPr>
    <w:rPr>
      <w:b/>
      <w:sz w:val="32"/>
      <w:szCs w:val="32"/>
    </w:rPr>
  </w:style>
  <w:style w:type="paragraph" w:styleId="5">
    <w:name w:val="heading 3"/>
    <w:basedOn w:val="1"/>
    <w:next w:val="1"/>
    <w:link w:val="44"/>
    <w:unhideWhenUsed/>
    <w:qFormat/>
    <w:uiPriority w:val="0"/>
    <w:pPr>
      <w:keepNext/>
      <w:keepLines/>
      <w:ind w:firstLine="0" w:firstLineChars="0"/>
      <w:outlineLvl w:val="2"/>
    </w:pPr>
    <w:rPr>
      <w:b/>
      <w:bCs/>
      <w:kern w:val="0"/>
      <w:sz w:val="30"/>
      <w:szCs w:val="30"/>
    </w:rPr>
  </w:style>
  <w:style w:type="paragraph" w:styleId="2">
    <w:name w:val="heading 4"/>
    <w:basedOn w:val="1"/>
    <w:next w:val="1"/>
    <w:link w:val="45"/>
    <w:semiHidden/>
    <w:unhideWhenUsed/>
    <w:qFormat/>
    <w:uiPriority w:val="0"/>
    <w:pPr>
      <w:keepNext/>
      <w:keepLines/>
      <w:ind w:firstLine="643"/>
      <w:outlineLvl w:val="3"/>
    </w:pPr>
    <w:rPr>
      <w:b/>
      <w:bCs/>
      <w:sz w:val="28"/>
      <w:szCs w:val="28"/>
    </w:rPr>
  </w:style>
  <w:style w:type="paragraph" w:styleId="6">
    <w:name w:val="heading 5"/>
    <w:basedOn w:val="1"/>
    <w:next w:val="1"/>
    <w:semiHidden/>
    <w:unhideWhenUsed/>
    <w:qFormat/>
    <w:uiPriority w:val="0"/>
    <w:pPr>
      <w:keepNext/>
      <w:keepLines/>
      <w:outlineLvl w:val="4"/>
    </w:pPr>
    <w:rPr>
      <w:b/>
      <w:bCs/>
    </w:rPr>
  </w:style>
  <w:style w:type="paragraph" w:styleId="7">
    <w:name w:val="heading 6"/>
    <w:basedOn w:val="1"/>
    <w:next w:val="1"/>
    <w:semiHidden/>
    <w:unhideWhenUsed/>
    <w:qFormat/>
    <w:uiPriority w:val="0"/>
    <w:pPr>
      <w:keepNext/>
      <w:keepLines/>
      <w:outlineLvl w:val="5"/>
    </w:pPr>
    <w:rPr>
      <w:b/>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1"/>
    <w:unhideWhenUsed/>
    <w:qFormat/>
    <w:uiPriority w:val="99"/>
    <w:pPr>
      <w:ind w:firstLine="420"/>
    </w:pPr>
    <w:rPr>
      <w:szCs w:val="20"/>
    </w:rPr>
  </w:style>
  <w:style w:type="paragraph" w:styleId="9">
    <w:name w:val="caption"/>
    <w:basedOn w:val="1"/>
    <w:next w:val="1"/>
    <w:qFormat/>
    <w:uiPriority w:val="0"/>
    <w:pPr>
      <w:spacing w:before="152" w:after="160"/>
    </w:pPr>
    <w:rPr>
      <w:rFonts w:ascii="Arial" w:hAnsi="Arial" w:eastAsia="黑体"/>
    </w:rPr>
  </w:style>
  <w:style w:type="paragraph" w:styleId="10">
    <w:name w:val="annotation text"/>
    <w:basedOn w:val="1"/>
    <w:link w:val="101"/>
    <w:qFormat/>
    <w:uiPriority w:val="0"/>
    <w:pPr>
      <w:jc w:val="left"/>
    </w:pPr>
  </w:style>
  <w:style w:type="paragraph" w:styleId="11">
    <w:name w:val="Body Text"/>
    <w:basedOn w:val="1"/>
    <w:next w:val="12"/>
    <w:qFormat/>
    <w:uiPriority w:val="0"/>
    <w:pPr>
      <w:autoSpaceDE w:val="0"/>
      <w:autoSpaceDN w:val="0"/>
      <w:spacing w:before="213"/>
      <w:ind w:left="219"/>
      <w:jc w:val="left"/>
    </w:pPr>
    <w:rPr>
      <w:rFonts w:hint="eastAsia" w:ascii="宋体" w:hAnsi="宋体"/>
      <w:kern w:val="0"/>
      <w:sz w:val="28"/>
      <w:szCs w:val="28"/>
    </w:rPr>
  </w:style>
  <w:style w:type="paragraph" w:styleId="12">
    <w:name w:val="List Bullet 5"/>
    <w:basedOn w:val="1"/>
    <w:qFormat/>
    <w:uiPriority w:val="0"/>
    <w:pPr>
      <w:numPr>
        <w:ilvl w:val="0"/>
        <w:numId w:val="1"/>
      </w:numPr>
    </w:pPr>
  </w:style>
  <w:style w:type="paragraph" w:styleId="13">
    <w:name w:val="Body Text Indent"/>
    <w:basedOn w:val="1"/>
    <w:next w:val="14"/>
    <w:qFormat/>
    <w:uiPriority w:val="0"/>
    <w:pPr>
      <w:spacing w:after="120"/>
      <w:ind w:left="420" w:leftChars="200"/>
    </w:pPr>
    <w:rPr>
      <w:kern w:val="0"/>
      <w:szCs w:val="20"/>
    </w:rPr>
  </w:style>
  <w:style w:type="paragraph" w:styleId="14">
    <w:name w:val="Body Text First Indent 2"/>
    <w:basedOn w:val="13"/>
    <w:next w:val="15"/>
    <w:qFormat/>
    <w:uiPriority w:val="0"/>
    <w:pPr>
      <w:ind w:firstLine="420"/>
    </w:pPr>
    <w:rPr>
      <w:sz w:val="21"/>
    </w:rPr>
  </w:style>
  <w:style w:type="paragraph" w:styleId="15">
    <w:name w:val="Body Text First Indent"/>
    <w:basedOn w:val="11"/>
    <w:next w:val="13"/>
    <w:qFormat/>
    <w:uiPriority w:val="0"/>
    <w:pPr>
      <w:spacing w:after="120"/>
      <w:ind w:firstLine="420" w:firstLineChars="100"/>
      <w:jc w:val="both"/>
    </w:pPr>
    <w:rPr>
      <w:rFonts w:hint="default" w:ascii="Times New Roman" w:hAnsi="Times New Roman"/>
      <w:kern w:val="2"/>
      <w:sz w:val="21"/>
      <w:szCs w:val="21"/>
    </w:rPr>
  </w:style>
  <w:style w:type="paragraph" w:styleId="16">
    <w:name w:val="Block Text"/>
    <w:basedOn w:val="1"/>
    <w:qFormat/>
    <w:uiPriority w:val="99"/>
    <w:pPr>
      <w:spacing w:line="480" w:lineRule="exact"/>
      <w:ind w:left="-125" w:right="-56" w:firstLine="570"/>
    </w:pPr>
    <w:rPr>
      <w:sz w:val="28"/>
    </w:rPr>
  </w:style>
  <w:style w:type="paragraph" w:styleId="17">
    <w:name w:val="Plain Text"/>
    <w:basedOn w:val="1"/>
    <w:next w:val="18"/>
    <w:qFormat/>
    <w:uiPriority w:val="99"/>
    <w:rPr>
      <w:rFonts w:ascii="宋体" w:hAnsi="Courier New" w:eastAsia="仿宋_GB2312"/>
      <w:sz w:val="28"/>
    </w:rPr>
  </w:style>
  <w:style w:type="paragraph" w:styleId="18">
    <w:name w:val="List Number 5"/>
    <w:basedOn w:val="1"/>
    <w:qFormat/>
    <w:uiPriority w:val="0"/>
    <w:pPr>
      <w:numPr>
        <w:ilvl w:val="0"/>
        <w:numId w:val="2"/>
      </w:numPr>
    </w:pPr>
  </w:style>
  <w:style w:type="paragraph" w:styleId="19">
    <w:name w:val="Body Text Indent 2"/>
    <w:basedOn w:val="1"/>
    <w:qFormat/>
    <w:uiPriority w:val="0"/>
    <w:pPr>
      <w:ind w:firstLine="573"/>
    </w:pPr>
    <w:rPr>
      <w:rFonts w:hint="eastAsia" w:ascii="宋体" w:hAnsi="宋体"/>
      <w:sz w:val="28"/>
      <w:szCs w:val="28"/>
    </w:rPr>
  </w:style>
  <w:style w:type="paragraph" w:styleId="20">
    <w:name w:val="Balloon Text"/>
    <w:basedOn w:val="1"/>
    <w:link w:val="103"/>
    <w:qFormat/>
    <w:uiPriority w:val="0"/>
    <w:pPr>
      <w:spacing w:line="240" w:lineRule="auto"/>
    </w:pPr>
    <w:rPr>
      <w:sz w:val="18"/>
      <w:szCs w:val="18"/>
    </w:rPr>
  </w:style>
  <w:style w:type="paragraph" w:styleId="21">
    <w:name w:val="footer"/>
    <w:basedOn w:val="1"/>
    <w:qFormat/>
    <w:uiPriority w:val="99"/>
    <w:pPr>
      <w:tabs>
        <w:tab w:val="center" w:pos="4153"/>
        <w:tab w:val="right" w:pos="8306"/>
      </w:tabs>
      <w:snapToGrid w:val="0"/>
      <w:jc w:val="left"/>
    </w:pPr>
    <w:rPr>
      <w:kern w:val="0"/>
      <w:sz w:val="18"/>
      <w:szCs w:val="20"/>
    </w:rPr>
  </w:style>
  <w:style w:type="paragraph" w:styleId="22">
    <w:name w:val="header"/>
    <w:basedOn w:val="1"/>
    <w:next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23">
    <w:name w:val="样式5"/>
    <w:basedOn w:val="24"/>
    <w:qFormat/>
    <w:uiPriority w:val="0"/>
    <w:pPr>
      <w:spacing w:before="62" w:beforeLines="20" w:after="62" w:afterLines="20" w:line="480" w:lineRule="exact"/>
      <w:ind w:firstLine="523" w:firstLineChars="218"/>
      <w:jc w:val="both"/>
    </w:pPr>
    <w:rPr>
      <w:i/>
      <w:iCs/>
      <w:kern w:val="2"/>
    </w:rPr>
  </w:style>
  <w:style w:type="paragraph" w:customStyle="1" w:styleId="24">
    <w:name w:val="正文1"/>
    <w:basedOn w:val="8"/>
    <w:next w:val="1"/>
    <w:qFormat/>
    <w:uiPriority w:val="0"/>
    <w:pPr>
      <w:snapToGrid w:val="0"/>
      <w:spacing w:line="270" w:lineRule="exact"/>
      <w:jc w:val="center"/>
    </w:pPr>
    <w:rPr>
      <w:spacing w:val="8"/>
      <w:kern w:val="21"/>
    </w:rPr>
  </w:style>
  <w:style w:type="paragraph" w:styleId="25">
    <w:name w:val="List"/>
    <w:basedOn w:val="1"/>
    <w:next w:val="1"/>
    <w:qFormat/>
    <w:uiPriority w:val="0"/>
    <w:pPr>
      <w:ind w:left="200" w:hanging="200" w:hangingChars="200"/>
    </w:pPr>
  </w:style>
  <w:style w:type="paragraph" w:styleId="26">
    <w:name w:val="toc 2"/>
    <w:basedOn w:val="1"/>
    <w:next w:val="1"/>
    <w:unhideWhenUsed/>
    <w:qFormat/>
    <w:uiPriority w:val="39"/>
    <w:pPr>
      <w:spacing w:before="120"/>
      <w:ind w:left="210"/>
      <w:jc w:val="left"/>
    </w:pPr>
    <w:rPr>
      <w:rFonts w:ascii="Calibri" w:hAnsi="Calibri" w:cs="Calibri"/>
      <w:i/>
      <w:iCs/>
      <w:sz w:val="20"/>
    </w:rPr>
  </w:style>
  <w:style w:type="paragraph" w:styleId="27">
    <w:name w:val="Body Text 2"/>
    <w:basedOn w:val="1"/>
    <w:qFormat/>
    <w:uiPriority w:val="0"/>
    <w:rPr>
      <w:sz w:val="18"/>
    </w:rPr>
  </w:style>
  <w:style w:type="paragraph" w:styleId="28">
    <w:name w:val="Normal (Web)"/>
    <w:basedOn w:val="1"/>
    <w:qFormat/>
    <w:uiPriority w:val="0"/>
    <w:pPr>
      <w:widowControl/>
      <w:spacing w:before="100" w:beforeAutospacing="1" w:after="100" w:afterAutospacing="1"/>
      <w:jc w:val="left"/>
    </w:pPr>
    <w:rPr>
      <w:rFonts w:ascii="宋体" w:hAnsi="宋体"/>
      <w:kern w:val="0"/>
    </w:rPr>
  </w:style>
  <w:style w:type="paragraph" w:styleId="29">
    <w:name w:val="annotation subject"/>
    <w:basedOn w:val="10"/>
    <w:next w:val="10"/>
    <w:link w:val="102"/>
    <w:qFormat/>
    <w:uiPriority w:val="0"/>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33">
    <w:name w:val="page number"/>
    <w:basedOn w:val="32"/>
    <w:qFormat/>
    <w:uiPriority w:val="0"/>
  </w:style>
  <w:style w:type="character" w:styleId="34">
    <w:name w:val="Emphasis"/>
    <w:basedOn w:val="32"/>
    <w:qFormat/>
    <w:uiPriority w:val="0"/>
    <w:rPr>
      <w:i/>
    </w:rPr>
  </w:style>
  <w:style w:type="character" w:styleId="35">
    <w:name w:val="Hyperlink"/>
    <w:basedOn w:val="32"/>
    <w:qFormat/>
    <w:uiPriority w:val="0"/>
    <w:rPr>
      <w:color w:val="0000FF"/>
      <w:u w:val="single"/>
    </w:rPr>
  </w:style>
  <w:style w:type="character" w:styleId="36">
    <w:name w:val="annotation reference"/>
    <w:basedOn w:val="32"/>
    <w:semiHidden/>
    <w:qFormat/>
    <w:uiPriority w:val="99"/>
    <w:rPr>
      <w:rFonts w:cs="Times New Roman"/>
      <w:sz w:val="21"/>
      <w:szCs w:val="21"/>
    </w:rPr>
  </w:style>
  <w:style w:type="paragraph" w:customStyle="1" w:styleId="37">
    <w:name w:val="Default"/>
    <w:basedOn w:val="38"/>
    <w:next w:val="14"/>
    <w:qFormat/>
    <w:uiPriority w:val="0"/>
    <w:pPr>
      <w:autoSpaceDE w:val="0"/>
      <w:autoSpaceDN w:val="0"/>
      <w:jc w:val="left"/>
    </w:pPr>
    <w:rPr>
      <w:rFonts w:hint="eastAsia" w:hAnsi="Times New Roman" w:cs="Times New Roman"/>
      <w:color w:val="000000"/>
      <w:kern w:val="0"/>
      <w:szCs w:val="24"/>
    </w:rPr>
  </w:style>
  <w:style w:type="paragraph" w:customStyle="1" w:styleId="38">
    <w:name w:val="纯文本1"/>
    <w:basedOn w:val="1"/>
    <w:qFormat/>
    <w:uiPriority w:val="0"/>
    <w:rPr>
      <w:rFonts w:ascii="宋体" w:hAnsi="Courier New" w:cs="Courier New"/>
      <w:szCs w:val="21"/>
    </w:rPr>
  </w:style>
  <w:style w:type="paragraph" w:customStyle="1" w:styleId="39">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40">
    <w:name w:val="Char Char Char Char Char Char Char Char Char Char Char Char Char Char Char Char Char Char"/>
    <w:basedOn w:val="1"/>
    <w:qFormat/>
    <w:uiPriority w:val="0"/>
  </w:style>
  <w:style w:type="paragraph" w:customStyle="1" w:styleId="41">
    <w:name w:val="Char"/>
    <w:basedOn w:val="1"/>
    <w:qFormat/>
    <w:uiPriority w:val="0"/>
    <w:rPr>
      <w:rFonts w:ascii="宋体"/>
      <w:szCs w:val="28"/>
    </w:rPr>
  </w:style>
  <w:style w:type="paragraph" w:customStyle="1" w:styleId="42">
    <w:name w:val="正文格式"/>
    <w:basedOn w:val="15"/>
    <w:qFormat/>
    <w:uiPriority w:val="0"/>
    <w:pPr>
      <w:ind w:firstLine="482"/>
    </w:pPr>
    <w:rPr>
      <w:rFonts w:ascii="宋体" w:hAnsi="宋体"/>
      <w:sz w:val="24"/>
    </w:rPr>
  </w:style>
  <w:style w:type="character" w:customStyle="1" w:styleId="43">
    <w:name w:val="标题 2 Char"/>
    <w:link w:val="4"/>
    <w:qFormat/>
    <w:uiPriority w:val="0"/>
    <w:rPr>
      <w:rFonts w:ascii="Times New Roman" w:hAnsi="Times New Roman" w:eastAsia="宋体"/>
      <w:b/>
      <w:sz w:val="32"/>
      <w:szCs w:val="32"/>
    </w:rPr>
  </w:style>
  <w:style w:type="character" w:customStyle="1" w:styleId="44">
    <w:name w:val="标题 3 Char"/>
    <w:link w:val="5"/>
    <w:qFormat/>
    <w:uiPriority w:val="0"/>
    <w:rPr>
      <w:rFonts w:ascii="Times New Roman" w:hAnsi="Times New Roman" w:eastAsia="宋体" w:cs="Times New Roman"/>
      <w:b/>
      <w:bCs/>
      <w:sz w:val="30"/>
      <w:szCs w:val="30"/>
    </w:rPr>
  </w:style>
  <w:style w:type="character" w:customStyle="1" w:styleId="45">
    <w:name w:val="标题 4 Char"/>
    <w:link w:val="2"/>
    <w:qFormat/>
    <w:uiPriority w:val="0"/>
    <w:rPr>
      <w:rFonts w:ascii="Times New Roman" w:hAnsi="Times New Roman" w:eastAsia="宋体" w:cs="Times New Roman"/>
      <w:b/>
      <w:sz w:val="28"/>
      <w:szCs w:val="28"/>
    </w:rPr>
  </w:style>
  <w:style w:type="paragraph" w:customStyle="1" w:styleId="46">
    <w:name w:val="正文(首行缩进)"/>
    <w:basedOn w:val="1"/>
    <w:next w:val="1"/>
    <w:unhideWhenUsed/>
    <w:qFormat/>
    <w:uiPriority w:val="0"/>
    <w:pPr>
      <w:ind w:firstLine="540" w:firstLineChars="225"/>
    </w:pPr>
    <w:rPr>
      <w:snapToGrid w:val="0"/>
      <w:color w:val="000000"/>
    </w:rPr>
  </w:style>
  <w:style w:type="paragraph" w:customStyle="1" w:styleId="47">
    <w:name w:val="标号正文"/>
    <w:basedOn w:val="1"/>
    <w:next w:val="1"/>
    <w:qFormat/>
    <w:uiPriority w:val="0"/>
    <w:pPr>
      <w:tabs>
        <w:tab w:val="left" w:pos="1540"/>
      </w:tabs>
      <w:overflowPunct w:val="0"/>
      <w:snapToGrid w:val="0"/>
      <w:ind w:firstLine="1040"/>
      <w:jc w:val="left"/>
    </w:pPr>
    <w:rPr>
      <w:rFonts w:ascii="Arial" w:hAnsi="Arial"/>
      <w:szCs w:val="20"/>
    </w:rPr>
  </w:style>
  <w:style w:type="paragraph" w:customStyle="1" w:styleId="4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9">
    <w:name w:val="Body Text 21"/>
    <w:basedOn w:val="1"/>
    <w:qFormat/>
    <w:uiPriority w:val="0"/>
    <w:pPr>
      <w:spacing w:after="120" w:line="480" w:lineRule="auto"/>
    </w:pPr>
  </w:style>
  <w:style w:type="paragraph" w:customStyle="1" w:styleId="5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1">
    <w:name w:val="正文（居中）"/>
    <w:basedOn w:val="1"/>
    <w:qFormat/>
    <w:uiPriority w:val="0"/>
    <w:pPr>
      <w:spacing w:line="240" w:lineRule="auto"/>
      <w:ind w:firstLine="0" w:firstLineChars="0"/>
      <w:jc w:val="center"/>
    </w:pPr>
  </w:style>
  <w:style w:type="paragraph" w:customStyle="1" w:styleId="52">
    <w:name w:val="表格"/>
    <w:basedOn w:val="25"/>
    <w:next w:val="1"/>
    <w:qFormat/>
    <w:uiPriority w:val="0"/>
    <w:pPr>
      <w:spacing w:line="240" w:lineRule="auto"/>
      <w:ind w:left="0" w:firstLine="0" w:firstLineChars="0"/>
      <w:jc w:val="center"/>
    </w:pPr>
    <w:rPr>
      <w:sz w:val="21"/>
      <w:szCs w:val="21"/>
    </w:rPr>
  </w:style>
  <w:style w:type="character" w:customStyle="1" w:styleId="53">
    <w:name w:val="标题 1 Char"/>
    <w:basedOn w:val="32"/>
    <w:link w:val="3"/>
    <w:qFormat/>
    <w:uiPriority w:val="0"/>
    <w:rPr>
      <w:rFonts w:ascii="Times New Roman" w:hAnsi="Times New Roman" w:eastAsia="宋体" w:cs="Times New Roman"/>
      <w:b/>
      <w:kern w:val="2"/>
      <w:sz w:val="44"/>
      <w:szCs w:val="44"/>
      <w:lang w:val="en-US" w:eastAsia="zh-CN" w:bidi="ar-SA"/>
    </w:rPr>
  </w:style>
  <w:style w:type="paragraph" w:customStyle="1" w:styleId="54">
    <w:name w:val="正文（无缩进）"/>
    <w:basedOn w:val="1"/>
    <w:qFormat/>
    <w:uiPriority w:val="0"/>
    <w:pPr>
      <w:spacing w:line="240" w:lineRule="auto"/>
      <w:ind w:firstLine="0" w:firstLineChars="0"/>
      <w:jc w:val="center"/>
    </w:pPr>
  </w:style>
  <w:style w:type="paragraph" w:customStyle="1" w:styleId="55">
    <w:name w:val="表格文字"/>
    <w:basedOn w:val="56"/>
    <w:next w:val="1"/>
    <w:qFormat/>
    <w:uiPriority w:val="0"/>
    <w:pPr>
      <w:autoSpaceDE w:val="0"/>
      <w:autoSpaceDN w:val="0"/>
      <w:adjustRightInd w:val="0"/>
      <w:textAlignment w:val="baseline"/>
    </w:pPr>
    <w:rPr>
      <w:rFonts w:ascii="宋体"/>
      <w:color w:val="000000"/>
      <w:sz w:val="24"/>
    </w:rPr>
  </w:style>
  <w:style w:type="paragraph" w:customStyle="1" w:styleId="56">
    <w:name w:val="表外"/>
    <w:basedOn w:val="1"/>
    <w:qFormat/>
    <w:uiPriority w:val="0"/>
    <w:pPr>
      <w:ind w:firstLine="0" w:firstLineChars="0"/>
    </w:pPr>
    <w:rPr>
      <w:b/>
      <w:sz w:val="32"/>
    </w:rPr>
  </w:style>
  <w:style w:type="paragraph" w:customStyle="1" w:styleId="57">
    <w:name w:val="WY表格"/>
    <w:basedOn w:val="1"/>
    <w:qFormat/>
    <w:uiPriority w:val="0"/>
    <w:pPr>
      <w:spacing w:line="240" w:lineRule="atLeast"/>
      <w:jc w:val="center"/>
    </w:pPr>
    <w:rPr>
      <w:rFonts w:ascii="Calibri" w:hAnsi="Calibri"/>
      <w:szCs w:val="21"/>
    </w:rPr>
  </w:style>
  <w:style w:type="character" w:customStyle="1" w:styleId="58">
    <w:name w:val="15"/>
    <w:basedOn w:val="32"/>
    <w:qFormat/>
    <w:uiPriority w:val="0"/>
    <w:rPr>
      <w:rFonts w:hint="default" w:ascii="Times New Roman" w:hAnsi="Times New Roman" w:cs="Times New Roman"/>
      <w:color w:val="CC0000"/>
      <w:sz w:val="24"/>
      <w:szCs w:val="24"/>
    </w:rPr>
  </w:style>
  <w:style w:type="character" w:customStyle="1" w:styleId="59">
    <w:name w:val="16"/>
    <w:basedOn w:val="32"/>
    <w:qFormat/>
    <w:uiPriority w:val="0"/>
    <w:rPr>
      <w:rFonts w:hint="default" w:ascii="Times New Roman" w:hAnsi="Times New Roman" w:eastAsia="仿宋_GB2312" w:cs="Times New Roman"/>
      <w:sz w:val="21"/>
      <w:szCs w:val="21"/>
    </w:rPr>
  </w:style>
  <w:style w:type="paragraph" w:customStyle="1" w:styleId="60">
    <w:name w:val="文本"/>
    <w:basedOn w:val="1"/>
    <w:qFormat/>
    <w:uiPriority w:val="0"/>
    <w:pPr>
      <w:adjustRightInd w:val="0"/>
      <w:snapToGrid w:val="0"/>
      <w:ind w:firstLine="480"/>
      <w:jc w:val="left"/>
    </w:pPr>
  </w:style>
  <w:style w:type="paragraph" w:customStyle="1" w:styleId="61">
    <w:name w:val="111111"/>
    <w:basedOn w:val="1"/>
    <w:qFormat/>
    <w:uiPriority w:val="0"/>
    <w:pPr>
      <w:jc w:val="left"/>
    </w:pPr>
    <w:rPr>
      <w:b/>
      <w:sz w:val="28"/>
    </w:rPr>
  </w:style>
  <w:style w:type="paragraph" w:customStyle="1" w:styleId="62">
    <w:name w:val="YJ正文*"/>
    <w:basedOn w:val="1"/>
    <w:qFormat/>
    <w:uiPriority w:val="0"/>
    <w:pPr>
      <w:spacing w:line="500" w:lineRule="exact"/>
      <w:ind w:firstLine="200"/>
    </w:pPr>
    <w:rPr>
      <w:rFonts w:ascii="等线" w:hAnsi="等线"/>
    </w:rPr>
  </w:style>
  <w:style w:type="paragraph" w:customStyle="1" w:styleId="63">
    <w:name w:val="段落1"/>
    <w:basedOn w:val="1"/>
    <w:qFormat/>
    <w:uiPriority w:val="0"/>
    <w:pPr>
      <w:spacing w:line="480" w:lineRule="exact"/>
      <w:ind w:firstLine="584"/>
    </w:pPr>
    <w:rPr>
      <w:spacing w:val="6"/>
      <w:sz w:val="28"/>
    </w:rPr>
  </w:style>
  <w:style w:type="paragraph" w:customStyle="1" w:styleId="64">
    <w:name w:val="段落"/>
    <w:basedOn w:val="1"/>
    <w:qFormat/>
    <w:uiPriority w:val="0"/>
    <w:pPr>
      <w:tabs>
        <w:tab w:val="left" w:pos="1021"/>
      </w:tabs>
      <w:adjustRightInd w:val="0"/>
      <w:ind w:firstLine="500"/>
    </w:pPr>
    <w:rPr>
      <w:kern w:val="24"/>
    </w:rPr>
  </w:style>
  <w:style w:type="paragraph" w:customStyle="1" w:styleId="65">
    <w:name w:val="表头"/>
    <w:basedOn w:val="52"/>
    <w:next w:val="1"/>
    <w:qFormat/>
    <w:uiPriority w:val="0"/>
    <w:pPr>
      <w:overflowPunct w:val="0"/>
      <w:snapToGrid w:val="0"/>
      <w:ind w:firstLine="200" w:firstLineChars="200"/>
    </w:pPr>
  </w:style>
  <w:style w:type="character" w:customStyle="1" w:styleId="66">
    <w:name w:val="10"/>
    <w:basedOn w:val="32"/>
    <w:qFormat/>
    <w:uiPriority w:val="0"/>
    <w:rPr>
      <w:rFonts w:hint="default" w:ascii="Times New Roman" w:hAnsi="Times New Roman" w:cs="Times New Roman"/>
    </w:rPr>
  </w:style>
  <w:style w:type="paragraph" w:styleId="67">
    <w:name w:val="List Paragraph"/>
    <w:basedOn w:val="1"/>
    <w:qFormat/>
    <w:uiPriority w:val="1"/>
    <w:pPr>
      <w:ind w:left="1280" w:hanging="790"/>
    </w:pPr>
    <w:rPr>
      <w:rFonts w:ascii="宋体" w:hAnsi="宋体" w:cs="宋体"/>
      <w:lang w:val="zh-CN" w:bidi="zh-CN"/>
    </w:rPr>
  </w:style>
  <w:style w:type="paragraph" w:customStyle="1" w:styleId="68">
    <w:name w:val="Table Paragraph"/>
    <w:basedOn w:val="1"/>
    <w:qFormat/>
    <w:uiPriority w:val="1"/>
    <w:rPr>
      <w:rFonts w:ascii="宋体" w:hAnsi="宋体" w:cs="宋体"/>
      <w:lang w:val="zh-CN" w:bidi="zh-CN"/>
    </w:rPr>
  </w:style>
  <w:style w:type="paragraph" w:customStyle="1" w:styleId="69">
    <w:name w:val="表格内容"/>
    <w:basedOn w:val="1"/>
    <w:qFormat/>
    <w:uiPriority w:val="0"/>
    <w:pPr>
      <w:adjustRightInd w:val="0"/>
      <w:snapToGrid w:val="0"/>
      <w:spacing w:line="280" w:lineRule="exact"/>
      <w:ind w:left="-31" w:leftChars="-15" w:right="-31" w:rightChars="-15"/>
      <w:jc w:val="center"/>
    </w:pPr>
    <w:rPr>
      <w:color w:val="000000"/>
      <w:sz w:val="18"/>
      <w:szCs w:val="18"/>
    </w:rPr>
  </w:style>
  <w:style w:type="paragraph" w:customStyle="1" w:styleId="70">
    <w:name w:val="小表头"/>
    <w:basedOn w:val="1"/>
    <w:qFormat/>
    <w:uiPriority w:val="0"/>
    <w:pPr>
      <w:wordWrap w:val="0"/>
      <w:spacing w:line="400" w:lineRule="exact"/>
      <w:ind w:firstLine="0" w:firstLineChars="0"/>
      <w:jc w:val="right"/>
    </w:pPr>
    <w:rPr>
      <w:rFonts w:ascii="宋体"/>
      <w:b/>
    </w:rPr>
  </w:style>
  <w:style w:type="paragraph" w:customStyle="1" w:styleId="71">
    <w:name w:val="小表内容"/>
    <w:basedOn w:val="1"/>
    <w:qFormat/>
    <w:uiPriority w:val="0"/>
    <w:pPr>
      <w:wordWrap w:val="0"/>
      <w:spacing w:line="240" w:lineRule="exact"/>
      <w:ind w:firstLine="0" w:firstLineChars="0"/>
      <w:jc w:val="center"/>
    </w:pPr>
    <w:rPr>
      <w:rFonts w:ascii="宋体" w:hAnsi="宋体"/>
      <w:sz w:val="18"/>
      <w:szCs w:val="21"/>
    </w:rPr>
  </w:style>
  <w:style w:type="paragraph" w:customStyle="1" w:styleId="72">
    <w:name w:val="font11"/>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3">
    <w:name w:val="报告书正文"/>
    <w:basedOn w:val="1"/>
    <w:qFormat/>
    <w:uiPriority w:val="0"/>
    <w:pPr>
      <w:spacing w:line="300" w:lineRule="auto"/>
      <w:ind w:firstLine="200"/>
    </w:pPr>
  </w:style>
  <w:style w:type="paragraph" w:customStyle="1" w:styleId="74">
    <w:name w:val="缩进"/>
    <w:basedOn w:val="1"/>
    <w:qFormat/>
    <w:uiPriority w:val="0"/>
    <w:pPr>
      <w:ind w:firstLine="200"/>
    </w:pPr>
  </w:style>
  <w:style w:type="paragraph" w:customStyle="1" w:styleId="75">
    <w:name w:val="表+五号"/>
    <w:basedOn w:val="1"/>
    <w:qFormat/>
    <w:uiPriority w:val="0"/>
    <w:rPr>
      <w:szCs w:val="28"/>
    </w:rPr>
  </w:style>
  <w:style w:type="paragraph" w:customStyle="1" w:styleId="76">
    <w:name w:val="Other|1"/>
    <w:basedOn w:val="1"/>
    <w:qFormat/>
    <w:uiPriority w:val="0"/>
    <w:pPr>
      <w:jc w:val="center"/>
    </w:pPr>
    <w:rPr>
      <w:sz w:val="20"/>
      <w:szCs w:val="20"/>
    </w:rPr>
  </w:style>
  <w:style w:type="paragraph" w:customStyle="1" w:styleId="77">
    <w:name w:val="Body text|1"/>
    <w:basedOn w:val="1"/>
    <w:qFormat/>
    <w:uiPriority w:val="0"/>
    <w:pPr>
      <w:spacing w:after="340"/>
      <w:ind w:firstLine="140"/>
    </w:pPr>
    <w:rPr>
      <w:rFonts w:ascii="宋体" w:hAnsi="宋体" w:cs="宋体"/>
      <w:sz w:val="44"/>
      <w:szCs w:val="44"/>
      <w:lang w:val="zh-TW" w:eastAsia="zh-TW" w:bidi="zh-TW"/>
    </w:rPr>
  </w:style>
  <w:style w:type="paragraph" w:customStyle="1" w:styleId="78">
    <w:name w:val="样式1"/>
    <w:basedOn w:val="1"/>
    <w:qFormat/>
    <w:uiPriority w:val="0"/>
    <w:pPr>
      <w:spacing w:after="40" w:line="300" w:lineRule="atLeast"/>
      <w:jc w:val="center"/>
      <w:outlineLvl w:val="2"/>
    </w:pPr>
    <w:rPr>
      <w:rFonts w:eastAsia="楷体_GB2312"/>
    </w:rPr>
  </w:style>
  <w:style w:type="paragraph" w:customStyle="1" w:styleId="79">
    <w:name w:val="表格标题"/>
    <w:basedOn w:val="65"/>
    <w:qFormat/>
    <w:uiPriority w:val="0"/>
    <w:pPr>
      <w:autoSpaceDE w:val="0"/>
      <w:autoSpaceDN w:val="0"/>
      <w:adjustRightInd w:val="0"/>
      <w:spacing w:line="324" w:lineRule="auto"/>
      <w:ind w:firstLine="422"/>
    </w:pPr>
    <w:rPr>
      <w:rFonts w:ascii="宋体" w:hAnsi="宋体"/>
      <w:b/>
      <w:szCs w:val="24"/>
      <w:lang w:val="zh-CN"/>
    </w:rPr>
  </w:style>
  <w:style w:type="paragraph" w:customStyle="1" w:styleId="80">
    <w:name w:val="正文111"/>
    <w:basedOn w:val="1"/>
    <w:qFormat/>
    <w:uiPriority w:val="0"/>
    <w:pPr>
      <w:spacing w:line="500" w:lineRule="exact"/>
      <w:ind w:firstLine="200"/>
      <w:jc w:val="left"/>
    </w:pPr>
    <w:rPr>
      <w:rFonts w:eastAsia="华文中宋"/>
      <w:color w:val="FF00FF"/>
    </w:rPr>
  </w:style>
  <w:style w:type="paragraph" w:customStyle="1" w:styleId="81">
    <w:name w:val="标题c"/>
    <w:basedOn w:val="5"/>
    <w:qFormat/>
    <w:uiPriority w:val="0"/>
    <w:rPr>
      <w:rFonts w:ascii="黑体" w:hAnsi="宋体" w:eastAsia="黑体"/>
      <w:bCs w:val="0"/>
      <w:sz w:val="28"/>
      <w:szCs w:val="20"/>
    </w:rPr>
  </w:style>
  <w:style w:type="paragraph" w:customStyle="1" w:styleId="82">
    <w:name w:val="表"/>
    <w:basedOn w:val="1"/>
    <w:qFormat/>
    <w:uiPriority w:val="0"/>
    <w:pPr>
      <w:spacing w:line="240" w:lineRule="auto"/>
      <w:ind w:firstLine="0" w:firstLineChars="0"/>
      <w:jc w:val="center"/>
    </w:pPr>
    <w:rPr>
      <w:kern w:val="0"/>
      <w:sz w:val="21"/>
      <w:szCs w:val="21"/>
    </w:rPr>
  </w:style>
  <w:style w:type="character" w:customStyle="1" w:styleId="83">
    <w:name w:val="font41"/>
    <w:basedOn w:val="32"/>
    <w:qFormat/>
    <w:uiPriority w:val="0"/>
    <w:rPr>
      <w:rFonts w:hint="default" w:ascii="Times New Roman" w:hAnsi="Times New Roman" w:cs="Times New Roman"/>
      <w:color w:val="000000"/>
      <w:sz w:val="24"/>
      <w:szCs w:val="24"/>
      <w:u w:val="none"/>
    </w:rPr>
  </w:style>
  <w:style w:type="character" w:customStyle="1" w:styleId="84">
    <w:name w:val="font31"/>
    <w:basedOn w:val="32"/>
    <w:qFormat/>
    <w:uiPriority w:val="0"/>
    <w:rPr>
      <w:rFonts w:hint="default" w:ascii="Times New Roman" w:hAnsi="Times New Roman" w:cs="Times New Roman"/>
      <w:color w:val="000000"/>
      <w:sz w:val="24"/>
      <w:szCs w:val="24"/>
      <w:u w:val="none"/>
      <w:vertAlign w:val="superscript"/>
    </w:rPr>
  </w:style>
  <w:style w:type="character" w:customStyle="1" w:styleId="85">
    <w:name w:val="font21"/>
    <w:basedOn w:val="32"/>
    <w:qFormat/>
    <w:uiPriority w:val="0"/>
    <w:rPr>
      <w:rFonts w:hint="default" w:ascii="Times New Roman" w:hAnsi="Times New Roman" w:cs="Times New Roman"/>
      <w:color w:val="000000"/>
      <w:sz w:val="24"/>
      <w:szCs w:val="24"/>
      <w:u w:val="none"/>
      <w:vertAlign w:val="superscript"/>
    </w:rPr>
  </w:style>
  <w:style w:type="character" w:customStyle="1" w:styleId="86">
    <w:name w:val="font01"/>
    <w:basedOn w:val="32"/>
    <w:qFormat/>
    <w:uiPriority w:val="0"/>
    <w:rPr>
      <w:rFonts w:hint="eastAsia" w:ascii="宋体" w:hAnsi="宋体" w:eastAsia="宋体" w:cs="宋体"/>
      <w:color w:val="000000"/>
      <w:sz w:val="24"/>
      <w:szCs w:val="24"/>
      <w:u w:val="none"/>
    </w:rPr>
  </w:style>
  <w:style w:type="paragraph" w:customStyle="1" w:styleId="87">
    <w:name w:val="表内格式"/>
    <w:basedOn w:val="1"/>
    <w:next w:val="1"/>
    <w:qFormat/>
    <w:uiPriority w:val="0"/>
    <w:pPr>
      <w:widowControl/>
      <w:jc w:val="center"/>
    </w:pPr>
    <w:rPr>
      <w:rFonts w:ascii="宋体" w:hAnsi="宋体" w:eastAsia="楷体_GB2312" w:cs="宋体"/>
      <w:kern w:val="0"/>
      <w:sz w:val="18"/>
      <w:szCs w:val="18"/>
    </w:rPr>
  </w:style>
  <w:style w:type="paragraph" w:customStyle="1" w:styleId="88">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89">
    <w:name w:val="表头样式1"/>
    <w:basedOn w:val="1"/>
    <w:qFormat/>
    <w:uiPriority w:val="0"/>
    <w:pPr>
      <w:spacing w:before="156" w:beforeLines="50"/>
      <w:jc w:val="center"/>
    </w:pPr>
    <w:rPr>
      <w:rFonts w:eastAsia="黑体"/>
      <w:b/>
      <w:szCs w:val="20"/>
    </w:rPr>
  </w:style>
  <w:style w:type="paragraph" w:customStyle="1" w:styleId="90">
    <w:name w:val="表格文字2"/>
    <w:basedOn w:val="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91">
    <w:name w:val="样式 正文缩进 + 宋体 行距: 固定值 22 磅"/>
    <w:basedOn w:val="8"/>
    <w:qFormat/>
    <w:uiPriority w:val="0"/>
    <w:pPr>
      <w:ind w:firstLine="0" w:firstLineChars="0"/>
    </w:pPr>
    <w:rPr>
      <w:rFonts w:ascii="Arial Unicode MS" w:hAnsi="Arial Unicode MS" w:cs="宋体"/>
    </w:rPr>
  </w:style>
  <w:style w:type="paragraph" w:customStyle="1" w:styleId="92">
    <w:name w:val="2兴业表格"/>
    <w:basedOn w:val="1"/>
    <w:qFormat/>
    <w:uiPriority w:val="0"/>
    <w:pPr>
      <w:spacing w:line="240" w:lineRule="auto"/>
      <w:ind w:firstLine="0" w:firstLineChars="0"/>
      <w:jc w:val="center"/>
    </w:pPr>
    <w:rPr>
      <w:sz w:val="21"/>
      <w:szCs w:val="21"/>
    </w:rPr>
  </w:style>
  <w:style w:type="paragraph" w:customStyle="1" w:styleId="93">
    <w:name w:val="表内文字"/>
    <w:basedOn w:val="1"/>
    <w:qFormat/>
    <w:uiPriority w:val="0"/>
    <w:pPr>
      <w:spacing w:line="240" w:lineRule="auto"/>
      <w:ind w:firstLine="0" w:firstLineChars="0"/>
      <w:jc w:val="center"/>
    </w:pPr>
    <w:rPr>
      <w:sz w:val="21"/>
      <w:szCs w:val="21"/>
    </w:rPr>
  </w:style>
  <w:style w:type="character" w:customStyle="1" w:styleId="94">
    <w:name w:val="font51"/>
    <w:basedOn w:val="32"/>
    <w:qFormat/>
    <w:uiPriority w:val="0"/>
    <w:rPr>
      <w:rFonts w:hint="default" w:ascii="Arial Unicode MS" w:hAnsi="Arial Unicode MS" w:eastAsia="Arial Unicode MS" w:cs="Arial Unicode MS"/>
      <w:color w:val="000000"/>
      <w:sz w:val="24"/>
      <w:szCs w:val="24"/>
      <w:u w:val="none"/>
      <w:vertAlign w:val="superscript"/>
    </w:rPr>
  </w:style>
  <w:style w:type="paragraph" w:customStyle="1" w:styleId="95">
    <w:name w:val="报告表正文"/>
    <w:basedOn w:val="1"/>
    <w:qFormat/>
    <w:uiPriority w:val="99"/>
    <w:pPr>
      <w:adjustRightInd w:val="0"/>
      <w:spacing w:line="312" w:lineRule="auto"/>
      <w:ind w:left="113" w:right="113" w:firstLine="482"/>
      <w:jc w:val="left"/>
    </w:pPr>
    <w:rPr>
      <w:szCs w:val="20"/>
    </w:rPr>
  </w:style>
  <w:style w:type="paragraph" w:customStyle="1" w:styleId="96">
    <w:name w:val="邓表格文字"/>
    <w:basedOn w:val="1"/>
    <w:qFormat/>
    <w:uiPriority w:val="0"/>
    <w:pPr>
      <w:widowControl/>
      <w:adjustRightInd w:val="0"/>
      <w:snapToGrid w:val="0"/>
      <w:spacing w:line="240" w:lineRule="exact"/>
      <w:jc w:val="center"/>
    </w:pPr>
    <w:rPr>
      <w:rFonts w:eastAsia="仿宋" w:cs="Arial"/>
      <w:kern w:val="0"/>
      <w:szCs w:val="21"/>
    </w:rPr>
  </w:style>
  <w:style w:type="paragraph" w:customStyle="1" w:styleId="97">
    <w:name w:val="环评正文"/>
    <w:basedOn w:val="1"/>
    <w:qFormat/>
    <w:uiPriority w:val="0"/>
    <w:pPr>
      <w:wordWrap w:val="0"/>
      <w:autoSpaceDE w:val="0"/>
      <w:autoSpaceDN w:val="0"/>
      <w:adjustRightInd w:val="0"/>
      <w:snapToGrid w:val="0"/>
      <w:ind w:firstLine="200"/>
      <w:jc w:val="left"/>
    </w:pPr>
    <w:rPr>
      <w:kern w:val="0"/>
    </w:rPr>
  </w:style>
  <w:style w:type="paragraph" w:customStyle="1" w:styleId="98">
    <w:name w:val="样式 首行缩进:  2 字符1"/>
    <w:basedOn w:val="1"/>
    <w:qFormat/>
    <w:uiPriority w:val="0"/>
    <w:pPr>
      <w:adjustRightInd w:val="0"/>
      <w:snapToGrid w:val="0"/>
      <w:ind w:firstLine="480"/>
    </w:pPr>
    <w:rPr>
      <w:rFonts w:cs="宋体"/>
    </w:rPr>
  </w:style>
  <w:style w:type="paragraph" w:customStyle="1" w:styleId="99">
    <w:name w:val="表格正文"/>
    <w:basedOn w:val="79"/>
    <w:qFormat/>
    <w:uiPriority w:val="0"/>
    <w:pPr>
      <w:wordWrap w:val="0"/>
      <w:spacing w:line="240" w:lineRule="auto"/>
      <w:ind w:firstLine="0" w:firstLineChars="0"/>
    </w:pPr>
    <w:rPr>
      <w:rFonts w:ascii="Times New Roman" w:hAnsi="Times New Roman"/>
      <w:b w:val="0"/>
      <w:color w:val="000000"/>
    </w:rPr>
  </w:style>
  <w:style w:type="paragraph" w:customStyle="1" w:styleId="100">
    <w:name w:val="表格字体"/>
    <w:basedOn w:val="1"/>
    <w:qFormat/>
    <w:uiPriority w:val="0"/>
    <w:pPr>
      <w:adjustRightInd w:val="0"/>
      <w:snapToGrid w:val="0"/>
      <w:jc w:val="center"/>
    </w:pPr>
    <w:rPr>
      <w:rFonts w:hint="eastAsia"/>
    </w:rPr>
  </w:style>
  <w:style w:type="character" w:customStyle="1" w:styleId="101">
    <w:name w:val="批注文字 Char"/>
    <w:basedOn w:val="32"/>
    <w:link w:val="10"/>
    <w:qFormat/>
    <w:uiPriority w:val="0"/>
    <w:rPr>
      <w:kern w:val="2"/>
      <w:sz w:val="24"/>
      <w:szCs w:val="24"/>
    </w:rPr>
  </w:style>
  <w:style w:type="character" w:customStyle="1" w:styleId="102">
    <w:name w:val="批注主题 Char"/>
    <w:basedOn w:val="101"/>
    <w:link w:val="29"/>
    <w:qFormat/>
    <w:uiPriority w:val="0"/>
    <w:rPr>
      <w:b/>
      <w:bCs/>
      <w:kern w:val="2"/>
      <w:sz w:val="24"/>
      <w:szCs w:val="24"/>
    </w:rPr>
  </w:style>
  <w:style w:type="character" w:customStyle="1" w:styleId="103">
    <w:name w:val="批注框文本 Char"/>
    <w:basedOn w:val="32"/>
    <w:link w:val="20"/>
    <w:qFormat/>
    <w:uiPriority w:val="0"/>
    <w:rPr>
      <w:kern w:val="2"/>
      <w:sz w:val="18"/>
      <w:szCs w:val="18"/>
    </w:rPr>
  </w:style>
  <w:style w:type="paragraph" w:styleId="104">
    <w:name w:val="No Spacing"/>
    <w:basedOn w:val="1"/>
    <w:qFormat/>
    <w:uiPriority w:val="0"/>
    <w:rPr>
      <w:szCs w:val="21"/>
    </w:rPr>
  </w:style>
  <w:style w:type="paragraph" w:customStyle="1" w:styleId="105">
    <w:name w:val="正文 首行缩进:  2 字符"/>
    <w:basedOn w:val="1"/>
    <w:qFormat/>
    <w:uiPriority w:val="0"/>
    <w:pPr>
      <w:adjustRightInd w:val="0"/>
      <w:snapToGrid w:val="0"/>
      <w:spacing w:line="500" w:lineRule="exact"/>
      <w:ind w:firstLine="480"/>
    </w:pPr>
    <w:rPr>
      <w:rFonts w:eastAsia="楷体_GB231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wmf"/><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emf"/><Relationship Id="rId21" Type="http://schemas.openxmlformats.org/officeDocument/2006/relationships/oleObject" Target="embeddings/oleObject2.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1.bin"/><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其他</Company>
  <Pages>68</Pages>
  <Words>37854</Words>
  <Characters>42150</Characters>
  <Lines>323</Lines>
  <Paragraphs>91</Paragraphs>
  <TotalTime>1</TotalTime>
  <ScaleCrop>false</ScaleCrop>
  <LinksUpToDate>false</LinksUpToDate>
  <CharactersWithSpaces>42733</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2021-03-22T08:12:00Z</dcterms:created>
  <dc:creator>张宏成</dc:creator>
  <cp:lastModifiedBy>pitt</cp:lastModifiedBy>
  <dcterms:modified xsi:type="dcterms:W3CDTF">2023-04-04T02:40:32Z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D663CACB8D124C56B439199E6821B3FF</vt:lpwstr>
  </property>
  <property fmtid="{D5CDD505-2E9C-101B-9397-08002B2CF9AE}" pid="4" name="commondata">
    <vt:lpwstr>eyJoZGlkIjoiMDkwZjJjYjc2NWY1YjU0NjE4OTIyOWM1NGQwMjZkNmEifQ==</vt:lpwstr>
  </property>
</Properties>
</file>