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eastAsia="仿宋_GB2312"/>
          <w:snapToGrid w:val="0"/>
          <w:color w:val="auto"/>
          <w:kern w:val="0"/>
        </w:rPr>
      </w:pPr>
    </w:p>
    <w:p>
      <w:pPr>
        <w:tabs>
          <w:tab w:val="left" w:pos="8500"/>
        </w:tabs>
        <w:spacing w:line="600" w:lineRule="exact"/>
        <w:jc w:val="center"/>
        <w:rPr>
          <w:rFonts w:eastAsia="仿宋_GB2312"/>
          <w:snapToGrid w:val="0"/>
          <w:color w:val="auto"/>
          <w:kern w:val="0"/>
          <w:szCs w:val="32"/>
          <w:highlight w:val="none"/>
        </w:rPr>
      </w:pPr>
      <w:r>
        <w:rPr>
          <w:rFonts w:eastAsia="仿宋_GB2312"/>
          <w:snapToGrid w:val="0"/>
          <w:color w:val="auto"/>
          <w:kern w:val="0"/>
          <w:szCs w:val="32"/>
        </w:rPr>
        <w:t xml:space="preserve">                             </w:t>
      </w:r>
      <w:r>
        <w:rPr>
          <w:rFonts w:eastAsia="仿宋_GB2312"/>
          <w:snapToGrid w:val="0"/>
          <w:color w:val="auto"/>
          <w:kern w:val="0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highlight w:val="none"/>
        </w:rPr>
        <w:t>师市环审〔202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highlight w:val="none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highlight w:val="none"/>
        </w:rPr>
        <w:t>号</w:t>
      </w:r>
    </w:p>
    <w:p>
      <w:pPr>
        <w:spacing w:line="600" w:lineRule="exact"/>
        <w:rPr>
          <w:rFonts w:eastAsia="仿宋_GB2312"/>
          <w:snapToGrid w:val="0"/>
          <w:color w:val="auto"/>
          <w:kern w:val="0"/>
          <w:sz w:val="30"/>
          <w:highlight w:val="none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关于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  <w:highlight w:val="none"/>
          <w:lang w:val="zh-CN"/>
        </w:rPr>
        <w:t>车排46井勘探钻探项目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环境影响</w:t>
      </w:r>
    </w:p>
    <w:p>
      <w:pPr>
        <w:spacing w:line="600" w:lineRule="exact"/>
        <w:jc w:val="center"/>
        <w:rPr>
          <w:rFonts w:eastAsia="仿宋_GB2312"/>
          <w:color w:val="auto"/>
          <w:kern w:val="0"/>
          <w:szCs w:val="32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报告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  <w:highlight w:val="none"/>
          <w:lang w:val="en-US" w:eastAsia="zh-CN"/>
        </w:rPr>
        <w:t>表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的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color w:val="auto"/>
          <w:kern w:val="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中国石油新疆油田分公司勘探事业部：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你单位《关于审批车排46井勘探钻探项目环境影响报告表的请示》收悉。经研究，批复如下：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一、该项目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第七师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130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团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，地理坐标为：东经84°54′56″，北纬44°45′41″。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项目部署</w:t>
      </w:r>
      <w:r>
        <w:rPr>
          <w:rFonts w:hint="eastAsia" w:eastAsia="仿宋_GB2312" w:cs="Times New Roman"/>
          <w:color w:val="auto"/>
          <w:szCs w:val="32"/>
          <w:highlight w:val="none"/>
          <w:lang w:val="en-US" w:eastAsia="zh-CN"/>
        </w:rPr>
        <w:t>勘探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井1口（车排46井），单井进尺4595米，采用三开直井井身结构，单井钻井周期约62天。项目建设标准井场，建设生活营地、放喷管线等配套设施。完钻后进行试油，获取有关技术参数，试油结束后进行场地恢复。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项目总投资1500万元，其中环保投资130.4万元，占总投资的8.69%。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在全面落实报告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提出的各项生态保护和污染防治措施后，项目建设过程中对环境的不利影响能够得到缓解和控制。因此，综合各方面因素，从环境保护角度考虑，我局原则同意你单位按照报告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中所列建设项目地点、性质、规模和拟采取的环境保护对策措施进行项目建设。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三、项目建设中应重点做好以下工作：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（一）严格落实生态保护措施。施工期间严格控制施工人员、施工机械活动范围和施工范围，减小对原始地貌的破坏。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施工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占用荒草地，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因施工破坏的野生植被，建设单位应按照相关规定缴纳生态经济补偿费。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二）严格落实大气污染防治措施。施工期间运输车辆做好遮蔽，井场道路采取洒水抑尘，优选性能良好的施工机械，并做好施工机械的检修、维护工作。加强燃烧设备的运营维护，试油期井场的厂界非甲烷总烃浓度执行《陆上石油天然气开采工业大气污染物排放标准》（GB39728-2020）中企业边界污染物控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（三）落实水污染防治措施。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钻井岩屑及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水基钻井液、油基钻井液分别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进入不落地系统处理，分离出液相回用，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其中钻井液100%回用不外排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钻井作业前井场铺设防渗膜；试油废水经罐车收集拉运至车89集中处理站采出水处理系统处理；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转移车辆安装GPS全程定位，并保存相关影像资料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；施工生活污水</w:t>
      </w:r>
      <w:r>
        <w:rPr>
          <w:rFonts w:hint="eastAsia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集中收集至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储集防渗池，定期由罐车拉运至克拉玛依市第二污水处理厂处理。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井场油罐、发电机、材料堆场等关键部位</w:t>
      </w:r>
      <w:r>
        <w:rPr>
          <w:rFonts w:hint="eastAsia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需铺设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防渗膜防渗，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井筒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采用下套管注水泥方式进行固井，对含水层进行固封处理，避免钻井液渗漏污染地下水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（四）严格落实噪声防治措施。选用低噪声设备，高噪声设备进行消声、减振处理，确保噪声满足《建筑施工场界噪声排放标准》（GB12523-2011）中限值要求。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32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（五）固体废物实施分类管理和妥善处理处置。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钻井时井筒返排的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水基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钻井液及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水基钻井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岩屑经固液分离装置初步分离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，液相回用于钻井液配置，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水基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钻井岩屑排入岩屑专用方罐，委托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相关处理单位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进行处置，满足《油气田钻井固体废弃物综合利用污染物控制要求》（DB65/T3997-2017）的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水基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钻井岩屑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，用于铺设油田临时道路及井场铺垫等。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各钻井队在完钻及钻机搬迁后，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及时清理井场及其周围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使用过的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物料，恢复原地貌，做到“工完、料尽、场地清”。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32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油基钻井岩屑、</w:t>
      </w:r>
      <w:r>
        <w:rPr>
          <w:rFonts w:hint="default" w:ascii="Times New Roman" w:hAnsi="Times New Roman" w:eastAsia="仿宋_GB2312" w:cs="Times New Roman"/>
          <w:bCs/>
          <w:szCs w:val="32"/>
          <w:highlight w:val="none"/>
        </w:rPr>
        <w:t>废防渗材料</w:t>
      </w:r>
      <w:r>
        <w:rPr>
          <w:rFonts w:hint="default" w:ascii="Times New Roman" w:hAnsi="Times New Roman" w:eastAsia="仿宋_GB2312" w:cs="Times New Roman"/>
          <w:bCs/>
          <w:szCs w:val="32"/>
          <w:highlight w:val="none"/>
          <w:lang w:val="en-US" w:eastAsia="zh-CN"/>
        </w:rPr>
        <w:t>属于危险废物，必须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交由有危险废物处置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资质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的单位处置。油基钻井岩屑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Cs/>
          <w:szCs w:val="32"/>
          <w:highlight w:val="none"/>
        </w:rPr>
        <w:t>废防渗材料</w:t>
      </w:r>
      <w:r>
        <w:rPr>
          <w:rFonts w:hint="default" w:ascii="Times New Roman" w:hAnsi="Times New Roman" w:eastAsia="仿宋_GB2312" w:cs="Times New Roman"/>
          <w:bCs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收集、储存、运输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《危险废物贮存污染控制标准》（GB18597-2001）及其修改单、《危险废物收集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贮存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运输技术规范》（HJ2025-2012）和《危险废物转移管理办法》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相关要求。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（六）严格落实环境风险防范措施。做好设备的日常巡检维护，建立健全各项环保管理制度、应急预案等，避免事故发生，引发环境污染。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五、我局委托师市生态环境保护综合行政执法支队、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团经济发展办公室组织开展该项目的“三同时”监督检查和日常监督管理工作。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勘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探井若转为生产井，则须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另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行环境影响评价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六、你单位应在接到本批复后20个工作日内，将批准后的环境影响报告表送师市生态环境保护综合行政执法支队、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室，并按规定接受各级生态环境主管部门的监督检查。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 xml:space="preserve">第七师胡杨河市生态环境局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日</w:t>
      </w:r>
    </w:p>
    <w:p>
      <w:pPr>
        <w:pStyle w:val="12"/>
        <w:rPr>
          <w:rFonts w:eastAsia="仿宋_GB2312" w:cs="Times New Roman"/>
          <w:snapToGrid w:val="0"/>
          <w:color w:val="FF0000"/>
          <w:kern w:val="0"/>
          <w:szCs w:val="32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eastAsia="仿宋_GB2312" w:cs="Times New Roman"/>
          <w:snapToGrid w:val="0"/>
          <w:color w:val="FF0000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eastAsia="仿宋_GB2312" w:cs="Times New Roman"/>
          <w:snapToGrid w:val="0"/>
          <w:color w:val="FF0000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eastAsia="仿宋_GB2312" w:cs="Times New Roman"/>
          <w:snapToGrid w:val="0"/>
          <w:color w:val="FF0000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eastAsia="仿宋_GB2312" w:cs="Times New Roman"/>
          <w:snapToGrid w:val="0"/>
          <w:color w:val="FF0000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eastAsia="仿宋_GB2312" w:cs="Times New Roman"/>
          <w:snapToGrid w:val="0"/>
          <w:color w:val="FF0000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eastAsia="仿宋_GB2312" w:cs="Times New Roman"/>
          <w:snapToGrid w:val="0"/>
          <w:color w:val="FF0000"/>
          <w:kern w:val="0"/>
          <w:szCs w:val="32"/>
        </w:rPr>
      </w:pPr>
    </w:p>
    <w:p>
      <w:pPr>
        <w:spacing w:line="400" w:lineRule="exact"/>
        <w:ind w:right="316" w:rightChars="100" w:firstLine="276" w:firstLineChars="1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59264;mso-width-relative:page;mso-height-relative:page;" filled="f" stroked="t" coordsize="21600,21600" o:gfxdata="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iU+t0AAAAAIBAAAPAAAAAAAAAAEAIAAAACIAAABkcnMvZG93bnJldi54bWxQSwECFAAU&#10;AAAACACHTuJA56pq1PkBAADzAwAADgAAAAAAAAABACAAAAAf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z w:val="28"/>
          <w:szCs w:val="28"/>
        </w:rPr>
        <w:t>抄送：师市生态环境保护综合行政执法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支队，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团经济</w:t>
      </w:r>
      <w:r>
        <w:rPr>
          <w:rFonts w:eastAsia="仿宋_GB2312"/>
          <w:color w:val="auto"/>
          <w:sz w:val="28"/>
          <w:szCs w:val="28"/>
        </w:rPr>
        <w:t>发展办公室。</w:t>
      </w:r>
    </w:p>
    <w:p>
      <w:pPr>
        <w:spacing w:line="600" w:lineRule="exact"/>
        <w:ind w:right="316" w:rightChars="100" w:firstLine="254" w:firstLineChars="100"/>
        <w:rPr>
          <w:color w:val="FF0000"/>
        </w:rPr>
      </w:pPr>
      <w:r>
        <w:rPr>
          <w:rFonts w:eastAsia="仿宋_GB2312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7210" cy="0"/>
                <wp:effectExtent l="0" t="9525" r="25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3pt;z-index:251660288;mso-width-relative:page;mso-height-relative:page;" filled="f" stroked="t" coordsize="21600,21600" o:gfxdata="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AQVQtMAAAAGAQAADwAAAAAAAAABACAAAAAiAAAAZHJzL2Rvd25yZXYueG1sUEsB&#10;AhQAFAAAAAgAh07iQH3w/Fn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60288;mso-width-relative:page;mso-height-relative:page;" filled="f" stroked="t" coordsize="21600,21600" o:gfxdata="UEsDBAoAAAAAAIdO4kAAAAAAAAAAAAAAAAAEAAAAZHJzL1BLAwQUAAAACACHTuJAxVar9t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Vqv20gAAAAIBAAAPAAAAAAAAAAEAIAAAACIAAABkcnMvZG93bnJldi54bWxQSwEC&#10;FAAUAAAACACHTuJAezsO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pacing w:val="-11"/>
          <w:sz w:val="28"/>
          <w:szCs w:val="28"/>
        </w:rPr>
        <w:t>新疆生产建设兵团第七师胡杨河市生态环境</w:t>
      </w:r>
      <w:r>
        <w:rPr>
          <w:rFonts w:hint="eastAsia" w:eastAsia="仿宋_GB2312"/>
          <w:color w:val="auto"/>
          <w:spacing w:val="-11"/>
          <w:sz w:val="28"/>
          <w:szCs w:val="28"/>
        </w:rPr>
        <w:t>局</w:t>
      </w:r>
      <w:r>
        <w:rPr>
          <w:rFonts w:eastAsia="仿宋_GB2312"/>
          <w:color w:val="FF0000"/>
          <w:sz w:val="28"/>
          <w:szCs w:val="28"/>
        </w:rPr>
        <w:t xml:space="preserve"> </w:t>
      </w:r>
      <w:r>
        <w:rPr>
          <w:rFonts w:eastAsia="仿宋_GB2312"/>
          <w:color w:val="auto"/>
          <w:sz w:val="28"/>
          <w:szCs w:val="28"/>
        </w:rPr>
        <w:t xml:space="preserve"> </w:t>
      </w:r>
      <w:r>
        <w:rPr>
          <w:rFonts w:hint="eastAsia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</w:t>
      </w:r>
      <w:r>
        <w:rPr>
          <w:rFonts w:eastAsia="仿宋_GB2312"/>
          <w:color w:val="auto"/>
          <w:sz w:val="28"/>
          <w:szCs w:val="28"/>
        </w:rPr>
        <w:t>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onet">
    <w:panose1 w:val="03030502040406070605"/>
    <w:charset w:val="00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/>
      <w:rPr>
        <w:rStyle w:val="11"/>
        <w:rFonts w:hint="eastAsia" w:ascii="仿宋_GB2312" w:eastAsia="仿宋_GB2312"/>
        <w:b/>
        <w:bCs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1"/>
        <w:rFonts w:hint="eastAsia" w:ascii="仿宋_GB2312" w:eastAsia="仿宋_GB2312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01AFB"/>
    <w:multiLevelType w:val="multilevel"/>
    <w:tmpl w:val="7F401AFB"/>
    <w:lvl w:ilvl="0" w:tentative="0">
      <w:start w:val="1"/>
      <w:numFmt w:val="decimal"/>
      <w:pStyle w:val="3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trike w:val="0"/>
        <w:dstrike w:val="0"/>
        <w:vanish w:val="0"/>
        <w:color w:val="auto"/>
        <w:sz w:val="28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Corone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MjI3Mjk5OTE0NGFjOGVlMzM0NTQxMjdiNTBhMDcifQ=="/>
  </w:docVars>
  <w:rsids>
    <w:rsidRoot w:val="007E248D"/>
    <w:rsid w:val="003C56A9"/>
    <w:rsid w:val="004964B4"/>
    <w:rsid w:val="004E2243"/>
    <w:rsid w:val="00551627"/>
    <w:rsid w:val="00667BE7"/>
    <w:rsid w:val="006E0941"/>
    <w:rsid w:val="00716EAB"/>
    <w:rsid w:val="007E248D"/>
    <w:rsid w:val="008833E6"/>
    <w:rsid w:val="008E7DDF"/>
    <w:rsid w:val="009102E5"/>
    <w:rsid w:val="009C6F11"/>
    <w:rsid w:val="00B8473B"/>
    <w:rsid w:val="00BB7897"/>
    <w:rsid w:val="00C43B00"/>
    <w:rsid w:val="00C514AC"/>
    <w:rsid w:val="00D003EC"/>
    <w:rsid w:val="00D774FB"/>
    <w:rsid w:val="00DC26F3"/>
    <w:rsid w:val="00DE4A81"/>
    <w:rsid w:val="00EC6E6C"/>
    <w:rsid w:val="00F617BE"/>
    <w:rsid w:val="00FB12F8"/>
    <w:rsid w:val="04B77D73"/>
    <w:rsid w:val="05737345"/>
    <w:rsid w:val="06C71389"/>
    <w:rsid w:val="06CC7B06"/>
    <w:rsid w:val="08EC6D80"/>
    <w:rsid w:val="16B800EE"/>
    <w:rsid w:val="177121A0"/>
    <w:rsid w:val="20783D41"/>
    <w:rsid w:val="21162F81"/>
    <w:rsid w:val="24696853"/>
    <w:rsid w:val="247C78BD"/>
    <w:rsid w:val="260C6FC7"/>
    <w:rsid w:val="2B665A9B"/>
    <w:rsid w:val="2BA03F96"/>
    <w:rsid w:val="2F130EE6"/>
    <w:rsid w:val="2F2B3664"/>
    <w:rsid w:val="2FEE4162"/>
    <w:rsid w:val="32C5491C"/>
    <w:rsid w:val="371F1D45"/>
    <w:rsid w:val="38453BBB"/>
    <w:rsid w:val="3BAC6099"/>
    <w:rsid w:val="3C25479F"/>
    <w:rsid w:val="3D7076AF"/>
    <w:rsid w:val="3EC1562C"/>
    <w:rsid w:val="3F0E35AF"/>
    <w:rsid w:val="4419237E"/>
    <w:rsid w:val="45D948F4"/>
    <w:rsid w:val="47587B93"/>
    <w:rsid w:val="49397ED3"/>
    <w:rsid w:val="4CBF17F2"/>
    <w:rsid w:val="4CCA458A"/>
    <w:rsid w:val="50CD705E"/>
    <w:rsid w:val="54231BA0"/>
    <w:rsid w:val="54B5724D"/>
    <w:rsid w:val="5ECF577C"/>
    <w:rsid w:val="609006D2"/>
    <w:rsid w:val="66BE66CF"/>
    <w:rsid w:val="68991CEA"/>
    <w:rsid w:val="6B762AC2"/>
    <w:rsid w:val="73323C81"/>
    <w:rsid w:val="745A0337"/>
    <w:rsid w:val="79621333"/>
    <w:rsid w:val="798C319D"/>
    <w:rsid w:val="79F35C8E"/>
    <w:rsid w:val="7D7B4DE1"/>
    <w:rsid w:val="7EB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0"/>
      <w:sz w:val="28"/>
      <w:szCs w:val="28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50" w:beforeLines="50" w:after="50" w:afterLines="50" w:line="560" w:lineRule="exact"/>
      <w:ind w:firstLine="640" w:firstLineChars="200"/>
      <w:outlineLvl w:val="1"/>
    </w:pPr>
    <w:rPr>
      <w:rFonts w:ascii="仿宋" w:hAnsi="宋体" w:eastAsia="楷体" w:cs="仿宋"/>
      <w:b/>
      <w:bCs/>
      <w:kern w:val="2"/>
      <w:sz w:val="36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2"/>
    </w:pPr>
    <w:rPr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华文中宋"/>
      <w:b/>
      <w:bCs/>
      <w:w w:val="90"/>
      <w:sz w:val="44"/>
    </w:rPr>
  </w:style>
  <w:style w:type="paragraph" w:styleId="6">
    <w:name w:val="Block Text"/>
    <w:basedOn w:val="1"/>
    <w:qFormat/>
    <w:uiPriority w:val="99"/>
    <w:pPr>
      <w:spacing w:line="480" w:lineRule="exact"/>
      <w:ind w:left="-125" w:right="-56" w:firstLine="570"/>
    </w:pPr>
    <w:rPr>
      <w:sz w:val="28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1"/>
    <w:qFormat/>
    <w:uiPriority w:val="0"/>
    <w:rPr>
      <w:rFonts w:cs="宋体"/>
      <w:sz w:val="28"/>
    </w:rPr>
  </w:style>
  <w:style w:type="paragraph" w:customStyle="1" w:styleId="13">
    <w:name w:val="YJ正文*"/>
    <w:basedOn w:val="1"/>
    <w:qFormat/>
    <w:uiPriority w:val="0"/>
    <w:pPr>
      <w:spacing w:line="500" w:lineRule="exact"/>
      <w:ind w:firstLine="200" w:firstLineChars="200"/>
      <w:jc w:val="both"/>
    </w:pPr>
    <w:rPr>
      <w:rFonts w:ascii="等线" w:hAnsi="等线" w:eastAsia="宋体"/>
      <w:sz w:val="24"/>
    </w:rPr>
  </w:style>
  <w:style w:type="paragraph" w:customStyle="1" w:styleId="14">
    <w:name w:val="表字-书"/>
    <w:basedOn w:val="1"/>
    <w:qFormat/>
    <w:uiPriority w:val="0"/>
    <w:pPr>
      <w:spacing w:line="240" w:lineRule="exact"/>
      <w:ind w:firstLine="0" w:firstLineChars="0"/>
      <w:jc w:val="center"/>
    </w:pPr>
    <w:rPr>
      <w:rFonts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1635</Words>
  <Characters>1753</Characters>
  <Lines>11</Lines>
  <Paragraphs>3</Paragraphs>
  <TotalTime>10</TotalTime>
  <ScaleCrop>false</ScaleCrop>
  <LinksUpToDate>false</LinksUpToDate>
  <CharactersWithSpaces>1790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2020-12-18T12:29:00Z</dcterms:created>
  <dc:creator>Administrator</dc:creator>
  <cp:lastModifiedBy>刘彦辰</cp:lastModifiedBy>
  <cp:lastPrinted>2020-12-21T02:32:00Z</cp:lastPrinted>
  <dcterms:modified xsi:type="dcterms:W3CDTF">2022-12-06T06:24:51Z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66F2E68609D343FE8D76D51282233A12</vt:lpwstr>
  </property>
</Properties>
</file>